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Supplementary Tables S1-S10</w:t>
      </w:r>
    </w:p>
    <w:p>
      <w:pPr>
        <w:jc w:val="center"/>
      </w:pPr>
      <w:r>
        <w:rPr>
          <w:rFonts w:ascii="Arial" w:hAnsi="Arial"/>
          <w:sz w:val="20"/>
        </w:rPr>
        <w:t>LANA: reproducible agent-based spiking model for decomposing signal transport and environmental feedback</w:t>
      </w:r>
    </w:p>
    <w:p>
      <w:pPr>
        <w:pStyle w:val="NoteLike"/>
      </w:pPr>
      <w:r>
        <w:rPr>
          <w:b/>
        </w:rPr>
        <w:t xml:space="preserve">Scope note. </w:t>
      </w:r>
      <w:r>
        <w:t>These supplementary tables summarize the LANA model configuration, verification, baseline controls, ablation analyses, sensitivity/robustness checks, 100-subject EEG preprocessing audit, EEG/LANA feature statistics, and EEG-LANA direction-of-change benchmark. Numeric EEG and LANA feature statistics are computed from the supplied CSV files.</w:t>
      </w:r>
    </w:p>
    <w:p>
      <w:pPr>
        <w:pStyle w:val="Heading2"/>
      </w:pPr>
      <w:r>
        <w:t>Supplementary Table S1. Principal LANA parameters for S1 and S2 regimes.</w:t>
      </w:r>
    </w:p>
    <w:p>
      <w:pPr>
        <w:pStyle w:val="CaptionLike"/>
      </w:pPr>
      <w:r>
        <w:t>The S2 regime differs from S1 mainly in threshold, inhibitory fraction, environmental decay, and environmental coupling; other principal values are held fixed.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Parameter</w:t>
            </w:r>
          </w:p>
        </w:tc>
        <w:tc>
          <w:tcPr>
            <w:tcW w:type="dxa" w:w="100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Symbol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S1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S2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NetLogo/code name</w:t>
            </w:r>
          </w:p>
        </w:tc>
        <w:tc>
          <w:tcPr>
            <w:tcW w:type="dxa" w:w="53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Role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Network size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150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150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N-NODES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Number of neuron agents in the principal S1/S2 simulations.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Leak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alpha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0.2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0.2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ALPHA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Membrane-potential leak term used in the update rule.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Threshold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theta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1.0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0.8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THRESHOLD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Primary excitability manipulation; S2 lowers the firing threshold.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Reset potential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V_reset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V-RESET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Post-spike reset value.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Refractory period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POp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POp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Minimum refractory duration after firing.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Inhibitory fraction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0.20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0.10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INHIB-FRAC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S2 reduces inhibitory fraction relative to S1.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Intrinsic efficacy mean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0.90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0.90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INIT-NFUN-MEAN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Mean initial neuronal efficacy.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Out-degree mean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INIT-DEG-MEAN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Mean directed synaptic out-degree.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Signal radius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RADIUS-SIGNAL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Spatial interaction radius for signal agents.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Signal decay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beta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0.95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0.95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BETA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Per-tick signal-agent amplitude decay.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Spatial attenuation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gamma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0.05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0.05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GAMMA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Distance-dependent attenuation of signal input.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Environmental diffusion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0.15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0.15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Diffusion of the patch-local environmental field.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Environmental decay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rho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0.01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0.005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RHO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S2 slows environmental-field decay relative to S1.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Environmental coupling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kappa_E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0.60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0.20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KAPPA-E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Couples local environmental field to effective neuronal efficacy.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Stimulus period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REPEAT-K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Repeated stimulation schedule.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Plasticity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mu, lambda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0.01, 0.05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0.01, 0.05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hardcoded / model settings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Bounded adaptation terms used in the implementation.</w:t>
            </w:r>
          </w:p>
        </w:tc>
      </w:tr>
    </w:tbl>
    <w:p>
      <w:pPr>
        <w:pStyle w:val="NoteLike"/>
      </w:pPr>
      <w:r>
        <w:rPr>
          <w:b/>
        </w:rPr>
        <w:t>Note. Values are normalized model units unless otherwise stated. Exact BehaviorSpace configurations and NetLogo model files are provided in the archived release.</w:t>
      </w:r>
      <w:r/>
    </w:p>
    <w:p>
      <w:r>
        <w:br w:type="page"/>
      </w:r>
    </w:p>
    <w:p>
      <w:pPr>
        <w:pStyle w:val="Heading2"/>
      </w:pPr>
      <w:r>
        <w:t>Supplementary Table S2. Operator verification audit.</w:t>
      </w:r>
    </w:p>
    <w:p>
      <w:pPr>
        <w:pStyle w:val="CaptionLike"/>
      </w:pPr>
      <w:r>
        <w:t>Compact tests verify that low-level operators behave as intended before network-level dynamics are interpreted.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Test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Design/runs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Pass criterion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Observed result</w:t>
            </w:r>
          </w:p>
        </w:tc>
        <w:tc>
          <w:tcPr>
            <w:tcW w:type="dxa" w:w="7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Pass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Interpretation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E0a: chain delay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50 runs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Mean absolute error = 0; estimated speed = 1/delay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MAE = 0.000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Confirms configured integer delay is preserved.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E0b: environmental decay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 runs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Exponential decay trajectory; R-squared = 1.000; MAE below numerical tolerance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R-squared = 1.000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Confirms decay operator is implemented as specified.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E0c: threshold activation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300 runs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Firing rate = 0 below threshold; firing rate &gt; 0 above threshold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Onset approximately 1.2 stimulus units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Confirms thresholded activation.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E0d: refractory enforcement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Compact operator test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Minimum inter-spike interval &gt;= POp + 1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All tested intervals valid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Confirms refractory rule prevents immediate re-firing.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E0e: baseline chain control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Compact chain-control test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Full and baseline delay speeds remain equal when transport/field mechanisms are disabled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All completed chains valid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Confirms baseline switch does not corrupt the delay operator.</w:t>
            </w:r>
          </w:p>
        </w:tc>
      </w:tr>
    </w:tbl>
    <w:p>
      <w:pPr>
        <w:pStyle w:val="NoteLike"/>
      </w:pPr>
      <w:r>
        <w:rPr>
          <w:b/>
        </w:rPr>
        <w:t>Note. E0 operator checks are summarized here and correspond to archived CSV outputs in the release.</w:t>
      </w:r>
      <w:r/>
    </w:p>
    <w:p>
      <w:pPr>
        <w:pStyle w:val="Heading2"/>
      </w:pPr>
      <w:r>
        <w:t>Supplementary Table S3. Baseline and calibrated source-region controls.</w:t>
      </w:r>
    </w:p>
    <w:p>
      <w:pPr>
        <w:pStyle w:val="CaptionLike"/>
      </w:pPr>
      <w:r>
        <w:t>Nominal baseline comparisons separate the full architecture from a neuron-only control; calibrated controls test whether local threshold crossing alone produces distributed recruitment.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Metric/control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Baseline / control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Full / comparator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p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Effect size</w:t>
            </w:r>
          </w:p>
        </w:tc>
        <w:tc>
          <w:tcPr>
            <w:tcW w:type="dxa" w:w="446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Interpretation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FR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0.000 [0.000, 0.000]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0.027 [0.025, 0.029]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7.6e-10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Nominal full model produces sustained activity; nominal baseline remains silent.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Active fraction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0.000 [0.000, 0.000]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1.000 [0.980, 1.000]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1.1e-10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Full architecture recruits nearly all neurons under nominal stimulation.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Fano factor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0.000 [0.000, 0.000]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1.427 [1.291, 1.493]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1.8e-15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Full model has nonzero spike-count variability; silent baseline does not.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Spike-count CV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0.000 [0.000, 0.000]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0.617 [0.581, 0.653]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1.8e-15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Full model generates heterogeneous run-level spike statistics.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Final mean weight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0.000 [0.000, 0.000]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0.012 [0.009, 0.013]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1.8e-15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Plasticity-related weight summaries are nonzero in the full model.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Mean E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0.000 [0.000, 0.000]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1.937 [1.654, 2.137]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1.8e-15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Environmental accumulation is present only when the field mechanism is active.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Calibrated source-region control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t>Source-region active fraction ≈0.98</w:t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t>Distributed recruitment ≈0.03</w:t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NA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Stronger local stimulation produced local threshold crossing but not network-wide recruitment.</w:t>
            </w:r>
          </w:p>
        </w:tc>
      </w:tr>
    </w:tbl>
    <w:p>
      <w:pPr>
        <w:pStyle w:val="NoteLike"/>
      </w:pPr>
      <w:r>
        <w:rPr>
          <w:b/>
        </w:rPr>
        <w:t xml:space="preserve">Note. </w:t>
      </w:r>
      <w:r>
        <w:t>FR, active fraction, Fano factor, spike-count CV, final mean weight, and mean E are median [IQR] values from paired run-level summaries. Calibrated source-region control uses source-region activation rather than global FR as its calibration target.</w:t>
      </w:r>
    </w:p>
    <w:p>
      <w:r>
        <w:br w:type="page"/>
      </w:r>
    </w:p>
    <w:p>
      <w:pPr>
        <w:pStyle w:val="Heading2"/>
      </w:pPr>
      <w:r>
        <w:t>Supplementary Table S4. Component-wise ablation outputs.</w:t>
      </w:r>
    </w:p>
    <w:p>
      <w:pPr>
        <w:pStyle w:val="CaptionLike"/>
      </w:pPr>
      <w:r>
        <w:t>Ablation separates explicit signal transport from E-to-neuron gain feedback while preserving the rest of the model architecture as far as possible.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Condition</w:t>
            </w:r>
          </w:p>
        </w:tc>
        <w:tc>
          <w:tcPr>
            <w:tcW w:type="dxa" w:w="360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Control logic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Median FR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Median mean E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Recruitment outcome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Interpretation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Full LANA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All components active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0.0271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t>1.94–1.96</w:t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t>t50/t90 = 17/31.5–32 ticks; distributed active fraction ≈0.96–1.00</w:t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Reference distributed recruitment.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Calibrated neuron-only baseline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Stimulus increased to activate source region without explicit transport or environmental field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NA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t>Source-region active fraction ≈0.98; distributed recruitment ≈0.03</w:t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Local threshold crossing alone does not spread activity.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t>No E-to-neuron gain feedback</w:t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>
              <w:t>Transport retained; E-to-neuron gain feedback disabled</w:t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0.0880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13.500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t50/t90 = 13/22 ticks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t>E-to-neuron gain feedback acts as suppressive gain control in this parameterization.</w:t>
            </w:r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 signal-to-neuron transport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Direct signal-agent input disabled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0.000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t>near 0</w:t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t50/t90 not reached; active fraction = 0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Direct explicit transport is necessary for recruitment.</w:t>
            </w:r>
          </w:p>
        </w:tc>
      </w:tr>
    </w:tbl>
    <w:p>
      <w:pPr>
        <w:pStyle w:val="NoteLike"/>
      </w:pPr>
      <w:r>
        <w:rPr>
          <w:b/>
        </w:rPr>
        <w:t xml:space="preserve">Note. </w:t>
      </w:r>
      <w:r>
        <w:t>NR/not reached means the recruitment threshold was not reached within the simulation horizon. NA means the statistic was not the target metric for that control in the supplied summary.</w:t>
      </w:r>
    </w:p>
    <w:p>
      <w:pPr>
        <w:pStyle w:val="Heading2"/>
      </w:pPr>
      <w:r>
        <w:t>Supplementary Table S5. Sensitivity and focused factorial analyses.</w:t>
      </w:r>
    </w:p>
    <w:p>
      <w:pPr>
        <w:pStyle w:val="CaptionLike"/>
      </w:pPr>
      <w:r>
        <w:t>OAT and focused factorial analyses test whether the observed regime transition is structured by interpretable parameters rather than by a single hand-tuned setting.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Analysis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Parameter/effect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Perturbation/design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Target metric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Observed effect</w:t>
            </w:r>
          </w:p>
        </w:tc>
        <w:tc>
          <w:tcPr>
            <w:tcW w:type="dxa" w:w="446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Interpretation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OAT sensitivity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Signal decay beta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0.90 vs principal 0.95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Firing rate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-47.0%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Most sensitive local perturbation in the reported OAT screen.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OAT sensitivity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Signal decay beta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0.99 vs principal 0.95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Firing rate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+55.7%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Increasing signal persistence increases activity.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2^4 factorial screen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Environmental coupling kappa_E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16 combinations x 20 seeds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Absolute main-effect share on firing rate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52.4%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Dominant main-effect contributor.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2^4 factorial screen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Environmental decay rho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16 combinations x 20 seeds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Absolute main-effect share on firing rate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26.4%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Second largest main-effect contributor.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2^4 factorial screen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Threshold theta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16 combinations x 20 seeds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Absolute main-effect share on firing rate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13.4%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Lower threshold contributes to the S1/S2 separation.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2^4 factorial screen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Inhibitory fraction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16 combinations x 20 seeds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Absolute main-effect share on firing rate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7.9%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Smallest of the reported regime-defining main effects.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Factorial interaction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theta x kappa_E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Focused interaction check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Firing rate / regime separation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Structured interaction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Lower threshold combined with weaker environmental suppression increased firing more than either change alone.</w:t>
            </w:r>
          </w:p>
        </w:tc>
      </w:tr>
    </w:tbl>
    <w:p>
      <w:pPr>
        <w:pStyle w:val="NoteLike"/>
      </w:pPr>
      <w:r>
        <w:rPr>
          <w:b/>
        </w:rPr>
        <w:t>Note. The OAT rows summarize the strongest reported local perturbation; full OAT output tables are provided in the archived release. The factorial rows summarize the reported absolute main-effect shares on firing rate across the focused 2^4 design.</w:t>
      </w:r>
      <w:r/>
    </w:p>
    <w:p>
      <w:pPr>
        <w:pStyle w:val="Heading2"/>
      </w:pPr>
      <w:r>
        <w:t>Supplementary Table S6. Robustness controls.</w:t>
      </w:r>
    </w:p>
    <w:p>
      <w:pPr>
        <w:pStyle w:val="CaptionLike"/>
      </w:pPr>
      <w:r>
        <w:t>Additional controls test whether conclusions persist under larger network size, longer horizons, and a threshold-by-environment-coupling grid.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Control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Design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Purpose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Reported outcome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Interpretation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Larger network control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 = 300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Assesses whether qualitative ordering persists under increased network size.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Baseline remained silent; full model remained active; S2 retained stronger activity and environmental accumulation than S1.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Supports scale robustness of the mechanism result.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Longer-horizon control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Extended run horizon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Assesses whether effects are transient artifacts of the principal simulation duration.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Principal qualitative separation was preserved across the longer horizon.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Supports temporal robustness.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theta x kappa_E grid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Threshold-by-environment coupling grid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Assesses whether S1/S2 separation depends on a narrow parameter corner.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Grid preserved the interpretation that threshold and environmental coupling jointly structure the transition.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Supports parameter-structure robustness.</w:t>
            </w:r>
          </w:p>
        </w:tc>
      </w:tr>
    </w:tbl>
    <w:p>
      <w:pPr>
        <w:pStyle w:val="NoteLike"/>
      </w:pPr>
      <w:r>
        <w:rPr>
          <w:b/>
        </w:rPr>
        <w:t>Note. Detailed raw/tidy outputs for robustness controls are provided in the archived GitHub/Zenodo release together with source data for associated figures.</w:t>
      </w:r>
      <w:r/>
    </w:p>
    <w:p>
      <w:pPr>
        <w:pStyle w:val="Heading2"/>
      </w:pPr>
      <w:r>
        <w:t>Supplementary Table S7. EEG preprocessing and feature-extraction audit.</w:t>
      </w:r>
    </w:p>
    <w:p>
      <w:pPr>
        <w:pStyle w:val="CaptionLike"/>
      </w:pPr>
      <w:r>
        <w:t>Audit of the 100-subject public EEG processing pipeline used for the external feature-level benchmark.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Audit item</w:t>
            </w:r>
          </w:p>
        </w:tc>
        <w:tc>
          <w:tcPr>
            <w:tcW w:type="dxa" w:w="576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Value/procedure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Source/interpretation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Dataset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PhysioNet EEG Motor Movement/Imagery Dataset (EEGBCI)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Public de-identified EEG data; no new human data collection.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Subjects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100 subjects included; 0 skipped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subjects_used_100subj.csv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Runs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Run 1 = eyes open baseline; Run 2 = eyes closed baseline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Used as the empirical EO/EC contrast.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Channels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Median 64 EEG channels after EEG pick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MNE EEG channel selection.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Epoching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4-second fixed-length epochs; median 15 epochs per EO recording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Same procedure applied to EC recordings.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Filtering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0.5-45 Hz band-pass; 60 Hz notch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Implemented in lana_eeg_pipeline_v5.py.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Reference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Common-average rereference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Feature extraction is performed per channel to avoid cancellation after rereferencing.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Feature extraction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RMS, line length, delta/theta/alpha/beta relative power, spectral entropy, mean channel correlation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Per-channel features are averaged across channels and epochs.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Posterior alpha audit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Posterior channels: O1, O2, Oz, Pz, POz, P3, P4, P7, P8 where available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Used only as an EEG sanity check, not mapped to LANA.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Software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MNE, NumPy, SciPy, pandas, matplotlib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>
              <w:t>Dependency versions are listed in requirements.txt in the archived release.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NoteLike"/>
      </w:pPr>
      <w:r>
        <w:rPr>
          <w:b/>
        </w:rPr>
        <w:t xml:space="preserve">Note. </w:t>
      </w:r>
      <w:r>
        <w:t>The important methodological correction is per-channel feature extraction after common-average rereferencing, rather than feature extraction on a channel-averaged waveform.</w:t>
      </w:r>
    </w:p>
    <w:p>
      <w:r>
        <w:br w:type="page"/>
      </w:r>
    </w:p>
    <w:p>
      <w:pPr>
        <w:pStyle w:val="Heading2"/>
      </w:pPr>
      <w:r>
        <w:t>Supplementary Table S8. EEG eyes-open versus eyes-closed statistics.</w:t>
      </w:r>
    </w:p>
    <w:p>
      <w:pPr>
        <w:pStyle w:val="CaptionLike"/>
      </w:pPr>
      <w:r>
        <w:t>Paired Wilcoxon summaries for 100 EEGBCI subjects. BH q-values are calculated across the nine EEG features listed here.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Feature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EO median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EC median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p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q_BH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left"/>
            </w:pPr>
            <w:r>
              <w:t>Rank-biserial r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12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Direction</w:t>
            </w:r>
          </w:p>
        </w:tc>
        <w:tc>
          <w:tcPr>
            <w:tcW w:type="dxa" w:w="86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n pairs</w:t>
            </w:r>
          </w:p>
        </w:tc>
        <w:tc>
          <w:tcPr>
            <w:tcW w:type="dxa" w:w="475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Interpretation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RMS amplitude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2.340e-05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2.297e-05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0.0038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0.0069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-0.3330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decrease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Robust EO/EC directional difference.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Line length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7.860e-06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8.050e-06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0.068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0.2160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increase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Trend-level increase; interpret cautiously.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Delta relative power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0.4664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0.2703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-0.9530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decrease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Robust EO/EC directional difference.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Theta relative power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0.1471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0.1361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0.021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0.032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-0.2660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decrease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Robust EO/EC directional difference.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Alpha relative power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0.1149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0.3114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0.9970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increase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Expected EO/EC alpha increase; supports preprocessing sanity check.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Beta relative power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0.1689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0.1710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0.227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0.227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0.1390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increase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Direction observed but not statistically strong after correction.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Spectral entropy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3.281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3.312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0.050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0.2380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increase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Borderline after BH correction; interpret cautiously.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Mean channel correlation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0.0155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-6.029e-03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-0.9010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decrease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Robust EO/EC directional difference.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Posterior alpha relative power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0.1261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0.4091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0.9990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increase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Expected EO/EC alpha increase; supports preprocessing sanity check.</w:t>
            </w:r>
          </w:p>
        </w:tc>
      </w:tr>
    </w:tbl>
    <w:p>
      <w:pPr>
        <w:pStyle w:val="NoteLike"/>
      </w:pPr>
      <w:r>
        <w:rPr>
          <w:b/>
        </w:rPr>
        <w:t xml:space="preserve">Note. </w:t>
      </w:r>
      <w:r>
        <w:t>Zero p-values in the supplied rounded CSV are displayed as &lt;1e-6. Direction is EC relative to EO. Posterior alpha is an EEG sanity check and is not mapped to LANA.</w:t>
      </w:r>
    </w:p>
    <w:p>
      <w:pPr>
        <w:pStyle w:val="Heading2"/>
      </w:pPr>
      <w:r>
        <w:t>Supplementary Table S9. LANA S1 versus S2 feature statistics.</w:t>
      </w:r>
    </w:p>
    <w:p>
      <w:pPr>
        <w:pStyle w:val="CaptionLike"/>
      </w:pPr>
      <w:r>
        <w:t>Paired Wilcoxon summaries for 50 matched LANA seeds. BH q-values are calculated across the twelve LANA features listed here.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273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Feature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S1 median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S2 median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p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q_BH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left"/>
            </w:pPr>
            <w:r>
              <w:t>Rank-biserial r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12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Direction</w:t>
            </w:r>
          </w:p>
        </w:tc>
        <w:tc>
          <w:tcPr>
            <w:tcW w:type="dxa" w:w="86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n pairs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Feature class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Mean E RMS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1.991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8.176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increase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Mean E feature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Mean E line length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4.401e-03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0.0105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increase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Mean E feature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Mean E spectral entropy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0.9492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0.6881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-0.9980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decrease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Mean E feature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Mean E low-frequency power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0.9999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1.0000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0.9690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increase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Mean E feature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Mean E mid-frequency power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6.246e-05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2.074e-05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-0.9690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decrease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Mean E feature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Mean E high-frequency power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9.616e-07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2.381e-07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-1.000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decrease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Mean E feature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Spike RMS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5.030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9.655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increase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Spike-count feature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Spike line length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2.397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3.707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1.000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increase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Spike-count feature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Spike spectral entropy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4.347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4.315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0.449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0.449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-0.1250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decrease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Spike-count feature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Spike low-frequency power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0.1476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0.0262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-0.9800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decrease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Spike-count feature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Spike mid-frequency power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0.4201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0.5298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&lt;1e-6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0.9290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increase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Spike-count feature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Spike high-frequency power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0.4190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0.4436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0.062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0.3100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increase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Spike-count feature</w:t>
            </w:r>
          </w:p>
        </w:tc>
      </w:tr>
    </w:tbl>
    <w:p>
      <w:pPr>
        <w:pStyle w:val="NoteLike"/>
      </w:pPr>
      <w:r>
        <w:rPr>
          <w:b/>
        </w:rPr>
        <w:t xml:space="preserve">Note. </w:t>
      </w:r>
      <w:r>
        <w:t>Zero p-values in the supplied rounded CSV are displayed as &lt;1e-6. Direction is S2 relative to S1. Mean E features support the mapped EEG-LANA comparison; spike-count features are reported as additional model summaries.</w:t>
      </w:r>
    </w:p>
    <w:p>
      <w:r>
        <w:br w:type="page"/>
      </w:r>
    </w:p>
    <w:p>
      <w:pPr>
        <w:pStyle w:val="Heading2"/>
      </w:pPr>
      <w:r>
        <w:t>Supplementary Table S10A. EEG-LANA direction-of-change concordance.</w:t>
      </w:r>
    </w:p>
    <w:p>
      <w:pPr>
        <w:pStyle w:val="CaptionLike"/>
      </w:pPr>
      <w:r>
        <w:t>The comparison is a feature-family benchmark only; it is not waveform-level validation, physiological equivalence, or model calibration.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Feature family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EEG feature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EEG direction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LANA feature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LANA direction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Match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Amplitude/Activity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rms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↓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meanE_rms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↑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Temporal variability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line_length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↑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meanE_line_length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↑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Spectral complexity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spectral_entropy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↑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meanE_spectral_entropy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↓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t>Low model-frequency activity</w:t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delta_rel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↓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meanE_low_power_rel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↑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t>Mid model-frequency activity</w:t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theta_rel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↓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meanE_mid_power_rel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↓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Yes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t>High model-frequency activity</w:t>
            </w: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beta_rel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↑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meanE_high_power_rel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↓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Alpha power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alpha_rel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↑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N/A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N/A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N/A (EEG sanity check)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Posterior alpha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posterior_alpha_rel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↑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N/A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N/A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N/A (EEG sanity check)</w:t>
            </w:r>
          </w:p>
        </w:tc>
      </w:tr>
    </w:tbl>
    <w:p>
      <w:pPr>
        <w:pStyle w:val="NoteLike"/>
      </w:pPr>
      <w:r>
        <w:rPr>
          <w:b/>
        </w:rPr>
        <w:t xml:space="preserve">Note. </w:t>
      </w:r>
      <w:r>
        <w:t>Only six mapped feature families enter the concordance count. Alpha and posterior alpha are EEG sanity checks because LANA normalized frequency bands are not calibrated to human alpha rhythms.</w:t>
      </w:r>
    </w:p>
    <w:p>
      <w:pPr>
        <w:pStyle w:val="Heading2"/>
      </w:pPr>
      <w:r>
        <w:t>Supplementary Table S10B. Fixed-sign permutation null for mapped concordance.</w:t>
      </w:r>
    </w:p>
    <w:p>
      <w:pPr>
        <w:pStyle w:val="CaptionLike"/>
      </w:pPr>
      <w:r>
        <w:t>The null permutes LANA direction signs across the six mapped feature families while preserving the number of LANA increases and decreases.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273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Matched feature count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Number of null assignments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Probability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Null model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0.0500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fixed-sign permutation null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0.4500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fixed-sign permutation null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0.4500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fixed-sign permutation null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0.0500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fixed-sign permutation null</w:t>
            </w:r>
          </w:p>
        </w:tc>
      </w:tr>
    </w:tbl>
    <w:p>
      <w:pPr>
        <w:pStyle w:val="NoteLike"/>
      </w:pPr>
      <w:r>
        <w:rPr>
          <w:b/>
        </w:rPr>
        <w:t>Note. Observed concordance was 2/6. Under this fixed-sign null, this is not enriched for directional concordance; the EEG result is therefore described as a limited external benchmark, not a validation of LANA.</w:t>
      </w:r>
      <w:r/>
    </w:p>
    <w:p>
      <w:pPr>
        <w:pStyle w:val="Heading2"/>
      </w:pPr>
      <w:r>
        <w:t>Supplementary Table S10C. Concordance summary.</w:t>
      </w:r>
    </w:p>
    <w:p>
      <w:pPr>
        <w:pStyle w:val="CaptionLike"/>
      </w:pPr>
      <w:r>
        <w:t>Summary statistics for the direction-of-change benchmark.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30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Quantity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Value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Test/scale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Interpretation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Observed mapped concordance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2/6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33.3%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Direction-of-change only; alpha/posterior alpha excluded from mapped test.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Permutation null size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 unique fixed-sign assignments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Preserves number of positive/negative LANA directions.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>
              <w:t>Pr(matches ≥ observed)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0.9500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one-sided concordance enrichment check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High value indicates observed 2/6 is not enriched for concordance.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>
              <w:t>Pr(matches ≥ 4)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0.5000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threshold used for strong directional concordance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Shows 4/6 or stronger would occur in 50% under this fixed-sign null.</w:t>
            </w:r>
          </w:p>
        </w:tc>
      </w:tr>
    </w:tbl>
    <w:p>
      <w:pPr>
        <w:pStyle w:val="NoteLike"/>
      </w:pPr>
      <w:r>
        <w:rPr>
          <w:b/>
        </w:rPr>
        <w:t xml:space="preserve">Note. </w:t>
      </w:r>
      <w:r>
        <w:t>These values support cautious manuscript wording: the 100-subject EEG analysis is useful as a transparent external benchmark, but it does not validate the S1 to S2 model transition as an analogue of the EO to EC EEG transition.</w:t>
      </w:r>
    </w:p>
    <w:sectPr w:rsidR="00FC693F" w:rsidRPr="0006063C" w:rsidSect="00034616">
      <w:footerReference w:type="default" r:id="rId9"/>
      <w:headerReference w:type="default" r:id="rId10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Supplementary Tables S1-S10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Like">
    <w:name w:val="CaptionLike"/>
    <w:pPr>
      <w:spacing w:after="60"/>
    </w:pPr>
    <w:rPr>
      <w:rFonts w:ascii="Arial" w:hAnsi="Arial"/>
      <w:i w:val="0"/>
      <w:sz w:val="16"/>
    </w:rPr>
  </w:style>
  <w:style w:type="paragraph" w:customStyle="1" w:styleId="NoteLike">
    <w:name w:val="NoteLike"/>
    <w:pPr>
      <w:spacing w:after="60"/>
    </w:pPr>
    <w:rPr>
      <w:rFonts w:ascii="Arial" w:hAnsi="Arial"/>
      <w:i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