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Supplementary Tables: Calibrated Baseline Control</w:t>
      </w:r>
    </w:p>
    <w:p>
      <w:pPr>
        <w:pStyle w:val="Heading2"/>
        <w:spacing w:before="300" w:after="100"/>
      </w:pPr>
      <w:r>
        <w:t xml:space="preserve">Table S2. Baseline calibration sweep under localized stimulation</w:t>
      </w:r>
    </w:p>
    <w:p>
      <w:pPr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Baseline condition (BASELINE? = true, LOCALIZED-STIM? = true) with STIM-AMP swept from 1.0 to 1.5. N = 150, 20 seeds per level, 1000 ticks. Values are means across seeds. NR = not reached (fewer than 2 neurons activated). Green highlighting indicates levels where source-region activation was achieved. The minimum effective amplitude is STIM-AMP = 1.2.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100"/>
        <w:gridCol w:w="1100"/>
        <w:gridCol w:w="1100"/>
        <w:gridCol w:w="1100"/>
        <w:gridCol w:w="900"/>
        <w:gridCol w:w="900"/>
        <w:gridCol w:w="11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STIM-AMP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FR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Act. Frac.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Act. Frac.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t90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Wavefront speed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0.198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Note: At STIM-AMP ≥ 1.2, all source-region neurons fire (source active fraction = 1.0), yet global active fraction remains at ~3%, demonstrating that activity does not propagate beyond the stimulated region in the neuron-only baseline.</w:t>
      </w:r>
    </w:p>
    <w:p>
      <w:r>
        <w:br w:type="page"/>
      </w:r>
    </w:p>
    <w:p>
      <w:pPr>
        <w:pStyle w:val="Heading2"/>
        <w:spacing w:before="300" w:after="100"/>
      </w:pPr>
      <w:r>
        <w:t xml:space="preserve">Table S3. Calibrated baseline vs full LANA model under localized stimulation</w:t>
      </w:r>
    </w:p>
    <w:p>
      <w:pPr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Comparison between the calibrated neuron-only baseline (STIM-AMP = 1.3, BASELINE? = true) and the full LANA model (STIM-AMP = 1.3, BASELINE? = false) under localized stimulation. N = 150, 50 seeds per condition, 1000 ticks. Values are mean ± SD. NR = not reached.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Calibrated Baseline
(STIM-AMP = 1.3)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LANA Model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Firing rate (FR)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0.0014 ± 0.0007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0.0262 ± 0.0042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fraction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0.032 ± 0.018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0.955 ± 0.150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active fraction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0.980 ± 0.141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0.910 ± 0.261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FR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0.049 ± 0.007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0.034 ± 0.021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t50 (ticks)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 ± 0.45 (5 NR)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19.3 ± 10.7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t90 (ticks)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 ± 1.7 (5 NR)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34.2 ± 14.3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Wavefront speed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2.39 ± 6.81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10.46 ± 20.63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Fano factor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3.85 ± 1.95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1.42 ± 0.17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Spike CV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4.28 ± 0.62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 ± 0.06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synaptic weight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0.0035 ± 0.0031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0.0112 ± 0.0039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E-field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 ± 0.000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1.885 ± 0.351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finding: </w:t>
      </w:r>
      <w:r>
        <w:rPr>
          <w:rFonts w:ascii="Arial" w:cs="Arial" w:eastAsia="Arial" w:hAnsi="Arial"/>
          <w:sz w:val="20"/>
          <w:szCs w:val="20"/>
        </w:rPr>
        <w:t xml:space="preserve">The calibrated baseline achieves near-complete source-region activation (98%) comparable to the full model (91%), confirming that the stimulus is sufficient to drive local firing. However, global network recruitment differs dramatically: only 3.2% of neurons are active in the baseline versus 95.5% in the full model. This demonstrates that the LANA signal and E-field mechanisms are responsible for distributed propagation, not merely for enabling threshold crossing at the stimulation site.</w:t>
      </w:r>
    </w:p>
    <w:p>
      <w:pPr>
        <w:spacing w:before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 observations: </w:t>
      </w:r>
      <w:r>
        <w:rPr>
          <w:rFonts w:ascii="Arial" w:cs="Arial" w:eastAsia="Arial" w:hAnsi="Arial"/>
          <w:sz w:val="20"/>
          <w:szCs w:val="20"/>
        </w:rPr>
        <w:t xml:space="preserve">The baseline shows extremely high temporal variability (Fano = 3.85, CV = 4.28) compared to the full model (Fano = 1.42, CV = 0.63), indicating irregular burst-like firing confined to the source region rather than the sustained distributed activity seen in the full LANA model. The E-field remains at zero in the baseline (as expected), confirming that the extracellular signaling pathway is inactive.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2026-03-11T10:21:56.952Z</dcterms:created>
  <dcterms:modified xsi:type="dcterms:W3CDTF">2026-03-11T10:21:56.952Z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