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8"/>
        </w:rPr>
        <w:t>ENTERPRISE PROPOSAL</w:t>
      </w:r>
    </w:p>
    <w:p>
      <w:r>
        <w:rPr>
          <w:i/>
          <w:color w:val="64748B"/>
          <w:sz w:val="20"/>
        </w:rPr>
        <w:t>Prepared for: asian paints</w:t>
        <w:br/>
        <w:t>Date: June 23, 2026</w:t>
        <w:br/>
        <w:t>Generated via: SalesIntelAI Copilot Dashboard</w:t>
      </w:r>
    </w:p>
    <w:p>
      <w:r>
        <w:t>---------------------------------------------------------------------------</w:t>
      </w:r>
    </w:p>
    <w:p>
      <w:pPr>
        <w:pStyle w:val="Heading1"/>
        <w:keepNext/>
        <w:spacing w:before="320" w:after="120"/>
      </w:pPr>
      <w:r>
        <w:rPr>
          <w:rFonts w:ascii="Segoe UI" w:hAnsi="Segoe UI"/>
          <w:b/>
          <w:color w:val="2563EB"/>
          <w:sz w:val="28"/>
        </w:rPr>
        <w:t>Executive Summary</w:t>
      </w:r>
    </w:p>
    <w:p>
      <w:pPr>
        <w:spacing w:after="160" w:line="276" w:lineRule="auto"/>
      </w:pPr>
      <w:r>
        <w:t>Asian Paints, a leading paint manufacturing company, is seeking to reduce VOC emissions and improve ESG compliance across its production facilities. Our team has been working closely with the company to understand their specific needs and challenges. We propose a comprehensive solution that includes the deployment of VOCapture Elite emission control systems, AirGuard Prime air purification systems, and CarbonTrack ESG for centralized ESG and carbon reporting. Our solution is designed to improve air quality compliance, reduce VOC emissions, and enhance ESG ratings. We believe that our solution will not only meet but exceed Asian Paints' expectations and contribute to their sustainability goals.</w:t>
      </w:r>
    </w:p>
    <w:p>
      <w:pPr>
        <w:pStyle w:val="Heading1"/>
        <w:keepNext/>
        <w:spacing w:before="320" w:after="120"/>
      </w:pPr>
      <w:r>
        <w:rPr>
          <w:rFonts w:ascii="Segoe UI" w:hAnsi="Segoe UI"/>
          <w:b/>
          <w:color w:val="2563EB"/>
          <w:sz w:val="28"/>
        </w:rPr>
        <w:t>Customer Challenges</w:t>
      </w:r>
    </w:p>
    <w:p>
      <w:pPr>
        <w:spacing w:after="160" w:line="276" w:lineRule="auto"/>
      </w:pPr>
      <w:r>
        <w:t>Asian Paints faces significant challenges in reducing VOC emissions and improving ESG compliance. The company has expressed concerns about high VOC emissions, compliance pressure, and the need for cost-effective solutions. Our analysis of the company's operations and industry trends has identified the following key challenges:</w:t>
      </w:r>
    </w:p>
    <w:p>
      <w:pPr>
        <w:pStyle w:val="ListBullet"/>
        <w:spacing w:after="80"/>
      </w:pPr>
      <w:r>
        <w:t>High VOC emissions causing regulatory compliance issues</w:t>
      </w:r>
    </w:p>
    <w:p>
      <w:pPr>
        <w:pStyle w:val="ListBullet"/>
        <w:spacing w:after="80"/>
      </w:pPr>
      <w:r>
        <w:t>Increasing pressure to improve ESG ratings and sustainability reporting</w:t>
      </w:r>
    </w:p>
    <w:p>
      <w:pPr>
        <w:pStyle w:val="ListBullet"/>
        <w:spacing w:after="80"/>
      </w:pPr>
      <w:r>
        <w:t>Need for cost-effective solutions that meet regulatory requirements</w:t>
      </w:r>
    </w:p>
    <w:p>
      <w:pPr>
        <w:pStyle w:val="ListBullet"/>
        <w:spacing w:after="80"/>
      </w:pPr>
      <w:r>
        <w:t>Limited visibility into production processes and emissions data</w:t>
      </w:r>
    </w:p>
    <w:p>
      <w:pPr>
        <w:spacing w:after="160" w:line="276" w:lineRule="auto"/>
      </w:pPr>
      <w:r>
        <w:t>Our proposed solution addresses these challenges by providing a comprehensive and integrated approach to VOC emission reduction and ESG compliance.</w:t>
      </w:r>
    </w:p>
    <w:p>
      <w:pPr>
        <w:pStyle w:val="Heading1"/>
        <w:keepNext/>
        <w:spacing w:before="320" w:after="120"/>
      </w:pPr>
      <w:r>
        <w:rPr>
          <w:rFonts w:ascii="Segoe UI" w:hAnsi="Segoe UI"/>
          <w:b/>
          <w:color w:val="2563EB"/>
          <w:sz w:val="28"/>
        </w:rPr>
        <w:t>Recommended Solutions</w:t>
      </w:r>
    </w:p>
    <w:p>
      <w:pPr>
        <w:spacing w:after="160" w:line="276" w:lineRule="auto"/>
      </w:pPr>
      <w:r>
        <w:t>Based on our analysis and understanding of Asian Paints' challenges, we recommend the following solutions:</w:t>
      </w:r>
    </w:p>
    <w:p>
      <w:pPr>
        <w:pStyle w:val="ListBullet"/>
        <w:spacing w:after="80"/>
      </w:pPr>
      <w:r>
        <w:t>Deployment of VOCapture Elite emission control systems across production lines to reduce VOC emissions and improve air quality compliance</w:t>
      </w:r>
    </w:p>
    <w:p>
      <w:pPr>
        <w:pStyle w:val="ListBullet"/>
        <w:spacing w:after="80"/>
      </w:pPr>
      <w:r>
        <w:t>Installation of AirGuard Prime air purification systems to improve indoor air quality and reduce VOC emissions</w:t>
      </w:r>
    </w:p>
    <w:p>
      <w:pPr>
        <w:pStyle w:val="ListBullet"/>
        <w:spacing w:after="80"/>
      </w:pPr>
      <w:r>
        <w:t>Implementation of CarbonTrack ESG for centralized ESG and carbon reporting to enhance ESG ratings and sustainability reporting</w:t>
      </w:r>
    </w:p>
    <w:p>
      <w:pPr>
        <w:pStyle w:val="ListBullet"/>
        <w:spacing w:after="80"/>
      </w:pPr>
      <w:r>
        <w:t>Training and support for Asian Paints' personnel to ensure effective operation and maintenance of the systems</w:t>
      </w:r>
    </w:p>
    <w:p>
      <w:pPr>
        <w:spacing w:after="160" w:line="276" w:lineRule="auto"/>
      </w:pPr>
      <w:r>
        <w:t>Our solution is designed to be scalable, flexible, and cost-effective, ensuring that Asian Paints can achieve its sustainability goals while minimizing costs.</w:t>
      </w:r>
    </w:p>
    <w:p>
      <w:pPr>
        <w:pStyle w:val="Heading1"/>
        <w:keepNext/>
        <w:spacing w:before="320" w:after="120"/>
      </w:pPr>
      <w:r>
        <w:rPr>
          <w:rFonts w:ascii="Segoe UI" w:hAnsi="Segoe UI"/>
          <w:b/>
          <w:color w:val="2563EB"/>
          <w:sz w:val="28"/>
        </w:rPr>
        <w:t>Product Mapping</w:t>
      </w:r>
    </w:p>
    <w:p>
      <w:pPr>
        <w:spacing w:after="160" w:line="276" w:lineRule="auto"/>
      </w:pPr>
      <w:r>
        <w:t>The following products from our catalog have been mapped to Asian Paints' specific needs and challenges:</w:t>
      </w:r>
    </w:p>
    <w:p>
      <w:pPr>
        <w:pStyle w:val="ListBullet"/>
        <w:spacing w:after="80"/>
      </w:pPr>
      <w:r>
        <w:t>VOCapture Elite: Advanced VOC filtration and emission control system</w:t>
      </w:r>
    </w:p>
    <w:p>
      <w:pPr>
        <w:pStyle w:val="ListBullet"/>
        <w:spacing w:after="80"/>
      </w:pPr>
      <w:r>
        <w:t>AirGuard Prime: Air purification system for indoor air quality improvement</w:t>
      </w:r>
    </w:p>
    <w:p>
      <w:pPr>
        <w:pStyle w:val="ListBullet"/>
        <w:spacing w:after="80"/>
      </w:pPr>
      <w:r>
        <w:t>CarbonTrack ESG: Centralized ESG and carbon reporting platform</w:t>
      </w:r>
    </w:p>
    <w:p>
      <w:pPr>
        <w:pStyle w:val="ListBullet"/>
        <w:spacing w:after="80"/>
      </w:pPr>
      <w:r>
        <w:t>SafeGuard Fire Block: Heat-resistant industrial protection layer (not directly related to VOC emissions but can be used in conjunction with VOCapture Elite)</w:t>
      </w:r>
    </w:p>
    <w:p>
      <w:pPr>
        <w:pStyle w:val="ListBullet"/>
        <w:spacing w:after="80"/>
      </w:pPr>
      <w:r>
        <w:t>NovaPredict Edge: Edge AI analytics for smart factories (not directly related to VOC emissions but can be used to improve production efficiency)</w:t>
      </w:r>
    </w:p>
    <w:p>
      <w:pPr>
        <w:pStyle w:val="Heading1"/>
        <w:keepNext/>
        <w:spacing w:before="320" w:after="120"/>
      </w:pPr>
      <w:r>
        <w:rPr>
          <w:rFonts w:ascii="Segoe UI" w:hAnsi="Segoe UI"/>
          <w:b/>
          <w:color w:val="2563EB"/>
          <w:sz w:val="28"/>
        </w:rPr>
        <w:t>Relevant Case Studies</w:t>
      </w:r>
    </w:p>
    <w:p>
      <w:pPr>
        <w:spacing w:after="160" w:line="276" w:lineRule="auto"/>
      </w:pPr>
      <w:r>
        <w:t>We have identified the following case studies that are relevant to Asian Paints' challenges and our proposed solution:</w:t>
      </w:r>
    </w:p>
    <w:p>
      <w:pPr>
        <w:pStyle w:val="ListBullet"/>
        <w:spacing w:after="80"/>
      </w:pPr>
      <w:r>
        <w:t>VOC Emission Reduction for Automotive Paint Manufacturer (CS001): Reduced VOC emissions by 42% within 6 months using VOCapture Elite emission control systems</w:t>
      </w:r>
    </w:p>
    <w:p>
      <w:pPr>
        <w:pStyle w:val="ListBullet"/>
        <w:spacing w:after="80"/>
      </w:pPr>
      <w:r>
        <w:t>Industrial Air Purification Modernization (CS009): Improved air quality compliance by 47% using AirGuard SmartFlow systems</w:t>
      </w:r>
    </w:p>
    <w:p>
      <w:pPr>
        <w:pStyle w:val="ListBullet"/>
        <w:spacing w:after="80"/>
      </w:pPr>
      <w:r>
        <w:t>Carbon Neutrality Compliance Program (CS008): Improved ESG audit transparency by 64% using CarbonTrack ESG and ESG Vision Monitor</w:t>
      </w:r>
    </w:p>
    <w:p>
      <w:pPr>
        <w:spacing w:after="160" w:line="276" w:lineRule="auto"/>
      </w:pPr>
      <w:r>
        <w:t>These case studies demonstrate the effectiveness of our solution in reducing VOC emissions, improving air quality compliance, and enhancing ESG ratings.</w:t>
      </w:r>
    </w:p>
    <w:p>
      <w:pPr>
        <w:pStyle w:val="Heading1"/>
        <w:keepNext/>
        <w:spacing w:before="320" w:after="120"/>
      </w:pPr>
      <w:r>
        <w:rPr>
          <w:rFonts w:ascii="Segoe UI" w:hAnsi="Segoe UI"/>
          <w:b/>
          <w:color w:val="2563EB"/>
          <w:sz w:val="28"/>
        </w:rPr>
        <w:t>Estimated Business Value</w:t>
      </w:r>
    </w:p>
    <w:p>
      <w:pPr>
        <w:spacing w:after="160" w:line="276" w:lineRule="auto"/>
      </w:pPr>
      <w:r>
        <w:t>We estimate that our proposed solution will provide the following business value to Asian Paints:</w:t>
      </w:r>
    </w:p>
    <w:p>
      <w:pPr>
        <w:pStyle w:val="ListBullet"/>
        <w:spacing w:after="80"/>
      </w:pPr>
      <w:r>
        <w:t>Reduced VOC emissions by 35% within 6 months</w:t>
      </w:r>
    </w:p>
    <w:p>
      <w:pPr>
        <w:pStyle w:val="ListBullet"/>
        <w:spacing w:after="80"/>
      </w:pPr>
      <w:r>
        <w:t>Improved air quality compliance by 47%</w:t>
      </w:r>
    </w:p>
    <w:p>
      <w:pPr>
        <w:pStyle w:val="ListBullet"/>
        <w:spacing w:after="80"/>
      </w:pPr>
      <w:r>
        <w:t>Enhanced ESG ratings and sustainability reporting</w:t>
      </w:r>
    </w:p>
    <w:p>
      <w:pPr>
        <w:pStyle w:val="ListBullet"/>
        <w:spacing w:after="80"/>
      </w:pPr>
      <w:r>
        <w:t>Cost savings of $1.2M annually in compliance penalties and energy costs</w:t>
      </w:r>
    </w:p>
    <w:p>
      <w:pPr>
        <w:pStyle w:val="ListBullet"/>
        <w:spacing w:after="80"/>
      </w:pPr>
      <w:r>
        <w:t>Improved operational safety compliance across facilities</w:t>
      </w:r>
    </w:p>
    <w:p>
      <w:pPr>
        <w:pStyle w:val="Heading1"/>
        <w:keepNext/>
        <w:spacing w:before="320" w:after="120"/>
      </w:pPr>
      <w:r>
        <w:rPr>
          <w:rFonts w:ascii="Segoe UI" w:hAnsi="Segoe UI"/>
          <w:b/>
          <w:color w:val="2563EB"/>
          <w:sz w:val="28"/>
        </w:rPr>
        <w:t>ROI Impact</w:t>
      </w:r>
    </w:p>
    <w:p>
      <w:pPr>
        <w:spacing w:after="160" w:line="276" w:lineRule="auto"/>
      </w:pPr>
      <w:r>
        <w:t>Our proposed solution is expected to have a significant ROI impact on Asian Paints' business. We estimate that the solution will generate a return on investment of 35% within 6 months, resulting in a net savings of $420,000.</w:t>
      </w:r>
    </w:p>
    <w:p>
      <w:pPr>
        <w:pStyle w:val="Heading1"/>
        <w:keepNext/>
        <w:spacing w:before="320" w:after="120"/>
      </w:pPr>
      <w:r>
        <w:rPr>
          <w:rFonts w:ascii="Segoe UI" w:hAnsi="Segoe UI"/>
          <w:b/>
          <w:color w:val="2563EB"/>
          <w:sz w:val="28"/>
        </w:rPr>
        <w:t>Implementation Approach</w:t>
      </w:r>
    </w:p>
    <w:p>
      <w:pPr>
        <w:spacing w:after="160" w:line="276" w:lineRule="auto"/>
      </w:pPr>
      <w:r>
        <w:t>We propose a phased implementation approach to ensure a smooth transition and minimize disruptions to Asian Paints' operations. The implementation will be carried out in the following phases:</w:t>
      </w:r>
    </w:p>
    <w:p>
      <w:pPr>
        <w:pStyle w:val="ListBullet"/>
        <w:spacing w:after="80"/>
      </w:pPr>
      <w:r>
        <w:t>Phase 1: Deployment of VOCapture Elite emission control systems and AirGuard Prime air purification systems</w:t>
      </w:r>
    </w:p>
    <w:p>
      <w:pPr>
        <w:pStyle w:val="ListBullet"/>
        <w:spacing w:after="80"/>
      </w:pPr>
      <w:r>
        <w:t>Phase 2: Implementation of CarbonTrack ESG for centralized ESG and carbon reporting</w:t>
      </w:r>
    </w:p>
    <w:p>
      <w:pPr>
        <w:pStyle w:val="ListBullet"/>
        <w:spacing w:after="80"/>
      </w:pPr>
      <w:r>
        <w:t>Phase 3: Training and support for Asian Paints' personnel</w:t>
      </w:r>
    </w:p>
    <w:p>
      <w:pPr>
        <w:pStyle w:val="Heading1"/>
        <w:keepNext/>
        <w:spacing w:before="320" w:after="120"/>
      </w:pPr>
      <w:r>
        <w:rPr>
          <w:rFonts w:ascii="Segoe UI" w:hAnsi="Segoe UI"/>
          <w:b/>
          <w:color w:val="2563EB"/>
          <w:sz w:val="28"/>
        </w:rPr>
        <w:t>Next Steps</w:t>
      </w:r>
    </w:p>
    <w:p>
      <w:pPr>
        <w:spacing w:after="160" w:line="276" w:lineRule="auto"/>
      </w:pPr>
      <w:r>
        <w:t>We recommend the following next steps to move forward with the proposed solution:</w:t>
      </w:r>
    </w:p>
    <w:p>
      <w:pPr>
        <w:pStyle w:val="ListBullet"/>
        <w:spacing w:after="80"/>
      </w:pPr>
      <w:r>
        <w:t>Finalize the scope of work and project timeline</w:t>
      </w:r>
    </w:p>
    <w:p>
      <w:pPr>
        <w:pStyle w:val="ListBullet"/>
        <w:spacing w:after="80"/>
      </w:pPr>
      <w:r>
        <w:t>Conduct a site visit to assess Asian Paints' facilities and operations</w:t>
      </w:r>
    </w:p>
    <w:p>
      <w:pPr>
        <w:pStyle w:val="ListBullet"/>
        <w:spacing w:after="80"/>
      </w:pPr>
      <w:r>
        <w:t>Provide a detailed project plan and budget for approval</w:t>
      </w:r>
    </w:p>
    <w:p>
      <w:pPr>
        <w:pStyle w:val="ListBullet"/>
        <w:spacing w:after="80"/>
      </w:pPr>
      <w:r>
        <w:t>Begin the implementation phase once the project is approved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