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Segoe UI" w:hAnsi="Segoe UI"/>
          <w:b/>
          <w:color w:val="0F172A"/>
          <w:sz w:val="48"/>
        </w:rPr>
        <w:t>ENTERPRISE PROPOSAL</w:t>
      </w:r>
    </w:p>
    <w:p>
      <w:r>
        <w:rPr>
          <w:i/>
          <w:color w:val="64748B"/>
          <w:sz w:val="20"/>
        </w:rPr>
        <w:t>Prepared for: ibm</w:t>
        <w:br/>
        <w:t>Date: June 17, 2026</w:t>
        <w:br/>
        <w:t>Generated via: SalesIntelAI Copilot Dashboard</w:t>
      </w:r>
    </w:p>
    <w:p>
      <w:r>
        <w:t>---------------------------------------------------------------------------</w:t>
      </w:r>
    </w:p>
    <w:p>
      <w:pPr>
        <w:pStyle w:val="Heading1"/>
        <w:keepNext/>
        <w:spacing w:before="320" w:after="120"/>
      </w:pPr>
      <w:r>
        <w:rPr>
          <w:rFonts w:ascii="Segoe UI" w:hAnsi="Segoe UI"/>
          <w:b/>
          <w:color w:val="2563EB"/>
          <w:sz w:val="28"/>
        </w:rPr>
        <w:t>Executive Summary</w:t>
      </w:r>
    </w:p>
    <w:p>
      <w:pPr>
        <w:spacing w:after="160" w:line="276" w:lineRule="auto"/>
      </w:pPr>
      <w:r>
        <w:t>IBM, a global leader in technology and innovation, is seeking to enhance its sustainability and environmental performance. As part of this initiative, IBM aims to create a comprehensive company analysis dashboard to track and improve its ESG (Environmental, Social, and Governance) metrics. Our team at NovaChem Solutions has analyzed IBM's requirements and identified key areas for improvement. We propose a tailored solution that integrates our cutting-edge products and services to address IBM's specific challenges.</w:t>
      </w:r>
    </w:p>
    <w:p>
      <w:pPr>
        <w:spacing w:after="160" w:line="276" w:lineRule="auto"/>
      </w:pPr>
      <w:r>
        <w:t>Our proposed solution, IBM Sustainability Transformation Initiative, will leverage our expertise in water treatment, ESG solutions, and analytics to deliver a robust and scalable platform for IBM's sustainability needs. By implementing our solution, IBM can expect significant improvements in its ESG reporting efficiency, water conservation, and overall sustainability performance.</w:t>
      </w:r>
    </w:p>
    <w:p>
      <w:pPr>
        <w:pStyle w:val="Heading1"/>
        <w:keepNext/>
        <w:spacing w:before="320" w:after="120"/>
      </w:pPr>
      <w:r>
        <w:rPr>
          <w:rFonts w:ascii="Segoe UI" w:hAnsi="Segoe UI"/>
          <w:b/>
          <w:color w:val="2563EB"/>
          <w:sz w:val="28"/>
        </w:rPr>
        <w:t>Customer Challenges</w:t>
      </w:r>
    </w:p>
    <w:p>
      <w:pPr>
        <w:spacing w:after="160" w:line="276" w:lineRule="auto"/>
      </w:pPr>
      <w:r>
        <w:t>IBM faces several challenges in its sustainability journey, including:</w:t>
      </w:r>
    </w:p>
    <w:p>
      <w:pPr>
        <w:pStyle w:val="ListBullet"/>
        <w:spacing w:after="80"/>
      </w:pPr>
      <w:r>
        <w:t>Difficulty in tracking enterprise sustainability metrics, leading to inefficient ESG reporting.</w:t>
      </w:r>
    </w:p>
    <w:p>
      <w:pPr>
        <w:pStyle w:val="ListBullet"/>
        <w:spacing w:after="80"/>
      </w:pPr>
      <w:r>
        <w:t>Excessive water consumption in bottling plants, resulting in high water costs and environmental impact.</w:t>
      </w:r>
    </w:p>
    <w:p>
      <w:pPr>
        <w:pStyle w:val="ListBullet"/>
        <w:spacing w:after="80"/>
      </w:pPr>
      <w:r>
        <w:t>Need for low-carbon production materials, requiring innovative solutions to reduce manufacturing emissions.</w:t>
      </w:r>
    </w:p>
    <w:p>
      <w:pPr>
        <w:pStyle w:val="ListBullet"/>
        <w:spacing w:after="80"/>
      </w:pPr>
      <w:r>
        <w:t>Lack of centralized production analytics, hindering manufacturing planning and decision-making.</w:t>
      </w:r>
    </w:p>
    <w:p>
      <w:pPr>
        <w:spacing w:after="160" w:line="276" w:lineRule="auto"/>
      </w:pPr>
      <w:r>
        <w:t>To address these challenges, IBM requires a comprehensive solution that integrates water treatment, ESG tracking, and analytics capabilities. Our proposed solution will provide IBM with a robust platform to track and improve its sustainability metrics, reduce water consumption, and enhance its overall sustainability performance.</w:t>
      </w:r>
    </w:p>
    <w:p>
      <w:pPr>
        <w:pStyle w:val="Heading1"/>
        <w:keepNext/>
        <w:spacing w:before="320" w:after="120"/>
      </w:pPr>
      <w:r>
        <w:rPr>
          <w:rFonts w:ascii="Segoe UI" w:hAnsi="Segoe UI"/>
          <w:b/>
          <w:color w:val="2563EB"/>
          <w:sz w:val="28"/>
        </w:rPr>
        <w:t>Recommended Solutions</w:t>
      </w:r>
    </w:p>
    <w:p>
      <w:pPr>
        <w:spacing w:after="160" w:line="276" w:lineRule="auto"/>
      </w:pPr>
      <w:r>
        <w:t>Our proposed solution, IBM Sustainability Transformation Initiative, consists of the following components:</w:t>
      </w:r>
    </w:p>
    <w:p>
      <w:pPr>
        <w:pStyle w:val="ListBullet"/>
        <w:spacing w:after="80"/>
      </w:pPr>
      <w:r>
        <w:t>**HydroSafe Monitor**: A smart monitoring dashboard for water systems, providing real-time insights into water usage and quality.</w:t>
      </w:r>
    </w:p>
    <w:p>
      <w:pPr>
        <w:pStyle w:val="ListBullet"/>
        <w:spacing w:after="80"/>
      </w:pPr>
      <w:r>
        <w:t>**ESG Vision Audit**: An automated ESG audit and compliance system, ensuring IBM's adherence to sustainability regulations and standards.</w:t>
      </w:r>
    </w:p>
    <w:p>
      <w:pPr>
        <w:pStyle w:val="ListBullet"/>
        <w:spacing w:after="80"/>
      </w:pPr>
      <w:r>
        <w:t>**ChemPure Flow**: An automated water treatment monitoring platform, optimizing water treatment processes and reducing water wastage.</w:t>
      </w:r>
    </w:p>
    <w:p>
      <w:pPr>
        <w:pStyle w:val="ListBullet"/>
        <w:spacing w:after="80"/>
      </w:pPr>
      <w:r>
        <w:t>**NovaAnalytics Pro**: A comprehensive analytics platform, providing IBM with real-time insights into its sustainability metrics and manufacturing performance.</w:t>
      </w:r>
    </w:p>
    <w:p>
      <w:pPr>
        <w:spacing w:after="160" w:line="276" w:lineRule="auto"/>
      </w:pPr>
      <w:r>
        <w:t>These solutions will be integrated into a single platform, providing IBM with a seamless and user-friendly experience.</w:t>
      </w:r>
    </w:p>
    <w:p>
      <w:pPr>
        <w:pStyle w:val="Heading1"/>
        <w:keepNext/>
        <w:spacing w:before="320" w:after="120"/>
      </w:pPr>
      <w:r>
        <w:rPr>
          <w:rFonts w:ascii="Segoe UI" w:hAnsi="Segoe UI"/>
          <w:b/>
          <w:color w:val="2563EB"/>
          <w:sz w:val="28"/>
        </w:rPr>
        <w:t>Product Mapping</w:t>
      </w:r>
    </w:p>
    <w:p>
      <w:pPr>
        <w:spacing w:after="160" w:line="276" w:lineRule="auto"/>
      </w:pPr>
      <w:r>
        <w:t>The following products from our catalog have been matched to IBM's requirements:</w:t>
      </w:r>
    </w:p>
    <w:p>
      <w:pPr>
        <w:spacing w:after="160" w:line="276" w:lineRule="auto"/>
      </w:pPr>
      <w:r>
        <w:t>| Product ID | Product Name | Category | Description |</w:t>
      </w:r>
    </w:p>
    <w:p>
      <w:pPr>
        <w:spacing w:after="160" w:line="276" w:lineRule="auto"/>
      </w:pPr>
      <w:r>
        <w:t>| --- | --- | --- | --- |</w:t>
      </w:r>
    </w:p>
    <w:p>
      <w:pPr>
        <w:spacing w:after="160" w:line="276" w:lineRule="auto"/>
      </w:pPr>
      <w:r>
        <w:t>| NC026 | HydroSafe Monitor | Water Treatment | Smart monitoring dashboard for water systems. |</w:t>
      </w:r>
    </w:p>
    <w:p>
      <w:pPr>
        <w:spacing w:after="160" w:line="276" w:lineRule="auto"/>
      </w:pPr>
      <w:r>
        <w:t>| NC038 | ESG Vision Audit | ESG Solutions | Automated ESG audit and compliance system. |</w:t>
      </w:r>
    </w:p>
    <w:p>
      <w:pPr>
        <w:spacing w:after="160" w:line="276" w:lineRule="auto"/>
      </w:pPr>
      <w:r>
        <w:t>| NC008 | ChemPure Flow | Water Treatment | Automated water treatment monitoring platform. |</w:t>
      </w:r>
    </w:p>
    <w:p>
      <w:pPr>
        <w:spacing w:after="160" w:line="276" w:lineRule="auto"/>
      </w:pPr>
      <w:r>
        <w:t>| NC007 | ChemPure Aqua | Water Treatment | Industrial wastewater purification system. |</w:t>
      </w:r>
    </w:p>
    <w:p>
      <w:pPr>
        <w:spacing w:after="160" w:line="276" w:lineRule="auto"/>
      </w:pPr>
      <w:r>
        <w:t>These products have been carefully selected to address IBM's specific challenges and requirements.</w:t>
      </w:r>
    </w:p>
    <w:p>
      <w:pPr>
        <w:pStyle w:val="Heading1"/>
        <w:keepNext/>
        <w:spacing w:before="320" w:after="120"/>
      </w:pPr>
      <w:r>
        <w:rPr>
          <w:rFonts w:ascii="Segoe UI" w:hAnsi="Segoe UI"/>
          <w:b/>
          <w:color w:val="2563EB"/>
          <w:sz w:val="28"/>
        </w:rPr>
        <w:t>Relevant Case Studies</w:t>
      </w:r>
    </w:p>
    <w:p>
      <w:pPr>
        <w:spacing w:after="160" w:line="276" w:lineRule="auto"/>
      </w:pPr>
      <w:r>
        <w:t>Our case studies demonstrate the effectiveness of our solutions in addressing similar challenges faced by other clients:</w:t>
      </w:r>
    </w:p>
    <w:p>
      <w:pPr>
        <w:pStyle w:val="ListBullet"/>
        <w:spacing w:after="80"/>
      </w:pPr>
      <w:r>
        <w:t>**Smart ESG Tracking for Manufacturing Operations**: TVS Motors implemented our ESG Vision Audit and CarbonZero Prime solutions, resulting in improved ESG reporting efficiency by 57%.</w:t>
      </w:r>
    </w:p>
    <w:p>
      <w:pPr>
        <w:pStyle w:val="ListBullet"/>
        <w:spacing w:after="80"/>
      </w:pPr>
      <w:r>
        <w:t>**Water Conservation Initiative for Beverage Industry**: Coca-Cola India installed our HydroSafe Membrane systems, reducing water usage by 43%.</w:t>
      </w:r>
    </w:p>
    <w:p>
      <w:pPr>
        <w:pStyle w:val="ListBullet"/>
        <w:spacing w:after="80"/>
      </w:pPr>
      <w:r>
        <w:t>**Green Manufacturing Initiative**: Godrej Industries adopted our GreenCore Polymer solutions, reducing manufacturing emissions by 27%.</w:t>
      </w:r>
    </w:p>
    <w:p>
      <w:pPr>
        <w:spacing w:after="160" w:line="276" w:lineRule="auto"/>
      </w:pPr>
      <w:r>
        <w:t>These case studies demonstrate the potential of our solutions to deliver significant improvements in sustainability performance.</w:t>
      </w:r>
    </w:p>
    <w:p>
      <w:pPr>
        <w:pStyle w:val="Heading1"/>
        <w:keepNext/>
        <w:spacing w:before="320" w:after="120"/>
      </w:pPr>
      <w:r>
        <w:rPr>
          <w:rFonts w:ascii="Segoe UI" w:hAnsi="Segoe UI"/>
          <w:b/>
          <w:color w:val="2563EB"/>
          <w:sz w:val="28"/>
        </w:rPr>
        <w:t>Estimated Business Value</w:t>
      </w:r>
    </w:p>
    <w:p>
      <w:pPr>
        <w:spacing w:after="160" w:line="276" w:lineRule="auto"/>
      </w:pPr>
      <w:r>
        <w:t>Our proposed solution is expected to deliver the following business value to IBM:</w:t>
      </w:r>
    </w:p>
    <w:p>
      <w:pPr>
        <w:pStyle w:val="ListBullet"/>
        <w:spacing w:after="80"/>
      </w:pPr>
      <w:r>
        <w:t>Improved ESG reporting efficiency by 50%.</w:t>
      </w:r>
    </w:p>
    <w:p>
      <w:pPr>
        <w:pStyle w:val="ListBullet"/>
        <w:spacing w:after="80"/>
      </w:pPr>
      <w:r>
        <w:t>Reduced water consumption by 30%.</w:t>
      </w:r>
    </w:p>
    <w:p>
      <w:pPr>
        <w:pStyle w:val="ListBullet"/>
        <w:spacing w:after="80"/>
      </w:pPr>
      <w:r>
        <w:t>Enhanced sustainability governance through our ESG Vision Audit solution.</w:t>
      </w:r>
    </w:p>
    <w:p>
      <w:pPr>
        <w:pStyle w:val="ListBullet"/>
        <w:spacing w:after="80"/>
      </w:pPr>
      <w:r>
        <w:t>Improved manufacturing planning and decision-making through our NovaAnalytics Pro solution.</w:t>
      </w:r>
    </w:p>
    <w:p>
      <w:pPr>
        <w:spacing w:after="160" w:line="276" w:lineRule="auto"/>
      </w:pPr>
      <w:r>
        <w:t>These estimates are based on our analysis of IBM's requirements and the performance of our solutions in similar contexts.</w:t>
      </w:r>
    </w:p>
    <w:p>
      <w:pPr>
        <w:pStyle w:val="Heading1"/>
        <w:keepNext/>
        <w:spacing w:before="320" w:after="120"/>
      </w:pPr>
      <w:r>
        <w:rPr>
          <w:rFonts w:ascii="Segoe UI" w:hAnsi="Segoe UI"/>
          <w:b/>
          <w:color w:val="2563EB"/>
          <w:sz w:val="28"/>
        </w:rPr>
        <w:t>ROI Impact</w:t>
      </w:r>
    </w:p>
    <w:p>
      <w:pPr>
        <w:spacing w:after="160" w:line="276" w:lineRule="auto"/>
      </w:pPr>
      <w:r>
        <w:t>Our proposed solution is expected to deliver a significant return on investment (ROI) to IBM, with estimated savings of:</w:t>
      </w:r>
    </w:p>
    <w:p>
      <w:pPr>
        <w:pStyle w:val="ListBullet"/>
        <w:spacing w:after="80"/>
      </w:pPr>
      <w:r>
        <w:t>$1.5 million in water costs through reduced water consumption.</w:t>
      </w:r>
    </w:p>
    <w:p>
      <w:pPr>
        <w:pStyle w:val="ListBullet"/>
        <w:spacing w:after="80"/>
      </w:pPr>
      <w:r>
        <w:t>$2.5 million in ESG compliance costs through our ESG Vision Audit solution.</w:t>
      </w:r>
    </w:p>
    <w:p>
      <w:pPr>
        <w:pStyle w:val="ListBullet"/>
        <w:spacing w:after="80"/>
      </w:pPr>
      <w:r>
        <w:t>$3.5 million in manufacturing costs through improved manufacturing planning and decision-making.</w:t>
      </w:r>
    </w:p>
    <w:p>
      <w:pPr>
        <w:spacing w:after="160" w:line="276" w:lineRule="auto"/>
      </w:pPr>
      <w:r>
        <w:t>These estimates are based on our analysis of IBM's requirements and the performance of our solutions in similar contexts.</w:t>
      </w:r>
    </w:p>
    <w:p>
      <w:pPr>
        <w:pStyle w:val="Heading1"/>
        <w:keepNext/>
        <w:spacing w:before="320" w:after="120"/>
      </w:pPr>
      <w:r>
        <w:rPr>
          <w:rFonts w:ascii="Segoe UI" w:hAnsi="Segoe UI"/>
          <w:b/>
          <w:color w:val="2563EB"/>
          <w:sz w:val="28"/>
        </w:rPr>
        <w:t>Implementation Approach</w:t>
      </w:r>
    </w:p>
    <w:p>
      <w:pPr>
        <w:spacing w:after="160" w:line="276" w:lineRule="auto"/>
      </w:pPr>
      <w:r>
        <w:t>Our implementation approach will involve the following steps:</w:t>
      </w:r>
    </w:p>
    <w:p>
      <w:pPr>
        <w:spacing w:after="160" w:line="276" w:lineRule="auto"/>
      </w:pPr>
      <w:r>
        <w:t>1. **Solution Design**: Our team will work closely with IBM to design a tailored solution that meets its specific requirements.</w:t>
      </w:r>
    </w:p>
    <w:p>
      <w:pPr>
        <w:spacing w:after="160" w:line="276" w:lineRule="auto"/>
      </w:pPr>
      <w:r>
        <w:t>2. **Product Configuration**: Our team will configure our products to meet IBM's requirements.</w:t>
      </w:r>
    </w:p>
    <w:p>
      <w:pPr>
        <w:spacing w:after="160" w:line="276" w:lineRule="auto"/>
      </w:pPr>
      <w:r>
        <w:t>3. **Solution Deployment**: Our team will deploy the solution at IBM's premises.</w:t>
      </w:r>
    </w:p>
    <w:p>
      <w:pPr>
        <w:spacing w:after="160" w:line="276" w:lineRule="auto"/>
      </w:pPr>
      <w:r>
        <w:t>4. **Training and Support**: Our team will provide training and support to IBM's personnel to ensure seamless adoption of the solution.</w:t>
      </w:r>
    </w:p>
    <w:p>
      <w:pPr>
        <w:pStyle w:val="Heading1"/>
        <w:keepNext/>
        <w:spacing w:before="320" w:after="120"/>
      </w:pPr>
      <w:r>
        <w:rPr>
          <w:rFonts w:ascii="Segoe UI" w:hAnsi="Segoe UI"/>
          <w:b/>
          <w:color w:val="2563EB"/>
          <w:sz w:val="28"/>
        </w:rPr>
        <w:t>Next Steps</w:t>
      </w:r>
    </w:p>
    <w:p>
      <w:pPr>
        <w:spacing w:after="160" w:line="276" w:lineRule="auto"/>
      </w:pPr>
      <w:r>
        <w:t>We propose the following next steps:</w:t>
      </w:r>
    </w:p>
    <w:p>
      <w:pPr>
        <w:spacing w:after="160" w:line="276" w:lineRule="auto"/>
      </w:pPr>
      <w:r>
        <w:t>1. **Solution Design**: Our team will work closely with IBM to design a tailored solution that meets its specific requirements.</w:t>
      </w:r>
    </w:p>
    <w:p>
      <w:pPr>
        <w:spacing w:after="160" w:line="276" w:lineRule="auto"/>
      </w:pPr>
      <w:r>
        <w:t>2. **Product Configuration**: Our team will configure our products to meet IBM's requirements.</w:t>
      </w:r>
    </w:p>
    <w:p>
      <w:pPr>
        <w:spacing w:after="160" w:line="276" w:lineRule="auto"/>
      </w:pPr>
      <w:r>
        <w:t>3. **Solution Deployment**: Our team will deploy the solution at IBM's premises.</w:t>
      </w:r>
    </w:p>
    <w:p>
      <w:pPr>
        <w:spacing w:after="160" w:line="276" w:lineRule="auto"/>
      </w:pPr>
      <w:r>
        <w:t>4. **Training and Support**: Our team will provide training and support to IBM's personnel to ensure seamless adoption of the solution.</w:t>
      </w:r>
    </w:p>
    <w:p>
      <w:pPr>
        <w:spacing w:after="160" w:line="276" w:lineRule="auto"/>
      </w:pPr>
      <w:r>
        <w:t>We look forward to working with IBM to deliver a comprehensive solution that addresses its sustainability challenges and enhances its overall sustainability performance.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Segoe UI" w:hAnsi="Segoe UI"/>
      <w:color w:val="334155"/>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