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1uenzc1b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Interviewee: Candace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jvpljsy9l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Property Status &amp; Compliance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Grizzly Peak area (High-risk zone).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The property is fully compliant with all current </w:t>
      </w:r>
      <w:r w:rsidDel="00000000" w:rsidR="00000000" w:rsidRPr="00000000">
        <w:rPr>
          <w:b w:val="1"/>
          <w:bCs w:val="1"/>
          <w:rtl w:val="0"/>
        </w:rPr>
        <w:t xml:space="preserve">EMBER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Standards:</w:t>
      </w:r>
      <w:r w:rsidDel="00000000" w:rsidR="00000000" w:rsidRPr="00000000">
        <w:rPr>
          <w:rtl w:val="0"/>
        </w:rPr>
        <w:t xml:space="preserve"> The home was rebuilt in 2015, ensuring it meets updated California fire codes (e.g., ignition-resistant materials, specialized venting).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BFD Assessment:</w:t>
      </w:r>
      <w:r w:rsidDel="00000000" w:rsidR="00000000" w:rsidRPr="00000000">
        <w:rPr>
          <w:rtl w:val="0"/>
        </w:rPr>
        <w:t xml:space="preserve"> Berkeley Fire Department (BFD) has cited the property as a "best-in-class" example of fire risk mitigation.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k7es4q8fo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Challenges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Non-Renewal:</w:t>
      </w:r>
      <w:r w:rsidDel="00000000" w:rsidR="00000000" w:rsidRPr="00000000">
        <w:rPr>
          <w:rtl w:val="0"/>
        </w:rPr>
        <w:t xml:space="preserve"> State Farm canceled the homeowners' fire insurance policy in 2025 despite the home’s high safety rating.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Options:</w:t>
      </w:r>
      <w:r w:rsidDel="00000000" w:rsidR="00000000" w:rsidRPr="00000000">
        <w:rPr>
          <w:rtl w:val="0"/>
        </w:rPr>
        <w:t xml:space="preserve"> The residents are currently forced to use the </w:t>
      </w:r>
      <w:r w:rsidDel="00000000" w:rsidR="00000000" w:rsidRPr="00000000">
        <w:rPr>
          <w:b w:val="1"/>
          <w:bCs w:val="1"/>
          <w:rtl w:val="0"/>
        </w:rPr>
        <w:t xml:space="preserve">California FAIR Plan</w:t>
      </w:r>
      <w:r w:rsidDel="00000000" w:rsidR="00000000" w:rsidRPr="00000000">
        <w:rPr>
          <w:rtl w:val="0"/>
        </w:rPr>
        <w:t xml:space="preserve">, which presents two primary issues: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Significantly higher premiums compared to traditional carriers.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Coverage Gap:</w:t>
      </w:r>
      <w:r w:rsidDel="00000000" w:rsidR="00000000" w:rsidRPr="00000000">
        <w:rPr>
          <w:rtl w:val="0"/>
        </w:rPr>
        <w:t xml:space="preserve"> The policy provides less coverage than necessary for the property's value and risks.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uya3vitmj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Action Items &amp; Requests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Request:</w:t>
      </w:r>
      <w:r w:rsidDel="00000000" w:rsidR="00000000" w:rsidRPr="00000000">
        <w:rPr>
          <w:rtl w:val="0"/>
        </w:rPr>
        <w:t xml:space="preserve"> The resident has requested a </w:t>
      </w:r>
      <w:r w:rsidDel="00000000" w:rsidR="00000000" w:rsidRPr="00000000">
        <w:rPr>
          <w:b w:val="1"/>
          <w:bCs w:val="1"/>
          <w:rtl w:val="0"/>
        </w:rPr>
        <w:t xml:space="preserve">well-researched resource guide</w:t>
      </w:r>
      <w:r w:rsidDel="00000000" w:rsidR="00000000" w:rsidRPr="00000000">
        <w:rPr>
          <w:rtl w:val="0"/>
        </w:rPr>
        <w:t xml:space="preserve"> for navigating the current California fire insurance market.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Identify private carriers or specialized brokers who recognize high-mitigation efforts (like EMBER compliance) to potentially move off the FAIR Plan.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