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mkzyhkm5k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Interviewee: Greg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53r7umqzc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Berkeley's Inspection Resource Challenges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Department faces severe resource constraints for conducting fire safety inspections 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is training high school and junior college students to augment inspection capacity and serve as a recruitment tool 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Newly designated Fire Zone 4 (approximately 900 homes in upper Berkeley Hills near Grizzly Peak) will consume the entire inspection division's resources 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Areas in lower fire severity zones (zones 2-3) will not receive inspections for several years due to resource limitations 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not only financial—finding and training qualified inspectors takes significant time and effort ​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ly3cs3j2p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 Severity Zones and Regulations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has four fire severity zones: Zone 1 (minimal risk), Zone 2 (moderate), Zone 3 (significant), and Zone 4 (severe) 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4 was recently created based on fire science showing where wildfires are most likely to come over the ridge from East Bay Parks 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precedent: fires occurred in 1923 and 1991 following similar patterns 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is prioritizing limited resources on the highest-risk areas 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4 has stricter mitigation requirements than lower zones ​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7m311d5yr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EMBER Ordinance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EMBER (Ember Mitigation for Berkeley Emergency Response) ordinance was championed by Fire Chief Dave Sprague after the LA fires in January 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ordinance was developed collaboratively by Chief Sprague and Council Member Blackaby 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no combustible material within five feet of homes (zone zero compliance) 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exist for wooden fences parallel to homes (but not perpendicular or touching) ​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 unanimously by City Council despite some community pushback 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meetings and town halls were held, though some residents claim insufficient input ​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pklpysblw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Potential for Virtual Inspection Technology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virtual or meta-inspection platform could allow inspectors to cover significantly more ground more quickly 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inspectors would focus only on exceptions, unclear cases, or areas requiring follow-up 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could relieve strain on inspection resources and enable expanded coverage 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Chief Arnold mentioned other groups are applying for grants for similar initiatives—need to understand the competitive landscape 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existing off-the-shelf solutions are currently available, as evidenced by the ongoing resource constraints ​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inspections have not been discussed by the department yet ​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49wofmim9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and Technical Requirements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data needed includes fire severity zone designations and parcel boundaries 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Parcel information (single-family vs. multifamily) impacts density and evacuation procedures 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regulations and requirements must be incorporated 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need to measure distances between buildings and vegetation from satellite imagery 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UC Berkeley computer science team created a fire data repository project that aggregated disparate wildfire-related data—students should connect with Professor Alec and the team ​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and legal search concerns need investigation—unclear if Google Maps data can be used for official inspections, especially since property owners can opt out ​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efs2qhoz7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Stakeholder Landscape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Directly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900 homeowners in Fire Zone 4—reactions range from attempted recall of the council member who introduced the ordinance to strong support 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Berkeley residents are stakeholders since uncontrolled wildfires could reach the bay and affect the entire city ​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Government and Institutional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and Safety Commission (unanimously supported the ordinance) 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City Council (provided unanimous support) ​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 Berkeley (owns significant land and conducts mitigation work like eucalyptus removal) ​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East Bay Regional Parks (where greatest fire threat originates) ​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fire jurisdictions in Alameda and Contra Costa Counties ​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Costa Fire Safe Council and Berkeley Fire Safe Council 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industry (potential major stakeholder and customer) ​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rikqmg18m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Insurance Industry Opportunity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companies evaluate homes in fire-prone areas but use inconsistent methods (e.g., requesting photographs) 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certified wildfire mitigation programs (like Boulder County's Wildfire Partners) may not satisfy insurance requirements 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companies could use a virtual inspection platform to assess risk levels and determine insurability ​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Insurance specializes in high-value homes in wildfire areas ​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a2fqlumur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Compliance and Enforcement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Inspections began recently, but citations won't be issued until May or June 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owners will have time to make corrections or show progress (work planned/applied for) ​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Fines start at approximately $100 and escalate (possibly to $50/day for continued non-compliance)—Assistant Chief Arnold can provide exact figures ​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can prevent building permits from being filed 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department and commission prefer using incentives ("carrots") over penalties ("sticks") ​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commission is researching subsidy programs to help homeowners afford mitigation work ​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jszkxjrvo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Information Access Challenges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homeowner concerns include changing property appearance and cost of mitigation ​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misinformation exists about what the regulations actually require 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virtual inspection platform could help homeowners understand their specific hazards and mitigation options ​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Berkeley Fire Safe website and fire department website contain relevant information, but it's not always easy to find ​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ordinance amendments regarding tree trimming and other details may not be finalized yet ​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8g15xgkio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Complexities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properties have existing non-conformance to zoning, building codes, and public right-of-way boundaries ​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Fences and hedges may encroach on public right-of-way near streets and sidewalks 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Conflicts can arise between departments (Fire requiring mitigation vs. Planning/Public Works restricting replacements due to setback requirements) ​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zero compliance may require addressing issues on neighboring properties 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cannot enter private property without permission, limiting inspections to street-level views ​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avva7nr1n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Geographic Context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Boulder County (Colorado) has stricter requirements through Wildfire Partners program 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Boulder ties wildfire certification to remodeling permits and short-term rental licenses 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California has statewide building codes for fire hazards (e.g., prohibiting cedar shake roof replacement) 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EMBER ordinance closed previous loopholes (e.g., replacing less than 48% of combustible roofing with similar material) ​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3tb944e5b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Steps and Action Items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Greg to send interview contact list by end of day 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to conduct 10 informational interviews by next Wednesday 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to develop interview request wording emphasizing this is a class project exploring platform desirability, feasibility, and challenges 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ask interviewees about existing tech solutions and competitive landscape ​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mention Greg's name but not his official title when reaching out ​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lk7gsd3td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Interview Contacts Suggested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Chief Dave Sprague (native Berkeley resident, initiated EMBER ordinance) ​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Chief Arnold (heads Wildland Urban Interface division, oversees inspections and compliance) ​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Council Member Blackaby (worked with Chief Sprague on ordinance) 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Alec and computer science team (created fire data repository) 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contacts from insurance industry and other jurisdictions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