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liiyvij9i6f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Contractor Discovery &amp; Hiring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Interviewee: Matt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Finding Contractors: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Found contractor through TaskRabbit — used the platform as primary discovery method rather than personal referrals or local search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Settled on a quote directly within the app, making the initial hiring process relatively straightforward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Platform Experience: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Multiple contractors canceled before one finally accepted and completed the job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Contractor was responsive and communicated through the TaskRabbit platform throughout the process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quoting and booking process itself was easy once a contractor stuck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b0nh88m38vn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Quality of Work &amp; Execution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On-Site Experience: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contractor who showed up was noticeably unpleasant — described as "a very angry person" who was not comfortable to have in the home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 of work was below average — the contractor did not properly cut the coax cable during the internet rerouting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Plotkin had to personally splice and reconnect the cable himself to fix the contractor's poor execution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Key Pattern:</w:t>
      </w:r>
      <w:r w:rsidDel="00000000" w:rsidR="00000000" w:rsidRPr="00000000">
        <w:rPr>
          <w:rtl w:val="0"/>
        </w:rPr>
        <w:t xml:space="preserve"> Even for a relatively simple, well-defined task (cable rerouting), the contractor failed to deliver acceptable quality, requiring the homeowner to redo part of the work themselves.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fb0yojj7j69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Insights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Platform convenience ≠ quality assurance:</w:t>
      </w:r>
      <w:r w:rsidDel="00000000" w:rsidR="00000000" w:rsidRPr="00000000">
        <w:rPr>
          <w:rtl w:val="0"/>
        </w:rPr>
        <w:t xml:space="preserve"> TaskRabbit made finding and booking a contractor easy, but the platform did nothing to ensure quality of execution — the homeowner still ended up with a bad experience and substandard work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Contractor reliability gap validated:</w:t>
      </w:r>
      <w:r w:rsidDel="00000000" w:rsidR="00000000" w:rsidRPr="00000000">
        <w:rPr>
          <w:rtl w:val="0"/>
        </w:rPr>
        <w:t xml:space="preserve"> Multiple cancellations before finding someone willing to complete the job reinforces the broader pattern of contractor unreliability, even for straightforward residential tasks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Homeowner as fallback QA:</w:t>
      </w:r>
      <w:r w:rsidDel="00000000" w:rsidR="00000000" w:rsidRPr="00000000">
        <w:rPr>
          <w:rtl w:val="0"/>
        </w:rPr>
        <w:t xml:space="preserve"> When the contractor failed to execute properly, the homeowner had to step in and fix it — highlights the lack of accountability or verification mechanisms in the current contractor ecosystem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4b0uepxnjd7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Implications for Fire Safe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contractors can't reliably reroute an internet cable, the execution risk for more complex fire mitigation work (defensible space, vegetation management, home hardening) is significantly higher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Contractor marketplaces optimize for matching and booking but not for quality verification — verification layer opportunity remains wide open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Homeowner willingness to tolerate poor experiences suggests high latent demand for quality-assured, verified contractor services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cancellation pattern (multiple contractors dropping before one completed) mirrors fire mitigation contractor availability challenges in WUI zones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201.60000000000002" w:top="748.8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