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with Ruth Ehrenkrantz, a landscape architect and key community volunteer, detailing the wildfire mitigation efforts in the Berkeley Hills.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community has demonstrated a powerful commitment to safety through the national Firewise organization, investing significant personal time, financial resources, and collaborative energy.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initiative is a compelling model for how grassroots organization can lead to effective public safety outcomes and increased community resilience.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Firewise Program: Structure and Achievements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Firewise program is the central organizing body for the community's efforts, aiming to guide 12,000 residents toward compliance with fire safety regulations over the last three years.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ambitious goal has been set to achieve 80% compliance for homes located in the high-risk Grizzly Peak area.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program's success is measurable; in 2025 alone, one local group documented the removal of 212 cubic yards of vegetation and tracked over $42,800 in homeowner investments in safety projects.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strategies include recruiting a network of block captains for direct neighbor-to-neighbor outreach and launching a shared resource website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BerkeleyFirewise.org</w:t>
        </w:r>
      </w:hyperlink>
      <w:r w:rsidDel="00000000" w:rsidR="00000000" w:rsidRPr="00000000">
        <w:rPr>
          <w:rtl w:val="0"/>
        </w:rPr>
        <w:t xml:space="preserve">) to centralize information.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Community Effort and Homeowner Investment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visible evidence of widespread adoption of fire-safe practices, with many homeowners actively implementing changes to their property's exterior, perimeter, and surrounding vegetation.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 investment is substantial, with some residents spending tens of thousands of dollars to hire architects and contractors for major upgrades like new, non-combustible metallic fences.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program acknowledges that these upgrades can be a financial burden and is actively seeking grants to provide financial assistance to residents who may need it, such as retirees or those on a fixed income.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Communication and Education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robust communication strategy, centered on regular community newsletters, is crucial to the program's success in keeping residents informed, engaged, and mobilized.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events are designed to be practical and accessible, such as holding "home hardening" demonstrations at a resident's property with presentations from builders and the Assistant Fire Chief.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program leverages external expertise by inviting organizations like CalFire to present on lessons learned from major wildfire events, ensuring the community has current and relevant information.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Challenges and Proactive Solutions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community faces ongoing challenges, including the difficulty of coordinating with absentee landlords, who own an estimated 10% of properties.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key challenge is reconciling fire safety guidelines with homeowner privacy. Specifically, recommended fire-safe fencing is often more transparent (e.g., metal or mesh) than traditional solid wood fences, leading to concerns that passersby can see directly into a resident's home and garden.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Interconnected property risk is another concern, as the condition of a neighboring home can sometimes trigger insurance cancellations for a compliant homeowner.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program tackles these issues proactively by directly contacting out-of-town property owners and by maintaining their "Firewise USA" certification, which residents can use to potentially secure insurance discounts.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01.60000000000002" w:top="748.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erkeleyfirewis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