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t9a42vclkw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Interviewee: a014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yvafvyccpba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Berkeley's Inspection Resource Challenges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Fire Department faces severe resource constraints for conducting fire safety inspections 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is training high school and junior college students to augment inspection capacity and serve as a recruitment tool 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Newly designated Fire Zone 4 (approximately 900 homes in upper Berkeley Hills near Grizzly Peak) will consume the entire inspection division's resources 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Areas in lower fire severity zones (zones 2-3) will not receive inspections for several years due to resource limitations 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not only financial—finding and training qualified inspectors takes significant time and effort ​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j3kaa2teai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 Severity Zones and Regulations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has four fire severity zones: Zone 1 (minimal risk), Zone 2 (moderate), Zone 3 (significant), and Zone 4 (severe) 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4 was recently created based on fire science showing where wildfires are most likely to come over the ridge from East Bay Parks 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precedent: fires occurred in 1923 and 1991 following similar patterns 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is prioritizing limited resources on the highest-risk areas 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4 has stricter mitigation requirements than lower zones ​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ybwg7t8kk0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EMBER Ordinance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EMBER (Ember Mitigation for Berkeley Emergency Response) ordinance was championed by Fire Chief Dave Sprague after the LA fires in January ​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ordinance was developed collaboratively by Chief Sprague and Council Member Blackaby 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no combustible material within five feet of homes (zone zero compliance) 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exist for wooden fences parallel to homes (but not perpendicular or touching) ​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 unanimously by City Council despite some community pushback ​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meetings and town halls were held, though some residents claim insufficient input ​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mw6qhbenn0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Potential for Virtual Inspection Technology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virtual or meta-inspection platform could allow inspectors to cover significantly more ground more quickly ​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inspectors would focus only on exceptions, unclear cases, or areas requiring follow-up ​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could relieve strain on inspection resources and enable expanded coverage 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Chief Arnold mentioned other groups are applying for grants for similar initiatives—need to understand the competitive landscape 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existing off-the-shelf solutions are currently available, as evidenced by the ongoing resource constraints ​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inspections have not been discussed by the department yet ​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iha3grkfxa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and Technical Requirements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data needed includes fire severity zone designations and parcel boundaries 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Parcel information (single-family vs. multifamily) impacts density and evacuation procedures 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regulations and requirements must be incorporated ​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need to measure distances between buildings and vegetation from satellite imagery 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UC Berkeley computer science team created a fire data repository project that aggregated disparate wildfire-related data—students should connect with Professor Alec and the team ​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and legal search concerns need investigation—unclear if Google Maps data can be used for official inspections, especially since property owners can opt out ​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880ekii32f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Stakeholder Landscape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Directly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900 homeowners in Fire Zone 4—reactions range from attempted recall of the council member who introduced the ordinance to strong support 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Berkeley residents are stakeholders since uncontrolled wildfires could reach the bay and affect the entire city ​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Government and Institutional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Fire and Safety Commission (unanimously supported the ordinance) 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City Council (provided unanimous support) ​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 Berkeley (owns significant land and conducts mitigation work like eucalyptus removal) ​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East Bay Regional Parks (where greatest fire threat originates) ​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fire jurisdictions in Alameda and Contra Costa Counties ​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 Costa Fire Safe Council and Berkeley Fire Safe Council 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industry (potential major stakeholder and customer) ​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o42r6pe7fj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Insurance Industry Opportunity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companies evaluate homes in fire-prone areas but use inconsistent methods (e.g., requesting photographs) ​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certified wildfire mitigation programs (like Boulder County's Wildfire Partners) may not satisfy insurance requirements 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companies could use a virtual inspection platform to assess risk levels and determine insurability ​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Insurance specializes in high-value homes in wildfire areas ​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urjsoc49j5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Compliance and Enforcement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Inspections began recently, but citations won't be issued until May or June 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owners will have time to make corrections or show progress (work planned/applied for) ​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Fines start at approximately $100 and escalate (possibly to $50/day for continued non-compliance)—Assistant Chief Arnold can provide exact figures ​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Non-compliance can prevent building permits from being filed 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and commission prefer using incentives ("carrots") over penalties ("sticks") ​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commission is researching subsidy programs to help homeowners afford mitigation work ​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2x3c2uhg1m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Information Access Challenges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homeowner concerns include changing property appearance and cost of mitigation 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misinformation exists about what the regulations actually require 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virtual inspection platform could help homeowners understand their specific hazards and mitigation options ​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Fire Safe website and fire department website contain relevant information, but it's not always easy to find 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ordinance amendments regarding tree trimming and other details may not be finalized yet ​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k6wlujrarj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Complexities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properties have existing non-conformance to zoning, building codes, and public right-of-way boundaries ​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Fences and hedges may encroach on public right-of-way near streets and sidewalks 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Conflicts can arise between departments (Fire requiring mitigation vs. Planning/Public Works restricting replacements due to setback requirements) 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zero compliance may require addressing issues on neighboring properties 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cannot enter private property without permission, limiting inspections to street-level views ​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vtukkist22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Geographic Context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Boulder County (Colorado) has stricter requirements through Wildfire Partners program 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Boulder ties wildfire certification to remodeling permits and short-term rental licenses 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California has statewide building codes for fire hazards (e.g., prohibiting cedar shake roof replacement) ​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EMBER ordinance closed previous loopholes (e.g., replacing less than 48% of combustible roofing with similar material) ​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u6ttbwdu5q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Steps and Action Items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A014 to send interview contact list by end of day 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to conduct 10 informational interviews by next Wednesday 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to develop interview request wording emphasizing this is a class project exploring platform desirability, feasibility, and challenges 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ask interviewees about existing tech solutions and competitive landscape ​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mention 014 but not his official title when reaching out ​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7sjbgqhe5oz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Interview Contacts Suggested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Chief Dave Sprague (native Berkeley resident, initiated EMBER ordinance) ​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Chief Arnold (heads Wildland Urban Interface division, oversees inspections and compliance) ​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Council Member Blackaby (worked with Chief Sprague on ordinance) 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Alec and computer science team (created fire data repository) ​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contacts from insurance industry and other jurisdictions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80e+gdIpI4evLXwakd4GXgjM8w==">CgMxLjAyDmgudXQ5YTQydmNsa3dhMg5oLnl2YWZ2eWNjcGJhZjIOaC5qajNrYWEydGVhaWQyDmgub3lid2c3dDhrazBzMg5oLjNtdzZxaGJlbm4wczIOaC5saWhhM2dya2Z4YW8yDmguZTg4MGVraWkzMmZ2Mg5oLjJvNDJyNnBlN2ZqOTIOaC5pdXJqc29jNDlqNXgyDmguZzJ4M2MydWhnMW1sMg5oLjVrNndsdWpyYXJqbzIOaC4zdnR1a2tpc3QyMjcyDmgucnU2dHRid2R1NXE5Mg5oLjdzamJncWhlNW96ajgAciExanotRTVTdWZmQVR2WFZLc2J0cjVsbWFvYUVfQld1M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