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Interview with a019, a landscape architect and key community volunteer, detailing the wildfire mitigation efforts in the Berkeley Hills.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community has demonstrated a powerful commitment to safety through the national Firewise organization, investing significant personal time, financial resources, and collaborative energy.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initiative is a compelling model for how grassroots organization can lead to effective public safety outcomes and increased community resilience.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The Firewise Program: Structure and Achievements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Firewise program is the central organizing body for the community's efforts, aiming to guide 12,000 residents toward compliance with fire safety regulations over the last three years.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An ambitious goal has been set to achieve 80% compliance for homes located in the high-risk Grizzly Peak area.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program's success is measurable; in 2025 alone, one local group documented the removal of 212 cubic yards of vegetation and tracked over $42,800 in homeowner investments in safety projects.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Key strategies include recruiting a network of block captains for direct neighbor-to-neighbor outreach and launching a shared resource website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BerkeleyFirewise.org</w:t>
        </w:r>
      </w:hyperlink>
      <w:r w:rsidDel="00000000" w:rsidR="00000000" w:rsidRPr="00000000">
        <w:rPr>
          <w:rtl w:val="0"/>
        </w:rPr>
        <w:t xml:space="preserve">) to centralize information.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Community Effort and Homeowner Investment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There is visible evidence of widespread adoption of fire-safe practices, with many homeowners actively implementing changes to their property's exterior, perimeter, and surrounding vegetation.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Homeowner investment is substantial, with some residents spending tens of thousands of dollars to hire architects and contractors for major upgrades like new, non-combustible metallic fences.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program acknowledges that these upgrades can be a financial burden and is actively seeking grants to provide financial assistance to residents who may need it, such as retirees or those on a fixed income.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Communication and Education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robust communication strategy, centered on regular community newsletters, is crucial to the program's success in keeping residents informed, engaged, and mobilized.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Educational events are designed to be practical and accessible, such as holding "home hardening" demonstrations at a resident's property with presentations from builders and the Assistant Fire Chief.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program leverages external expertise by inviting organizations like CalFire to present on lessons learned from major wildfire events, ensuring the community has current and relevant information.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Challenges and Proactive Solutions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community faces ongoing challenges, including the difficulty of coordinating with absentee landlords, who own an estimated 10% of properties.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 key challenge is reconciling fire safety guidelines with homeowner privacy. Specifically, recommended fire-safe fencing is often more transparent (e.g., metal or mesh) than traditional solid wood fences, leading to concerns that passersby can see directly into a resident's home and garden.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Interconnected property risk is another concern, as the condition of a neighboring home can sometimes trigger insurance cancellations for a compliant homeowner.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program tackles these issues proactively by directly contacting out-of-town property owners and by maintaining their "Firewise USA" certification, which residents can use to potentially secure insurance discounts.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201.60000000000002" w:top="748.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berkeleyfirewise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3z6Tc07rje3OnM5DB4waxU04zA==">CgMxLjA4AHIhMTRZRGswMF9ycEMtWkV1VU4tcmd0SjNRRjNDLVM3Q01i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