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70688" w14:textId="77777777" w:rsidR="008308D7" w:rsidRPr="008308D7" w:rsidRDefault="008308D7" w:rsidP="008308D7">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8308D7">
        <w:rPr>
          <w:rFonts w:ascii="Times New Roman" w:eastAsia="Times New Roman" w:hAnsi="Times New Roman" w:cs="Times New Roman"/>
          <w:b/>
          <w:bCs/>
          <w:kern w:val="36"/>
          <w:sz w:val="48"/>
          <w:szCs w:val="48"/>
          <w14:ligatures w14:val="none"/>
        </w:rPr>
        <w:t>Real-Time Customer Churn Prediction Using Kafka, Snowflake, and Power BI</w:t>
      </w:r>
    </w:p>
    <w:p w14:paraId="63628531"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1. Introduction</w:t>
      </w:r>
    </w:p>
    <w:p w14:paraId="559C9752" w14:textId="55111C28"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In today's hyper-competitive service industries, customer retention is just as importan</w:t>
      </w:r>
      <w:r w:rsidR="00F951A1">
        <w:rPr>
          <w:rFonts w:ascii="Times New Roman" w:eastAsia="Times New Roman" w:hAnsi="Times New Roman" w:cs="Times New Roman"/>
          <w:kern w:val="0"/>
          <w14:ligatures w14:val="none"/>
        </w:rPr>
        <w:t xml:space="preserve">t as </w:t>
      </w:r>
      <w:r w:rsidRPr="008308D7">
        <w:rPr>
          <w:rFonts w:ascii="Times New Roman" w:eastAsia="Times New Roman" w:hAnsi="Times New Roman" w:cs="Times New Roman"/>
          <w:kern w:val="0"/>
          <w14:ligatures w14:val="none"/>
        </w:rPr>
        <w:t>customer acquisition. This is especially true in sectors like telecommunications, where market saturation, low switching costs, and a broad range of alternatives mean that customers frequently churn. Churn not only represents lost revenue but also a sunk investment in acquisition and onboarding costs. Consequently, companies are increasingly turning to data-driven, predictive approaches to mitigate churn and proactively retain high-value customers.</w:t>
      </w:r>
    </w:p>
    <w:p w14:paraId="7365FB8E" w14:textId="10F2B616"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This project presents a full-stack solution to real-time churn prediction using a modern data architecture. It integrates </w:t>
      </w:r>
      <w:r w:rsidRPr="008308D7">
        <w:rPr>
          <w:rFonts w:ascii="Times New Roman" w:eastAsia="Times New Roman" w:hAnsi="Times New Roman" w:cs="Times New Roman"/>
          <w:b/>
          <w:bCs/>
          <w:kern w:val="0"/>
          <w14:ligatures w14:val="none"/>
        </w:rPr>
        <w:t>Apache Kafka</w:t>
      </w:r>
      <w:r w:rsidRPr="008308D7">
        <w:rPr>
          <w:rFonts w:ascii="Times New Roman" w:eastAsia="Times New Roman" w:hAnsi="Times New Roman" w:cs="Times New Roman"/>
          <w:kern w:val="0"/>
          <w14:ligatures w14:val="none"/>
        </w:rPr>
        <w:t xml:space="preserve"> for real-time ingestion of customer events, </w:t>
      </w:r>
      <w:r w:rsidRPr="008308D7">
        <w:rPr>
          <w:rFonts w:ascii="Times New Roman" w:eastAsia="Times New Roman" w:hAnsi="Times New Roman" w:cs="Times New Roman"/>
          <w:b/>
          <w:bCs/>
          <w:kern w:val="0"/>
          <w14:ligatures w14:val="none"/>
        </w:rPr>
        <w:t>Snowflake</w:t>
      </w:r>
      <w:r w:rsidRPr="008308D7">
        <w:rPr>
          <w:rFonts w:ascii="Times New Roman" w:eastAsia="Times New Roman" w:hAnsi="Times New Roman" w:cs="Times New Roman"/>
          <w:kern w:val="0"/>
          <w14:ligatures w14:val="none"/>
        </w:rPr>
        <w:t xml:space="preserve"> for scalable cloud data warehousing and SQL analytics, </w:t>
      </w:r>
      <w:r w:rsidRPr="008308D7">
        <w:rPr>
          <w:rFonts w:ascii="Times New Roman" w:eastAsia="Times New Roman" w:hAnsi="Times New Roman" w:cs="Times New Roman"/>
          <w:b/>
          <w:bCs/>
          <w:kern w:val="0"/>
          <w14:ligatures w14:val="none"/>
        </w:rPr>
        <w:t>XGBoost with SHAP</w:t>
      </w:r>
      <w:r w:rsidRPr="008308D7">
        <w:rPr>
          <w:rFonts w:ascii="Times New Roman" w:eastAsia="Times New Roman" w:hAnsi="Times New Roman" w:cs="Times New Roman"/>
          <w:kern w:val="0"/>
          <w14:ligatures w14:val="none"/>
        </w:rPr>
        <w:t xml:space="preserve"> for machine learning and explainability, and </w:t>
      </w:r>
      <w:r w:rsidRPr="008308D7">
        <w:rPr>
          <w:rFonts w:ascii="Times New Roman" w:eastAsia="Times New Roman" w:hAnsi="Times New Roman" w:cs="Times New Roman"/>
          <w:b/>
          <w:bCs/>
          <w:kern w:val="0"/>
          <w14:ligatures w14:val="none"/>
        </w:rPr>
        <w:t>Power BI</w:t>
      </w:r>
      <w:r w:rsidRPr="008308D7">
        <w:rPr>
          <w:rFonts w:ascii="Times New Roman" w:eastAsia="Times New Roman" w:hAnsi="Times New Roman" w:cs="Times New Roman"/>
          <w:kern w:val="0"/>
          <w14:ligatures w14:val="none"/>
        </w:rPr>
        <w:t xml:space="preserve"> for real-time visualization and business insight delivery. Together, these components form a robust, automated pipeline for continuously monitoring customer activity, predicting churn, and informing stakeholders in real</w:t>
      </w:r>
      <w:r w:rsidR="00F951A1">
        <w:rPr>
          <w:rFonts w:ascii="Times New Roman" w:eastAsia="Times New Roman" w:hAnsi="Times New Roman" w:cs="Times New Roman"/>
          <w:kern w:val="0"/>
          <w14:ligatures w14:val="none"/>
        </w:rPr>
        <w:t>-</w:t>
      </w:r>
      <w:r w:rsidRPr="008308D7">
        <w:rPr>
          <w:rFonts w:ascii="Times New Roman" w:eastAsia="Times New Roman" w:hAnsi="Times New Roman" w:cs="Times New Roman"/>
          <w:kern w:val="0"/>
          <w14:ligatures w14:val="none"/>
        </w:rPr>
        <w:t>time.</w:t>
      </w:r>
    </w:p>
    <w:p w14:paraId="33BE60D8"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2. System Architecture Overview</w:t>
      </w:r>
    </w:p>
    <w:p w14:paraId="2996044E"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The architectural design follows a modular, event-driven approach where each layer handles a specific stage of data flow and processing. The pipeline has four primary components:</w:t>
      </w:r>
    </w:p>
    <w:p w14:paraId="7B2FE2E6" w14:textId="77777777" w:rsidR="008308D7" w:rsidRPr="008308D7" w:rsidRDefault="008308D7" w:rsidP="008308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Apache Kafka</w:t>
      </w:r>
      <w:r w:rsidRPr="008308D7">
        <w:rPr>
          <w:rFonts w:ascii="Times New Roman" w:eastAsia="Times New Roman" w:hAnsi="Times New Roman" w:cs="Times New Roman"/>
          <w:kern w:val="0"/>
          <w14:ligatures w14:val="none"/>
        </w:rPr>
        <w:t>: Serves as the real-time ingestion system. It collects a continuous stream of customer activity logs, including logins, support interactions, billing events, and usage patterns. Kafka buffers this data and ensures fault-tolerant, high-throughput delivery to downstream systems.</w:t>
      </w:r>
    </w:p>
    <w:p w14:paraId="77208517" w14:textId="77777777" w:rsidR="008308D7" w:rsidRPr="008308D7" w:rsidRDefault="008308D7" w:rsidP="008308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Snowflake Cloud Data Warehouse</w:t>
      </w:r>
      <w:r w:rsidRPr="008308D7">
        <w:rPr>
          <w:rFonts w:ascii="Times New Roman" w:eastAsia="Times New Roman" w:hAnsi="Times New Roman" w:cs="Times New Roman"/>
          <w:kern w:val="0"/>
          <w14:ligatures w14:val="none"/>
        </w:rPr>
        <w:t>: Acts as both the data lake and processing engine. Snowflake is responsible for storing the original telco dataset, ingesting Kafka output, transforming raw inputs into model-ready features, and exposing predictions and business metrics to the analytics layer. Its support for structured SQL, schema cloning, and instant elasticity makes it ideal for this use case.</w:t>
      </w:r>
    </w:p>
    <w:p w14:paraId="359EC701" w14:textId="77777777" w:rsidR="008308D7" w:rsidRPr="008308D7" w:rsidRDefault="008308D7" w:rsidP="008308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Python with XGBoost and SHAP</w:t>
      </w:r>
      <w:r w:rsidRPr="008308D7">
        <w:rPr>
          <w:rFonts w:ascii="Times New Roman" w:eastAsia="Times New Roman" w:hAnsi="Times New Roman" w:cs="Times New Roman"/>
          <w:kern w:val="0"/>
          <w14:ligatures w14:val="none"/>
        </w:rPr>
        <w:t>: Handles the modeling and predictive analytics. XGBoost, a high-performance gradient boosting algorithm, is used to train the churn model on historical data. SHAP (</w:t>
      </w:r>
      <w:proofErr w:type="spellStart"/>
      <w:r w:rsidRPr="008308D7">
        <w:rPr>
          <w:rFonts w:ascii="Times New Roman" w:eastAsia="Times New Roman" w:hAnsi="Times New Roman" w:cs="Times New Roman"/>
          <w:kern w:val="0"/>
          <w14:ligatures w14:val="none"/>
        </w:rPr>
        <w:t>SHapley</w:t>
      </w:r>
      <w:proofErr w:type="spellEnd"/>
      <w:r w:rsidRPr="008308D7">
        <w:rPr>
          <w:rFonts w:ascii="Times New Roman" w:eastAsia="Times New Roman" w:hAnsi="Times New Roman" w:cs="Times New Roman"/>
          <w:kern w:val="0"/>
          <w14:ligatures w14:val="none"/>
        </w:rPr>
        <w:t xml:space="preserve"> Additive </w:t>
      </w:r>
      <w:proofErr w:type="spellStart"/>
      <w:r w:rsidRPr="008308D7">
        <w:rPr>
          <w:rFonts w:ascii="Times New Roman" w:eastAsia="Times New Roman" w:hAnsi="Times New Roman" w:cs="Times New Roman"/>
          <w:kern w:val="0"/>
          <w14:ligatures w14:val="none"/>
        </w:rPr>
        <w:t>exPlanations</w:t>
      </w:r>
      <w:proofErr w:type="spellEnd"/>
      <w:r w:rsidRPr="008308D7">
        <w:rPr>
          <w:rFonts w:ascii="Times New Roman" w:eastAsia="Times New Roman" w:hAnsi="Times New Roman" w:cs="Times New Roman"/>
          <w:kern w:val="0"/>
          <w14:ligatures w14:val="none"/>
        </w:rPr>
        <w:t>) interprets the model outputs, allowing stakeholders to understand why a customer is predicted to churn.</w:t>
      </w:r>
    </w:p>
    <w:p w14:paraId="274550C0" w14:textId="77777777" w:rsidR="008308D7" w:rsidRPr="008308D7" w:rsidRDefault="008308D7" w:rsidP="008308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Power BI</w:t>
      </w:r>
      <w:r w:rsidRPr="008308D7">
        <w:rPr>
          <w:rFonts w:ascii="Times New Roman" w:eastAsia="Times New Roman" w:hAnsi="Times New Roman" w:cs="Times New Roman"/>
          <w:kern w:val="0"/>
          <w14:ligatures w14:val="none"/>
        </w:rPr>
        <w:t>: Serves as the business intelligence layer. The dashboard is connected to Snowflake and provides visualizations of churn risk, revenue impact, top risk factors, and more. This allows business teams to take data-backed actions in real time.</w:t>
      </w:r>
    </w:p>
    <w:p w14:paraId="293791FE"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design ensures </w:t>
      </w:r>
      <w:r w:rsidRPr="008308D7">
        <w:rPr>
          <w:rFonts w:ascii="Times New Roman" w:eastAsia="Times New Roman" w:hAnsi="Times New Roman" w:cs="Times New Roman"/>
          <w:b/>
          <w:bCs/>
          <w:kern w:val="0"/>
          <w14:ligatures w14:val="none"/>
        </w:rPr>
        <w:t>end-to-end automation</w:t>
      </w:r>
      <w:r w:rsidRPr="008308D7">
        <w:rPr>
          <w:rFonts w:ascii="Times New Roman" w:eastAsia="Times New Roman" w:hAnsi="Times New Roman" w:cs="Times New Roman"/>
          <w:kern w:val="0"/>
          <w14:ligatures w14:val="none"/>
        </w:rPr>
        <w:t>, from live event capture to executive-level decision support. It is scalable, transparent, and easy to extend for future enhancements.</w:t>
      </w:r>
    </w:p>
    <w:p w14:paraId="1D33829F"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lastRenderedPageBreak/>
        <w:t>3. Kafka-Based Live Data Ingestion</w:t>
      </w:r>
    </w:p>
    <w:p w14:paraId="5C26E175" w14:textId="710530F9"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Apache Kafka plays a crucial role in ensuring the system operates on </w:t>
      </w:r>
      <w:r w:rsidRPr="008308D7">
        <w:rPr>
          <w:rFonts w:ascii="Times New Roman" w:eastAsia="Times New Roman" w:hAnsi="Times New Roman" w:cs="Times New Roman"/>
          <w:b/>
          <w:bCs/>
          <w:kern w:val="0"/>
          <w14:ligatures w14:val="none"/>
        </w:rPr>
        <w:t>real-time or near-real-time data</w:t>
      </w:r>
      <w:r w:rsidRPr="008308D7">
        <w:rPr>
          <w:rFonts w:ascii="Times New Roman" w:eastAsia="Times New Roman" w:hAnsi="Times New Roman" w:cs="Times New Roman"/>
          <w:kern w:val="0"/>
          <w14:ligatures w14:val="none"/>
        </w:rPr>
        <w:t>. As customer events are generated across platforms</w:t>
      </w:r>
      <w:r w:rsidR="00F951A1">
        <w:rPr>
          <w:rFonts w:ascii="Times New Roman" w:eastAsia="Times New Roman" w:hAnsi="Times New Roman" w:cs="Times New Roman"/>
          <w:kern w:val="0"/>
          <w14:ligatures w14:val="none"/>
        </w:rPr>
        <w:t xml:space="preserve">, </w:t>
      </w:r>
      <w:r w:rsidRPr="008308D7">
        <w:rPr>
          <w:rFonts w:ascii="Times New Roman" w:eastAsia="Times New Roman" w:hAnsi="Times New Roman" w:cs="Times New Roman"/>
          <w:kern w:val="0"/>
          <w14:ligatures w14:val="none"/>
        </w:rPr>
        <w:t>be it a website, mobile app, call center, or billing system</w:t>
      </w:r>
      <w:r w:rsidR="00F951A1">
        <w:rPr>
          <w:rFonts w:ascii="Times New Roman" w:eastAsia="Times New Roman" w:hAnsi="Times New Roman" w:cs="Times New Roman"/>
          <w:kern w:val="0"/>
          <w14:ligatures w14:val="none"/>
        </w:rPr>
        <w:t xml:space="preserve">, </w:t>
      </w:r>
      <w:r w:rsidRPr="008308D7">
        <w:rPr>
          <w:rFonts w:ascii="Times New Roman" w:eastAsia="Times New Roman" w:hAnsi="Times New Roman" w:cs="Times New Roman"/>
          <w:kern w:val="0"/>
          <w14:ligatures w14:val="none"/>
        </w:rPr>
        <w:t>they are pushed into Kafka topics. Each event message typically includes:</w:t>
      </w:r>
    </w:p>
    <w:p w14:paraId="5AA41B38" w14:textId="77777777" w:rsidR="008308D7" w:rsidRPr="008308D7" w:rsidRDefault="008308D7" w:rsidP="008308D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A unique customer identifier</w:t>
      </w:r>
    </w:p>
    <w:p w14:paraId="64B52BC0" w14:textId="77777777" w:rsidR="008308D7" w:rsidRPr="008308D7" w:rsidRDefault="008308D7" w:rsidP="008308D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Event type (e.g., login, support call, payment)</w:t>
      </w:r>
    </w:p>
    <w:p w14:paraId="155C60FC" w14:textId="77777777" w:rsidR="008308D7" w:rsidRPr="008308D7" w:rsidRDefault="008308D7" w:rsidP="008308D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Timestamps and durations</w:t>
      </w:r>
    </w:p>
    <w:p w14:paraId="14015D2B" w14:textId="77777777" w:rsidR="008308D7" w:rsidRDefault="008308D7" w:rsidP="008308D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Metadata such as device type, service tier, and geography</w:t>
      </w:r>
    </w:p>
    <w:p w14:paraId="2FF1C492" w14:textId="0EFDF05B" w:rsidR="00B02DAF" w:rsidRDefault="00B02DAF" w:rsidP="00B02DA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EFA86D6" wp14:editId="35C03157">
            <wp:extent cx="5943600" cy="421005"/>
            <wp:effectExtent l="0" t="0" r="0" b="0"/>
            <wp:docPr id="4753848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4880" name="Picture 4753848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p>
    <w:p w14:paraId="6F590953" w14:textId="3632CE20" w:rsidR="00B02DAF" w:rsidRDefault="00B02DAF" w:rsidP="00B02DA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61A7146" wp14:editId="5D197C3E">
            <wp:extent cx="5943600" cy="1560195"/>
            <wp:effectExtent l="0" t="0" r="0" b="1905"/>
            <wp:docPr id="2096152925"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2925" name="Picture 14" descr="A screen 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01CE2977" w14:textId="77777777" w:rsidR="00B02DAF" w:rsidRPr="008308D7" w:rsidRDefault="00B02DAF" w:rsidP="00B02DAF">
      <w:pPr>
        <w:spacing w:before="100" w:beforeAutospacing="1" w:after="100" w:afterAutospacing="1" w:line="240" w:lineRule="auto"/>
        <w:rPr>
          <w:rFonts w:ascii="Times New Roman" w:eastAsia="Times New Roman" w:hAnsi="Times New Roman" w:cs="Times New Roman"/>
          <w:kern w:val="0"/>
          <w14:ligatures w14:val="none"/>
        </w:rPr>
      </w:pPr>
    </w:p>
    <w:p w14:paraId="13600840"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Kafka’s </w:t>
      </w:r>
      <w:r w:rsidRPr="008308D7">
        <w:rPr>
          <w:rFonts w:ascii="Times New Roman" w:eastAsia="Times New Roman" w:hAnsi="Times New Roman" w:cs="Times New Roman"/>
          <w:b/>
          <w:bCs/>
          <w:kern w:val="0"/>
          <w14:ligatures w14:val="none"/>
        </w:rPr>
        <w:t>publish-subscribe model</w:t>
      </w:r>
      <w:r w:rsidRPr="008308D7">
        <w:rPr>
          <w:rFonts w:ascii="Times New Roman" w:eastAsia="Times New Roman" w:hAnsi="Times New Roman" w:cs="Times New Roman"/>
          <w:kern w:val="0"/>
          <w14:ligatures w14:val="none"/>
        </w:rPr>
        <w:t xml:space="preserve"> ensures that these messages are made available to multiple consumers simultaneously. In this project, one such consumer is a Kafka-to-Snowflake pipeline that streams this data into the </w:t>
      </w:r>
      <w:proofErr w:type="spellStart"/>
      <w:r w:rsidRPr="008308D7">
        <w:rPr>
          <w:rFonts w:ascii="Courier New" w:eastAsia="Times New Roman" w:hAnsi="Courier New" w:cs="Courier New"/>
          <w:kern w:val="0"/>
          <w:sz w:val="20"/>
          <w:szCs w:val="20"/>
          <w14:ligatures w14:val="none"/>
        </w:rPr>
        <w:t>raw_</w:t>
      </w:r>
      <w:proofErr w:type="gramStart"/>
      <w:r w:rsidRPr="008308D7">
        <w:rPr>
          <w:rFonts w:ascii="Courier New" w:eastAsia="Times New Roman" w:hAnsi="Courier New" w:cs="Courier New"/>
          <w:kern w:val="0"/>
          <w:sz w:val="20"/>
          <w:szCs w:val="20"/>
          <w14:ligatures w14:val="none"/>
        </w:rPr>
        <w:t>data.customer</w:t>
      </w:r>
      <w:proofErr w:type="gramEnd"/>
      <w:r w:rsidRPr="008308D7">
        <w:rPr>
          <w:rFonts w:ascii="Courier New" w:eastAsia="Times New Roman" w:hAnsi="Courier New" w:cs="Courier New"/>
          <w:kern w:val="0"/>
          <w:sz w:val="20"/>
          <w:szCs w:val="20"/>
          <w14:ligatures w14:val="none"/>
        </w:rPr>
        <w:t>_events</w:t>
      </w:r>
      <w:proofErr w:type="spellEnd"/>
      <w:r w:rsidRPr="008308D7">
        <w:rPr>
          <w:rFonts w:ascii="Times New Roman" w:eastAsia="Times New Roman" w:hAnsi="Times New Roman" w:cs="Times New Roman"/>
          <w:kern w:val="0"/>
          <w14:ligatures w14:val="none"/>
        </w:rPr>
        <w:t xml:space="preserve"> table for later aggregation and transformation.</w:t>
      </w:r>
    </w:p>
    <w:p w14:paraId="6629399E"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Kafka’s scalability ensures that no matter how many events are produced per second, the system will not be overwhelmed. The decoupling of producers and consumers also ensures the system remains resilient and can be scaled horizontally as needed.</w:t>
      </w:r>
    </w:p>
    <w:p w14:paraId="4BF3A520" w14:textId="77777777" w:rsidR="00B02DAF" w:rsidRPr="008308D7" w:rsidRDefault="00B02DAF" w:rsidP="008308D7">
      <w:pPr>
        <w:spacing w:before="100" w:beforeAutospacing="1" w:after="100" w:afterAutospacing="1" w:line="240" w:lineRule="auto"/>
        <w:rPr>
          <w:rFonts w:ascii="Times New Roman" w:eastAsia="Times New Roman" w:hAnsi="Times New Roman" w:cs="Times New Roman"/>
          <w:kern w:val="0"/>
          <w14:ligatures w14:val="none"/>
        </w:rPr>
      </w:pPr>
    </w:p>
    <w:p w14:paraId="12B4C0DB"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4. Data Processing and Feature Engineering in Snowflake</w:t>
      </w:r>
    </w:p>
    <w:p w14:paraId="3B575BE3"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Once data enters the Snowflake environment, it is subjected to a structured, layered transformation process to make it usable for machine learning and analytics.</w:t>
      </w:r>
    </w:p>
    <w:p w14:paraId="32FDC6AF" w14:textId="77777777" w:rsidR="00F951A1" w:rsidRPr="008308D7" w:rsidRDefault="00F951A1" w:rsidP="008308D7">
      <w:pPr>
        <w:spacing w:before="100" w:beforeAutospacing="1" w:after="100" w:afterAutospacing="1" w:line="240" w:lineRule="auto"/>
        <w:rPr>
          <w:rFonts w:ascii="Times New Roman" w:eastAsia="Times New Roman" w:hAnsi="Times New Roman" w:cs="Times New Roman"/>
          <w:kern w:val="0"/>
          <w14:ligatures w14:val="none"/>
        </w:rPr>
      </w:pPr>
    </w:p>
    <w:p w14:paraId="216CF480"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lastRenderedPageBreak/>
        <w:t>Database and Schema Structure</w:t>
      </w:r>
    </w:p>
    <w:p w14:paraId="6BEC8E97"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Snowflake environment begins with the creation of a central database </w:t>
      </w:r>
      <w:proofErr w:type="spellStart"/>
      <w:r w:rsidRPr="008308D7">
        <w:rPr>
          <w:rFonts w:ascii="Courier New" w:eastAsia="Times New Roman" w:hAnsi="Courier New" w:cs="Courier New"/>
          <w:kern w:val="0"/>
          <w:sz w:val="20"/>
          <w:szCs w:val="20"/>
          <w14:ligatures w14:val="none"/>
        </w:rPr>
        <w:t>churn_analysis</w:t>
      </w:r>
      <w:proofErr w:type="spellEnd"/>
      <w:r w:rsidRPr="008308D7">
        <w:rPr>
          <w:rFonts w:ascii="Times New Roman" w:eastAsia="Times New Roman" w:hAnsi="Times New Roman" w:cs="Times New Roman"/>
          <w:kern w:val="0"/>
          <w14:ligatures w14:val="none"/>
        </w:rPr>
        <w:t>. Within this database, three distinct schemas are created:</w:t>
      </w:r>
    </w:p>
    <w:p w14:paraId="6D272A9E" w14:textId="77777777" w:rsidR="008308D7" w:rsidRPr="008308D7" w:rsidRDefault="008308D7" w:rsidP="008308D7">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308D7">
        <w:rPr>
          <w:rFonts w:ascii="Courier New" w:eastAsia="Times New Roman" w:hAnsi="Courier New" w:cs="Courier New"/>
          <w:kern w:val="0"/>
          <w:sz w:val="20"/>
          <w:szCs w:val="20"/>
          <w14:ligatures w14:val="none"/>
        </w:rPr>
        <w:t>raw_data</w:t>
      </w:r>
      <w:proofErr w:type="spellEnd"/>
      <w:r w:rsidRPr="008308D7">
        <w:rPr>
          <w:rFonts w:ascii="Times New Roman" w:eastAsia="Times New Roman" w:hAnsi="Times New Roman" w:cs="Times New Roman"/>
          <w:kern w:val="0"/>
          <w14:ligatures w14:val="none"/>
        </w:rPr>
        <w:t>: for original datasets and ingested Kafka logs.</w:t>
      </w:r>
    </w:p>
    <w:p w14:paraId="129AE1AB" w14:textId="77777777" w:rsidR="008308D7" w:rsidRPr="008308D7" w:rsidRDefault="008308D7" w:rsidP="008308D7">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features</w:t>
      </w:r>
      <w:r w:rsidRPr="008308D7">
        <w:rPr>
          <w:rFonts w:ascii="Times New Roman" w:eastAsia="Times New Roman" w:hAnsi="Times New Roman" w:cs="Times New Roman"/>
          <w:kern w:val="0"/>
          <w14:ligatures w14:val="none"/>
        </w:rPr>
        <w:t>: for engineered data such as behavioral metrics.</w:t>
      </w:r>
    </w:p>
    <w:p w14:paraId="5AD010BF" w14:textId="77777777" w:rsidR="008308D7" w:rsidRPr="008308D7" w:rsidRDefault="008308D7" w:rsidP="008308D7">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predictions</w:t>
      </w:r>
      <w:r w:rsidRPr="008308D7">
        <w:rPr>
          <w:rFonts w:ascii="Times New Roman" w:eastAsia="Times New Roman" w:hAnsi="Times New Roman" w:cs="Times New Roman"/>
          <w:kern w:val="0"/>
          <w14:ligatures w14:val="none"/>
        </w:rPr>
        <w:t>: for final outputs of the ML pipeline.</w:t>
      </w:r>
    </w:p>
    <w:p w14:paraId="7B1F4EFE"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This modular separation ensures clean data management and facilitates easy debugging and auditing.</w:t>
      </w:r>
    </w:p>
    <w:p w14:paraId="7B265DC8"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Raw Data Modeling</w:t>
      </w:r>
    </w:p>
    <w:p w14:paraId="09E8B713"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table </w:t>
      </w:r>
      <w:proofErr w:type="spellStart"/>
      <w:r w:rsidRPr="008308D7">
        <w:rPr>
          <w:rFonts w:ascii="Courier New" w:eastAsia="Times New Roman" w:hAnsi="Courier New" w:cs="Courier New"/>
          <w:kern w:val="0"/>
          <w:sz w:val="20"/>
          <w:szCs w:val="20"/>
          <w14:ligatures w14:val="none"/>
        </w:rPr>
        <w:t>telco_customer_churn</w:t>
      </w:r>
      <w:proofErr w:type="spellEnd"/>
      <w:r w:rsidRPr="008308D7">
        <w:rPr>
          <w:rFonts w:ascii="Times New Roman" w:eastAsia="Times New Roman" w:hAnsi="Times New Roman" w:cs="Times New Roman"/>
          <w:kern w:val="0"/>
          <w14:ligatures w14:val="none"/>
        </w:rPr>
        <w:t xml:space="preserve"> is created in the </w:t>
      </w:r>
      <w:proofErr w:type="spellStart"/>
      <w:r w:rsidRPr="008308D7">
        <w:rPr>
          <w:rFonts w:ascii="Courier New" w:eastAsia="Times New Roman" w:hAnsi="Courier New" w:cs="Courier New"/>
          <w:kern w:val="0"/>
          <w:sz w:val="20"/>
          <w:szCs w:val="20"/>
          <w14:ligatures w14:val="none"/>
        </w:rPr>
        <w:t>raw_data</w:t>
      </w:r>
      <w:proofErr w:type="spellEnd"/>
      <w:r w:rsidRPr="008308D7">
        <w:rPr>
          <w:rFonts w:ascii="Times New Roman" w:eastAsia="Times New Roman" w:hAnsi="Times New Roman" w:cs="Times New Roman"/>
          <w:kern w:val="0"/>
          <w14:ligatures w14:val="none"/>
        </w:rPr>
        <w:t xml:space="preserve"> schema and includes rich customer data: gender, age, contract types, billing preferences, service history, and a churn label ("Yes" or "No").</w:t>
      </w:r>
    </w:p>
    <w:p w14:paraId="5C177C71" w14:textId="77777777" w:rsidR="001932ED" w:rsidRDefault="001932ED" w:rsidP="008308D7">
      <w:pPr>
        <w:spacing w:before="100" w:beforeAutospacing="1" w:after="100" w:afterAutospacing="1" w:line="240" w:lineRule="auto"/>
        <w:rPr>
          <w:rFonts w:ascii="Times New Roman" w:eastAsia="Times New Roman" w:hAnsi="Times New Roman" w:cs="Times New Roman"/>
          <w:kern w:val="0"/>
          <w14:ligatures w14:val="none"/>
        </w:rPr>
      </w:pPr>
    </w:p>
    <w:p w14:paraId="6DBE7888" w14:textId="77777777" w:rsidR="001932ED" w:rsidRPr="008308D7" w:rsidRDefault="001932ED" w:rsidP="008308D7">
      <w:pPr>
        <w:spacing w:before="100" w:beforeAutospacing="1" w:after="100" w:afterAutospacing="1" w:line="240" w:lineRule="auto"/>
        <w:rPr>
          <w:rFonts w:ascii="Times New Roman" w:eastAsia="Times New Roman" w:hAnsi="Times New Roman" w:cs="Times New Roman"/>
          <w:kern w:val="0"/>
          <w14:ligatures w14:val="none"/>
        </w:rPr>
      </w:pPr>
    </w:p>
    <w:p w14:paraId="3FC3F94B"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Risk Category Assignment</w:t>
      </w:r>
    </w:p>
    <w:p w14:paraId="5C3F7E39" w14:textId="26450FE9"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To allow for quick insights without running the full model, a SQL view </w:t>
      </w:r>
      <w:proofErr w:type="spellStart"/>
      <w:r w:rsidRPr="008308D7">
        <w:rPr>
          <w:rFonts w:ascii="Courier New" w:eastAsia="Times New Roman" w:hAnsi="Courier New" w:cs="Courier New"/>
          <w:kern w:val="0"/>
          <w:sz w:val="20"/>
          <w:szCs w:val="20"/>
          <w14:ligatures w14:val="none"/>
        </w:rPr>
        <w:t>churn_risk_view</w:t>
      </w:r>
      <w:proofErr w:type="spellEnd"/>
      <w:r w:rsidRPr="008308D7">
        <w:rPr>
          <w:rFonts w:ascii="Times New Roman" w:eastAsia="Times New Roman" w:hAnsi="Times New Roman" w:cs="Times New Roman"/>
          <w:kern w:val="0"/>
          <w14:ligatures w14:val="none"/>
        </w:rPr>
        <w:t xml:space="preserve"> is created. It assigns customers a churn risk level</w:t>
      </w:r>
      <w:r w:rsidR="00F951A1">
        <w:rPr>
          <w:rFonts w:ascii="Times New Roman" w:eastAsia="Times New Roman" w:hAnsi="Times New Roman" w:cs="Times New Roman"/>
          <w:kern w:val="0"/>
          <w14:ligatures w14:val="none"/>
        </w:rPr>
        <w:t xml:space="preserve"> - </w:t>
      </w:r>
      <w:r w:rsidRPr="008308D7">
        <w:rPr>
          <w:rFonts w:ascii="Times New Roman" w:eastAsia="Times New Roman" w:hAnsi="Times New Roman" w:cs="Times New Roman"/>
          <w:kern w:val="0"/>
          <w14:ligatures w14:val="none"/>
        </w:rPr>
        <w:t>High, Medium, or Low</w:t>
      </w:r>
      <w:r w:rsidR="00F951A1">
        <w:rPr>
          <w:rFonts w:ascii="Times New Roman" w:eastAsia="Times New Roman" w:hAnsi="Times New Roman" w:cs="Times New Roman"/>
          <w:kern w:val="0"/>
          <w14:ligatures w14:val="none"/>
        </w:rPr>
        <w:t xml:space="preserve"> - </w:t>
      </w:r>
      <w:r w:rsidRPr="008308D7">
        <w:rPr>
          <w:rFonts w:ascii="Times New Roman" w:eastAsia="Times New Roman" w:hAnsi="Times New Roman" w:cs="Times New Roman"/>
          <w:kern w:val="0"/>
          <w14:ligatures w14:val="none"/>
        </w:rPr>
        <w:t>based on simple heuristics like tenure and charges:</w:t>
      </w:r>
    </w:p>
    <w:p w14:paraId="0ADA3198" w14:textId="77777777" w:rsidR="008308D7" w:rsidRPr="008308D7" w:rsidRDefault="008308D7" w:rsidP="008308D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High Risk</w:t>
      </w:r>
      <w:r w:rsidRPr="008308D7">
        <w:rPr>
          <w:rFonts w:ascii="Times New Roman" w:eastAsia="Times New Roman" w:hAnsi="Times New Roman" w:cs="Times New Roman"/>
          <w:kern w:val="0"/>
          <w14:ligatures w14:val="none"/>
        </w:rPr>
        <w:t xml:space="preserve">: Tenure &lt; 6 months and </w:t>
      </w:r>
      <w:proofErr w:type="spellStart"/>
      <w:r w:rsidRPr="008308D7">
        <w:rPr>
          <w:rFonts w:ascii="Times New Roman" w:eastAsia="Times New Roman" w:hAnsi="Times New Roman" w:cs="Times New Roman"/>
          <w:kern w:val="0"/>
          <w14:ligatures w14:val="none"/>
        </w:rPr>
        <w:t>MonthlyCharges</w:t>
      </w:r>
      <w:proofErr w:type="spellEnd"/>
      <w:r w:rsidRPr="008308D7">
        <w:rPr>
          <w:rFonts w:ascii="Times New Roman" w:eastAsia="Times New Roman" w:hAnsi="Times New Roman" w:cs="Times New Roman"/>
          <w:kern w:val="0"/>
          <w14:ligatures w14:val="none"/>
        </w:rPr>
        <w:t xml:space="preserve"> &gt; 80</w:t>
      </w:r>
    </w:p>
    <w:p w14:paraId="6FAD425F" w14:textId="77777777" w:rsidR="008308D7" w:rsidRPr="008308D7" w:rsidRDefault="008308D7" w:rsidP="008308D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Medium Risk</w:t>
      </w:r>
      <w:r w:rsidRPr="008308D7">
        <w:rPr>
          <w:rFonts w:ascii="Times New Roman" w:eastAsia="Times New Roman" w:hAnsi="Times New Roman" w:cs="Times New Roman"/>
          <w:kern w:val="0"/>
          <w14:ligatures w14:val="none"/>
        </w:rPr>
        <w:t>: Tenure between 6–12 months</w:t>
      </w:r>
    </w:p>
    <w:p w14:paraId="64D83284" w14:textId="77777777" w:rsidR="008308D7" w:rsidRDefault="008308D7" w:rsidP="008308D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Low Risk</w:t>
      </w:r>
      <w:r w:rsidRPr="008308D7">
        <w:rPr>
          <w:rFonts w:ascii="Times New Roman" w:eastAsia="Times New Roman" w:hAnsi="Times New Roman" w:cs="Times New Roman"/>
          <w:kern w:val="0"/>
          <w14:ligatures w14:val="none"/>
        </w:rPr>
        <w:t>: Everyone else</w:t>
      </w:r>
    </w:p>
    <w:p w14:paraId="2B2DE41B" w14:textId="77777777" w:rsidR="0097249A" w:rsidRDefault="0097249A" w:rsidP="0097249A">
      <w:pPr>
        <w:spacing w:before="100" w:beforeAutospacing="1" w:after="100" w:afterAutospacing="1" w:line="240" w:lineRule="auto"/>
        <w:rPr>
          <w:rFonts w:ascii="Times New Roman" w:eastAsia="Times New Roman" w:hAnsi="Times New Roman" w:cs="Times New Roman"/>
          <w:kern w:val="0"/>
          <w14:ligatures w14:val="none"/>
        </w:rPr>
      </w:pPr>
    </w:p>
    <w:p w14:paraId="0CC9723C" w14:textId="27301834" w:rsidR="0097249A" w:rsidRDefault="0097249A" w:rsidP="0097249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B1D4367" wp14:editId="1ABC4BB9">
            <wp:extent cx="5943600" cy="1355090"/>
            <wp:effectExtent l="0" t="0" r="0" b="3810"/>
            <wp:docPr id="179136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043"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14:paraId="619527F0" w14:textId="77777777" w:rsidR="00F951A1" w:rsidRDefault="00F951A1" w:rsidP="0097249A">
      <w:pPr>
        <w:spacing w:before="100" w:beforeAutospacing="1" w:after="100" w:afterAutospacing="1" w:line="240" w:lineRule="auto"/>
        <w:rPr>
          <w:rFonts w:ascii="Times New Roman" w:eastAsia="Times New Roman" w:hAnsi="Times New Roman" w:cs="Times New Roman"/>
          <w:kern w:val="0"/>
          <w14:ligatures w14:val="none"/>
        </w:rPr>
      </w:pPr>
    </w:p>
    <w:p w14:paraId="0985955D" w14:textId="77777777" w:rsidR="0097249A" w:rsidRPr="008308D7" w:rsidRDefault="0097249A" w:rsidP="0097249A">
      <w:pPr>
        <w:spacing w:before="100" w:beforeAutospacing="1" w:after="100" w:afterAutospacing="1" w:line="240" w:lineRule="auto"/>
        <w:rPr>
          <w:rFonts w:ascii="Times New Roman" w:eastAsia="Times New Roman" w:hAnsi="Times New Roman" w:cs="Times New Roman"/>
          <w:kern w:val="0"/>
          <w14:ligatures w14:val="none"/>
        </w:rPr>
      </w:pPr>
    </w:p>
    <w:p w14:paraId="5516E378"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lastRenderedPageBreak/>
        <w:t>Feature Engineering</w:t>
      </w:r>
    </w:p>
    <w:p w14:paraId="6A21538C"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Behavioral features are created by aggregating Kafka events. Metrics like:</w:t>
      </w:r>
    </w:p>
    <w:p w14:paraId="1B8F23B6" w14:textId="77777777" w:rsidR="008308D7" w:rsidRPr="008308D7" w:rsidRDefault="008308D7" w:rsidP="008308D7">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Number of support calls</w:t>
      </w:r>
    </w:p>
    <w:p w14:paraId="5D59CEA3" w14:textId="77777777" w:rsidR="008308D7" w:rsidRPr="008308D7" w:rsidRDefault="008308D7" w:rsidP="008308D7">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Frequency of login events</w:t>
      </w:r>
    </w:p>
    <w:p w14:paraId="59593508" w14:textId="77777777" w:rsidR="008308D7" w:rsidRPr="008308D7" w:rsidRDefault="008308D7" w:rsidP="008308D7">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Monthly billing averages</w:t>
      </w:r>
    </w:p>
    <w:p w14:paraId="4E544A5F" w14:textId="4E343F14" w:rsidR="008308D7" w:rsidRDefault="008308D7" w:rsidP="008308D7">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Contract types</w:t>
      </w:r>
      <w:r w:rsidR="0097249A">
        <w:rPr>
          <w:rFonts w:ascii="Times New Roman" w:eastAsia="Times New Roman" w:hAnsi="Times New Roman" w:cs="Times New Roman"/>
          <w:kern w:val="0"/>
          <w14:ligatures w14:val="none"/>
        </w:rPr>
        <w:t xml:space="preserve"> </w:t>
      </w:r>
      <w:r w:rsidRPr="008308D7">
        <w:rPr>
          <w:rFonts w:ascii="Times New Roman" w:eastAsia="Times New Roman" w:hAnsi="Times New Roman" w:cs="Times New Roman"/>
          <w:kern w:val="0"/>
          <w14:ligatures w14:val="none"/>
        </w:rPr>
        <w:t xml:space="preserve">are calculated per customer and stored in </w:t>
      </w:r>
      <w:proofErr w:type="spellStart"/>
      <w:proofErr w:type="gramStart"/>
      <w:r w:rsidRPr="008308D7">
        <w:rPr>
          <w:rFonts w:ascii="Courier New" w:eastAsia="Times New Roman" w:hAnsi="Courier New" w:cs="Courier New"/>
          <w:kern w:val="0"/>
          <w:sz w:val="20"/>
          <w:szCs w:val="20"/>
          <w14:ligatures w14:val="none"/>
        </w:rPr>
        <w:t>features.churn</w:t>
      </w:r>
      <w:proofErr w:type="gramEnd"/>
      <w:r w:rsidRPr="008308D7">
        <w:rPr>
          <w:rFonts w:ascii="Courier New" w:eastAsia="Times New Roman" w:hAnsi="Courier New" w:cs="Courier New"/>
          <w:kern w:val="0"/>
          <w:sz w:val="20"/>
          <w:szCs w:val="20"/>
          <w14:ligatures w14:val="none"/>
        </w:rPr>
        <w:t>_features</w:t>
      </w:r>
      <w:proofErr w:type="spellEnd"/>
      <w:r w:rsidRPr="008308D7">
        <w:rPr>
          <w:rFonts w:ascii="Times New Roman" w:eastAsia="Times New Roman" w:hAnsi="Times New Roman" w:cs="Times New Roman"/>
          <w:kern w:val="0"/>
          <w14:ligatures w14:val="none"/>
        </w:rPr>
        <w:t>.</w:t>
      </w:r>
    </w:p>
    <w:p w14:paraId="436916CD" w14:textId="042D06FA" w:rsidR="0097249A" w:rsidRDefault="0097249A" w:rsidP="0097249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E715D8A" wp14:editId="220E5414">
            <wp:extent cx="5943600" cy="1685290"/>
            <wp:effectExtent l="0" t="0" r="0" b="3810"/>
            <wp:docPr id="6110451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5121"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2265FFA1" w14:textId="263C2CD1" w:rsidR="0097249A" w:rsidRPr="008308D7" w:rsidRDefault="0097249A" w:rsidP="0097249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D902763" wp14:editId="4C66E28F">
            <wp:extent cx="5943600" cy="1478280"/>
            <wp:effectExtent l="0" t="0" r="0" b="0"/>
            <wp:docPr id="208682179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1792"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14:paraId="12B60FE2"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Model Input Table</w:t>
      </w:r>
    </w:p>
    <w:p w14:paraId="6D8BFDC2"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A final processed table, </w:t>
      </w:r>
      <w:proofErr w:type="spellStart"/>
      <w:r w:rsidRPr="008308D7">
        <w:rPr>
          <w:rFonts w:ascii="Courier New" w:eastAsia="Times New Roman" w:hAnsi="Courier New" w:cs="Courier New"/>
          <w:kern w:val="0"/>
          <w:sz w:val="20"/>
          <w:szCs w:val="20"/>
          <w14:ligatures w14:val="none"/>
        </w:rPr>
        <w:t>raw_</w:t>
      </w:r>
      <w:proofErr w:type="gramStart"/>
      <w:r w:rsidRPr="008308D7">
        <w:rPr>
          <w:rFonts w:ascii="Courier New" w:eastAsia="Times New Roman" w:hAnsi="Courier New" w:cs="Courier New"/>
          <w:kern w:val="0"/>
          <w:sz w:val="20"/>
          <w:szCs w:val="20"/>
          <w14:ligatures w14:val="none"/>
        </w:rPr>
        <w:t>data.churn</w:t>
      </w:r>
      <w:proofErr w:type="gramEnd"/>
      <w:r w:rsidRPr="008308D7">
        <w:rPr>
          <w:rFonts w:ascii="Courier New" w:eastAsia="Times New Roman" w:hAnsi="Courier New" w:cs="Courier New"/>
          <w:kern w:val="0"/>
          <w:sz w:val="20"/>
          <w:szCs w:val="20"/>
          <w14:ligatures w14:val="none"/>
        </w:rPr>
        <w:t>_model_input</w:t>
      </w:r>
      <w:proofErr w:type="spellEnd"/>
      <w:r w:rsidRPr="008308D7">
        <w:rPr>
          <w:rFonts w:ascii="Times New Roman" w:eastAsia="Times New Roman" w:hAnsi="Times New Roman" w:cs="Times New Roman"/>
          <w:kern w:val="0"/>
          <w14:ligatures w14:val="none"/>
        </w:rPr>
        <w:t>, combines demographic, billing, behavioral, and risk categorization information. This is the input used for ML training and predictions.</w:t>
      </w:r>
    </w:p>
    <w:p w14:paraId="2E92DF35"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To ensure universal access, the table is cloned into the </w:t>
      </w:r>
      <w:r w:rsidRPr="008308D7">
        <w:rPr>
          <w:rFonts w:ascii="Courier New" w:eastAsia="Times New Roman" w:hAnsi="Courier New" w:cs="Courier New"/>
          <w:kern w:val="0"/>
          <w:sz w:val="20"/>
          <w:szCs w:val="20"/>
          <w14:ligatures w14:val="none"/>
        </w:rPr>
        <w:t>PUBLIC</w:t>
      </w:r>
      <w:r w:rsidRPr="008308D7">
        <w:rPr>
          <w:rFonts w:ascii="Times New Roman" w:eastAsia="Times New Roman" w:hAnsi="Times New Roman" w:cs="Times New Roman"/>
          <w:kern w:val="0"/>
          <w14:ligatures w14:val="none"/>
        </w:rPr>
        <w:t xml:space="preserve"> schema. Snowflake’s </w:t>
      </w:r>
      <w:r w:rsidRPr="008308D7">
        <w:rPr>
          <w:rFonts w:ascii="Times New Roman" w:eastAsia="Times New Roman" w:hAnsi="Times New Roman" w:cs="Times New Roman"/>
          <w:b/>
          <w:bCs/>
          <w:kern w:val="0"/>
          <w14:ligatures w14:val="none"/>
        </w:rPr>
        <w:t>zero-copy cloning</w:t>
      </w:r>
      <w:r w:rsidRPr="008308D7">
        <w:rPr>
          <w:rFonts w:ascii="Times New Roman" w:eastAsia="Times New Roman" w:hAnsi="Times New Roman" w:cs="Times New Roman"/>
          <w:kern w:val="0"/>
          <w14:ligatures w14:val="none"/>
        </w:rPr>
        <w:t xml:space="preserve"> ensures this is instant and storage-efficient.</w:t>
      </w:r>
    </w:p>
    <w:p w14:paraId="774620DA" w14:textId="15F8E4EE" w:rsidR="0097249A" w:rsidRPr="008308D7" w:rsidRDefault="0097249A" w:rsidP="008308D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08732B32" wp14:editId="1C498B04">
            <wp:extent cx="5943600" cy="1895475"/>
            <wp:effectExtent l="0" t="0" r="0" b="0"/>
            <wp:docPr id="111145616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6163" name="Picture 4"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675B4FE8"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5. Predictive Modeling with XGBoost and SHAP</w:t>
      </w:r>
    </w:p>
    <w:p w14:paraId="351572D7"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machine learning workflow is implemented in Python using </w:t>
      </w:r>
      <w:r w:rsidRPr="008308D7">
        <w:rPr>
          <w:rFonts w:ascii="Times New Roman" w:eastAsia="Times New Roman" w:hAnsi="Times New Roman" w:cs="Times New Roman"/>
          <w:b/>
          <w:bCs/>
          <w:kern w:val="0"/>
          <w14:ligatures w14:val="none"/>
        </w:rPr>
        <w:t>XGBoost</w:t>
      </w:r>
      <w:r w:rsidRPr="008308D7">
        <w:rPr>
          <w:rFonts w:ascii="Times New Roman" w:eastAsia="Times New Roman" w:hAnsi="Times New Roman" w:cs="Times New Roman"/>
          <w:kern w:val="0"/>
          <w14:ligatures w14:val="none"/>
        </w:rPr>
        <w:t xml:space="preserve">, a proven and efficient ensemble method, and </w:t>
      </w:r>
      <w:r w:rsidRPr="008308D7">
        <w:rPr>
          <w:rFonts w:ascii="Times New Roman" w:eastAsia="Times New Roman" w:hAnsi="Times New Roman" w:cs="Times New Roman"/>
          <w:b/>
          <w:bCs/>
          <w:kern w:val="0"/>
          <w14:ligatures w14:val="none"/>
        </w:rPr>
        <w:t>SHAP</w:t>
      </w:r>
      <w:r w:rsidRPr="008308D7">
        <w:rPr>
          <w:rFonts w:ascii="Times New Roman" w:eastAsia="Times New Roman" w:hAnsi="Times New Roman" w:cs="Times New Roman"/>
          <w:kern w:val="0"/>
          <w14:ligatures w14:val="none"/>
        </w:rPr>
        <w:t xml:space="preserve"> for interpretability.</w:t>
      </w:r>
    </w:p>
    <w:p w14:paraId="12E369BD"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Snowflake Integration</w:t>
      </w:r>
    </w:p>
    <w:p w14:paraId="395C4403"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Python script connects to Snowflake and queries the latest </w:t>
      </w:r>
      <w:r w:rsidRPr="008308D7">
        <w:rPr>
          <w:rFonts w:ascii="Courier New" w:eastAsia="Times New Roman" w:hAnsi="Courier New" w:cs="Courier New"/>
          <w:kern w:val="0"/>
          <w:sz w:val="20"/>
          <w:szCs w:val="20"/>
          <w14:ligatures w14:val="none"/>
        </w:rPr>
        <w:t>CHURN_MODEL_INPUT</w:t>
      </w:r>
      <w:r w:rsidRPr="008308D7">
        <w:rPr>
          <w:rFonts w:ascii="Times New Roman" w:eastAsia="Times New Roman" w:hAnsi="Times New Roman" w:cs="Times New Roman"/>
          <w:kern w:val="0"/>
          <w14:ligatures w14:val="none"/>
        </w:rPr>
        <w:t xml:space="preserve"> data into a Pandas </w:t>
      </w:r>
      <w:proofErr w:type="spellStart"/>
      <w:r w:rsidRPr="008308D7">
        <w:rPr>
          <w:rFonts w:ascii="Times New Roman" w:eastAsia="Times New Roman" w:hAnsi="Times New Roman" w:cs="Times New Roman"/>
          <w:kern w:val="0"/>
          <w14:ligatures w14:val="none"/>
        </w:rPr>
        <w:t>DataFrame</w:t>
      </w:r>
      <w:proofErr w:type="spellEnd"/>
      <w:r w:rsidRPr="008308D7">
        <w:rPr>
          <w:rFonts w:ascii="Times New Roman" w:eastAsia="Times New Roman" w:hAnsi="Times New Roman" w:cs="Times New Roman"/>
          <w:kern w:val="0"/>
          <w14:ligatures w14:val="none"/>
        </w:rPr>
        <w:t>. After basic data validation, preprocessing is applied:</w:t>
      </w:r>
    </w:p>
    <w:p w14:paraId="23AA0474" w14:textId="77777777" w:rsidR="008308D7" w:rsidRPr="008308D7" w:rsidRDefault="008308D7" w:rsidP="008308D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Conversion of categorical variables into one-hot encodings</w:t>
      </w:r>
    </w:p>
    <w:p w14:paraId="4C79960E" w14:textId="77777777" w:rsidR="008308D7" w:rsidRPr="008308D7" w:rsidRDefault="008308D7" w:rsidP="008308D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Handling of missing or invalid numeric values</w:t>
      </w:r>
    </w:p>
    <w:p w14:paraId="6F7E6E9A" w14:textId="77777777" w:rsidR="008308D7" w:rsidRPr="008308D7" w:rsidRDefault="008308D7" w:rsidP="008308D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Conversion of string-based features into </w:t>
      </w:r>
      <w:proofErr w:type="spellStart"/>
      <w:r w:rsidRPr="008308D7">
        <w:rPr>
          <w:rFonts w:ascii="Times New Roman" w:eastAsia="Times New Roman" w:hAnsi="Times New Roman" w:cs="Times New Roman"/>
          <w:kern w:val="0"/>
          <w14:ligatures w14:val="none"/>
        </w:rPr>
        <w:t>numerics</w:t>
      </w:r>
      <w:proofErr w:type="spellEnd"/>
    </w:p>
    <w:p w14:paraId="6065E9C7"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The final dataset includes only numeric, clean columns, suitable for training.</w:t>
      </w:r>
    </w:p>
    <w:p w14:paraId="040A5AC9" w14:textId="028F630C" w:rsidR="0097249A" w:rsidRPr="008308D7" w:rsidRDefault="00854237" w:rsidP="008308D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1D78166" wp14:editId="131662AB">
            <wp:extent cx="3873500" cy="1422400"/>
            <wp:effectExtent l="0" t="0" r="0" b="0"/>
            <wp:docPr id="866335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591"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73500" cy="1422400"/>
                    </a:xfrm>
                    <a:prstGeom prst="rect">
                      <a:avLst/>
                    </a:prstGeom>
                  </pic:spPr>
                </pic:pic>
              </a:graphicData>
            </a:graphic>
          </wp:inline>
        </w:drawing>
      </w:r>
    </w:p>
    <w:p w14:paraId="40C65D6C"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Model Training and Evaluation</w:t>
      </w:r>
    </w:p>
    <w:p w14:paraId="14FAC1D1"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An 80-20 train-test split is used to build the model. Metrics such as accuracy, precision, recall, and F1-score are calculated and printed, along with the confusion matrix and classification report.</w:t>
      </w:r>
    </w:p>
    <w:p w14:paraId="72EA30A3" w14:textId="77777777" w:rsid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308D7">
        <w:rPr>
          <w:rFonts w:ascii="Times New Roman" w:eastAsia="Times New Roman" w:hAnsi="Times New Roman" w:cs="Times New Roman"/>
          <w:kern w:val="0"/>
          <w14:ligatures w14:val="none"/>
        </w:rPr>
        <w:t>XGBoost’s</w:t>
      </w:r>
      <w:proofErr w:type="spellEnd"/>
      <w:r w:rsidRPr="008308D7">
        <w:rPr>
          <w:rFonts w:ascii="Times New Roman" w:eastAsia="Times New Roman" w:hAnsi="Times New Roman" w:cs="Times New Roman"/>
          <w:kern w:val="0"/>
          <w14:ligatures w14:val="none"/>
        </w:rPr>
        <w:t xml:space="preserve"> robustness against noise and its ability to handle nonlinear feature interactions make it ideal for churn problems, which often involve subtle patterns and multiple dependencies.</w:t>
      </w:r>
    </w:p>
    <w:p w14:paraId="698D7165" w14:textId="56CE3C4E" w:rsidR="00854237" w:rsidRPr="008308D7" w:rsidRDefault="00854237" w:rsidP="008308D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C85ED6F" wp14:editId="66013153">
            <wp:extent cx="5943600" cy="2453005"/>
            <wp:effectExtent l="0" t="0" r="0" b="0"/>
            <wp:docPr id="3855762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624" name="Picture 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1D58C285"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Model Explainability with SHAP</w:t>
      </w:r>
    </w:p>
    <w:p w14:paraId="712B31F8"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To avoid a black-box approach, SHAP values are generated for the test set. SHAP highlights the top three most impactful features for each prediction. These are encoded as human-readable strings and stored along with the customer ID and prediction results.</w:t>
      </w:r>
    </w:p>
    <w:p w14:paraId="2128E624"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Export to Snowflake</w:t>
      </w:r>
    </w:p>
    <w:p w14:paraId="3911ADE6"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The final </w:t>
      </w:r>
      <w:proofErr w:type="spellStart"/>
      <w:r w:rsidRPr="008308D7">
        <w:rPr>
          <w:rFonts w:ascii="Times New Roman" w:eastAsia="Times New Roman" w:hAnsi="Times New Roman" w:cs="Times New Roman"/>
          <w:kern w:val="0"/>
          <w14:ligatures w14:val="none"/>
        </w:rPr>
        <w:t>DataFrame</w:t>
      </w:r>
      <w:proofErr w:type="spellEnd"/>
      <w:r w:rsidRPr="008308D7">
        <w:rPr>
          <w:rFonts w:ascii="Times New Roman" w:eastAsia="Times New Roman" w:hAnsi="Times New Roman" w:cs="Times New Roman"/>
          <w:kern w:val="0"/>
          <w14:ligatures w14:val="none"/>
        </w:rPr>
        <w:t xml:space="preserve"> includes:</w:t>
      </w:r>
    </w:p>
    <w:p w14:paraId="76491A95" w14:textId="77777777" w:rsidR="008308D7" w:rsidRPr="008308D7" w:rsidRDefault="008308D7" w:rsidP="008308D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CHURN_PROBABILITY</w:t>
      </w:r>
      <w:r w:rsidRPr="008308D7">
        <w:rPr>
          <w:rFonts w:ascii="Times New Roman" w:eastAsia="Times New Roman" w:hAnsi="Times New Roman" w:cs="Times New Roman"/>
          <w:kern w:val="0"/>
          <w14:ligatures w14:val="none"/>
        </w:rPr>
        <w:t xml:space="preserve"> (float)</w:t>
      </w:r>
    </w:p>
    <w:p w14:paraId="6D8DB1A6" w14:textId="77777777" w:rsidR="008308D7" w:rsidRPr="008308D7" w:rsidRDefault="008308D7" w:rsidP="008308D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CHURN_FLAG</w:t>
      </w:r>
      <w:r w:rsidRPr="008308D7">
        <w:rPr>
          <w:rFonts w:ascii="Times New Roman" w:eastAsia="Times New Roman" w:hAnsi="Times New Roman" w:cs="Times New Roman"/>
          <w:kern w:val="0"/>
          <w14:ligatures w14:val="none"/>
        </w:rPr>
        <w:t xml:space="preserve"> (0 or 1)</w:t>
      </w:r>
    </w:p>
    <w:p w14:paraId="6FE52051" w14:textId="77777777" w:rsidR="008308D7" w:rsidRPr="008308D7" w:rsidRDefault="008308D7" w:rsidP="008308D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RISK_FACTORS</w:t>
      </w:r>
      <w:r w:rsidRPr="008308D7">
        <w:rPr>
          <w:rFonts w:ascii="Times New Roman" w:eastAsia="Times New Roman" w:hAnsi="Times New Roman" w:cs="Times New Roman"/>
          <w:kern w:val="0"/>
          <w14:ligatures w14:val="none"/>
        </w:rPr>
        <w:t xml:space="preserve"> (text)</w:t>
      </w:r>
    </w:p>
    <w:p w14:paraId="4415BCBC" w14:textId="77777777" w:rsidR="008308D7" w:rsidRPr="008308D7" w:rsidRDefault="008308D7" w:rsidP="008308D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Courier New" w:eastAsia="Times New Roman" w:hAnsi="Courier New" w:cs="Courier New"/>
          <w:kern w:val="0"/>
          <w:sz w:val="20"/>
          <w:szCs w:val="20"/>
          <w14:ligatures w14:val="none"/>
        </w:rPr>
        <w:t>CUSTOMERID</w:t>
      </w:r>
      <w:r w:rsidRPr="008308D7">
        <w:rPr>
          <w:rFonts w:ascii="Times New Roman" w:eastAsia="Times New Roman" w:hAnsi="Times New Roman" w:cs="Times New Roman"/>
          <w:kern w:val="0"/>
          <w14:ligatures w14:val="none"/>
        </w:rPr>
        <w:t xml:space="preserve"> (string)</w:t>
      </w:r>
    </w:p>
    <w:p w14:paraId="10F65523"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 xml:space="preserve">This table is uploaded into </w:t>
      </w:r>
      <w:proofErr w:type="spellStart"/>
      <w:proofErr w:type="gramStart"/>
      <w:r w:rsidRPr="008308D7">
        <w:rPr>
          <w:rFonts w:ascii="Courier New" w:eastAsia="Times New Roman" w:hAnsi="Courier New" w:cs="Courier New"/>
          <w:kern w:val="0"/>
          <w:sz w:val="20"/>
          <w:szCs w:val="20"/>
          <w14:ligatures w14:val="none"/>
        </w:rPr>
        <w:t>predictions.CHURN</w:t>
      </w:r>
      <w:proofErr w:type="gramEnd"/>
      <w:r w:rsidRPr="008308D7">
        <w:rPr>
          <w:rFonts w:ascii="Courier New" w:eastAsia="Times New Roman" w:hAnsi="Courier New" w:cs="Courier New"/>
          <w:kern w:val="0"/>
          <w:sz w:val="20"/>
          <w:szCs w:val="20"/>
          <w14:ligatures w14:val="none"/>
        </w:rPr>
        <w:t>_PREDICTIONS</w:t>
      </w:r>
      <w:proofErr w:type="spellEnd"/>
      <w:r w:rsidRPr="008308D7">
        <w:rPr>
          <w:rFonts w:ascii="Times New Roman" w:eastAsia="Times New Roman" w:hAnsi="Times New Roman" w:cs="Times New Roman"/>
          <w:kern w:val="0"/>
          <w14:ligatures w14:val="none"/>
        </w:rPr>
        <w:t>, replacing any existing data.</w:t>
      </w:r>
    </w:p>
    <w:p w14:paraId="33FC6CFB"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6. Power BI Visualization and Dashboard Design</w:t>
      </w:r>
    </w:p>
    <w:p w14:paraId="0779F584" w14:textId="77777777" w:rsidR="00D85BF6" w:rsidRPr="00D85BF6" w:rsidRDefault="00D85BF6" w:rsidP="00D85BF6">
      <w:pPr>
        <w:jc w:val="both"/>
        <w:rPr>
          <w:rFonts w:ascii="Times New Roman" w:hAnsi="Times New Roman" w:cs="Times New Roman"/>
        </w:rPr>
      </w:pPr>
      <w:r w:rsidRPr="00D85BF6">
        <w:rPr>
          <w:rFonts w:ascii="Times New Roman" w:hAnsi="Times New Roman" w:cs="Times New Roman"/>
        </w:rPr>
        <w:t>Power BI serves as the final layer of our customer churn prediction system, translating complex model outputs and behavioral data into accessible, interactive dashboards. These visuals empower business users with real-time insights to make informed decisions, prioritize retention efforts, and understand customer behavior across multiple dimensions.</w:t>
      </w:r>
    </w:p>
    <w:p w14:paraId="6CCC900F" w14:textId="77777777" w:rsidR="00D85BF6" w:rsidRDefault="00D85BF6" w:rsidP="00D85BF6">
      <w:pPr>
        <w:jc w:val="both"/>
        <w:rPr>
          <w:rFonts w:ascii="Times New Roman" w:hAnsi="Times New Roman" w:cs="Times New Roman"/>
        </w:rPr>
      </w:pPr>
      <w:r w:rsidRPr="00D85BF6">
        <w:rPr>
          <w:rFonts w:ascii="Times New Roman" w:hAnsi="Times New Roman" w:cs="Times New Roman"/>
        </w:rPr>
        <w:t>The Power BI dashboard consumes data directly from Snowflake's `CHURN_PREDICTIONS` table, which contains model predictions (`CHURN_PROBABILITY`, `CHURN_FLAG`), customer identifiers, revenue information (`MONTHLYCHARGES`), and interpretable explanations (`RISK_FACTORS`). The report design follows a layered approach, moving from executive summaries to detailed behavioral insights.</w:t>
      </w:r>
    </w:p>
    <w:p w14:paraId="635D9B3E" w14:textId="729316B9" w:rsidR="007873AB" w:rsidRPr="00D85BF6" w:rsidRDefault="007873AB" w:rsidP="00D85BF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FDB9E9D" wp14:editId="240AB58C">
            <wp:extent cx="5943600" cy="3422015"/>
            <wp:effectExtent l="0" t="0" r="0" b="0"/>
            <wp:docPr id="5147974"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74" name="Picture 8"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3B7B1908" w14:textId="77777777" w:rsidR="008308D7" w:rsidRPr="008308D7" w:rsidRDefault="008308D7" w:rsidP="008308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308D7">
        <w:rPr>
          <w:rFonts w:ascii="Times New Roman" w:eastAsia="Times New Roman" w:hAnsi="Times New Roman" w:cs="Times New Roman"/>
          <w:b/>
          <w:bCs/>
          <w:kern w:val="0"/>
          <w:sz w:val="27"/>
          <w:szCs w:val="27"/>
          <w14:ligatures w14:val="none"/>
        </w:rPr>
        <w:t>Dashboard Components</w:t>
      </w:r>
    </w:p>
    <w:p w14:paraId="06912831" w14:textId="4CABF54F" w:rsidR="00D85BF6" w:rsidRPr="00D85BF6" w:rsidRDefault="00D85BF6" w:rsidP="008308D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Executive Summary:</w:t>
      </w:r>
      <w:r w:rsidRPr="00D85BF6">
        <w:rPr>
          <w:rFonts w:ascii="Times New Roman" w:eastAsia="Times New Roman" w:hAnsi="Times New Roman" w:cs="Times New Roman"/>
          <w:kern w:val="0"/>
          <w14:ligatures w14:val="none"/>
        </w:rPr>
        <w:t xml:space="preserve"> High-level overview of churn rate, total revenue, and customer count</w:t>
      </w:r>
    </w:p>
    <w:p w14:paraId="1186E3E9" w14:textId="7BEEBF40" w:rsidR="00D85BF6" w:rsidRPr="00D85BF6" w:rsidRDefault="00D85BF6" w:rsidP="00CD251A">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Customer Demographics</w:t>
      </w:r>
      <w:r w:rsidR="008308D7" w:rsidRPr="00D85BF6">
        <w:rPr>
          <w:rFonts w:ascii="Times New Roman" w:eastAsia="Times New Roman" w:hAnsi="Times New Roman" w:cs="Times New Roman"/>
          <w:b/>
          <w:bCs/>
          <w:kern w:val="0"/>
          <w14:ligatures w14:val="none"/>
        </w:rPr>
        <w:t>:</w:t>
      </w:r>
      <w:r w:rsidR="008308D7" w:rsidRPr="00D85BF6">
        <w:rPr>
          <w:rFonts w:ascii="Times New Roman" w:eastAsia="Times New Roman" w:hAnsi="Times New Roman" w:cs="Times New Roman"/>
          <w:kern w:val="0"/>
          <w14:ligatures w14:val="none"/>
        </w:rPr>
        <w:t xml:space="preserve"> </w:t>
      </w:r>
      <w:r w:rsidRPr="00D85BF6">
        <w:rPr>
          <w:rFonts w:ascii="Times New Roman" w:eastAsia="Times New Roman" w:hAnsi="Times New Roman" w:cs="Times New Roman"/>
          <w:kern w:val="0"/>
          <w14:ligatures w14:val="none"/>
        </w:rPr>
        <w:t>Analyzes churn behavior based on gender, age group (senior citizen), partner status, and dependent status.</w:t>
      </w:r>
    </w:p>
    <w:p w14:paraId="18463A35" w14:textId="77777777" w:rsidR="00D85BF6" w:rsidRPr="00D85BF6" w:rsidRDefault="00D85BF6" w:rsidP="00D85BF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Service Usage:</w:t>
      </w:r>
      <w:r w:rsidRPr="00D85BF6">
        <w:rPr>
          <w:rFonts w:ascii="Times New Roman" w:eastAsia="Times New Roman" w:hAnsi="Times New Roman" w:cs="Times New Roman"/>
          <w:kern w:val="0"/>
          <w14:ligatures w14:val="none"/>
        </w:rPr>
        <w:t xml:space="preserve"> Explores how different service types and plan configurations influence churn.</w:t>
      </w:r>
    </w:p>
    <w:p w14:paraId="00A69305" w14:textId="40EC5F8B" w:rsidR="00D85BF6" w:rsidRPr="00D85BF6" w:rsidRDefault="00D85BF6" w:rsidP="00D85BF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Tenure &amp; Billing Analysis:</w:t>
      </w:r>
      <w:r w:rsidRPr="00D85BF6">
        <w:rPr>
          <w:rFonts w:ascii="Times New Roman" w:eastAsia="Times New Roman" w:hAnsi="Times New Roman" w:cs="Times New Roman"/>
          <w:kern w:val="0"/>
          <w14:ligatures w14:val="none"/>
        </w:rPr>
        <w:t xml:space="preserve"> Visualizes how customer lifecycle (tenure), total charges, and monthly billing affect churn rates</w:t>
      </w:r>
    </w:p>
    <w:p w14:paraId="2DD57311" w14:textId="77777777" w:rsidR="00D85BF6" w:rsidRPr="00D85BF6" w:rsidRDefault="00D85BF6" w:rsidP="008308D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Segmentation by Features:</w:t>
      </w:r>
      <w:r w:rsidRPr="00D85BF6">
        <w:rPr>
          <w:rFonts w:ascii="Times New Roman" w:eastAsia="Times New Roman" w:hAnsi="Times New Roman" w:cs="Times New Roman"/>
          <w:kern w:val="0"/>
          <w14:ligatures w14:val="none"/>
        </w:rPr>
        <w:t xml:space="preserve"> Dissects churn by specific plan add-ons like streaming TV, multiple lines, and combinations of support features</w:t>
      </w:r>
    </w:p>
    <w:p w14:paraId="1CB7F20C" w14:textId="77777777" w:rsidR="00D85BF6" w:rsidRDefault="00D85BF6" w:rsidP="008308D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Churn Risk Summary:</w:t>
      </w:r>
      <w:r w:rsidRPr="00D85BF6">
        <w:rPr>
          <w:rFonts w:ascii="Times New Roman" w:eastAsia="Times New Roman" w:hAnsi="Times New Roman" w:cs="Times New Roman"/>
          <w:kern w:val="0"/>
          <w14:ligatures w14:val="none"/>
        </w:rPr>
        <w:t xml:space="preserve"> Presents machine learning model outputs: churn probabilities, revenue at risk, and SHAP-based explanations</w:t>
      </w:r>
    </w:p>
    <w:p w14:paraId="0F05CE61" w14:textId="27E9AC83" w:rsidR="007873AB" w:rsidRDefault="007873AB" w:rsidP="007873A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A8BECB7" wp14:editId="68E493E5">
            <wp:extent cx="5943600" cy="4128135"/>
            <wp:effectExtent l="0" t="0" r="0" b="0"/>
            <wp:docPr id="70360956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9562" name="Picture 9"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14:paraId="28DC0638"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6.1 Executive Summary</w:t>
      </w:r>
    </w:p>
    <w:p w14:paraId="1BE7672A"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176D816A"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This dashboard page provides a top-level summary of customer churn trends, revenue exposure, and key business health metrics. It is primarily intended for executive audiences to gain quick, actionable insights without navigating deeper visual layers.</w:t>
      </w:r>
    </w:p>
    <w:p w14:paraId="5F0A7A1A"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Visual Descriptions and Interpretations:</w:t>
      </w:r>
    </w:p>
    <w:p w14:paraId="2FFB12EF"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Total Customers (Card):</w:t>
      </w:r>
      <w:r w:rsidRPr="00D85BF6">
        <w:rPr>
          <w:rFonts w:ascii="Times New Roman" w:eastAsia="Times New Roman" w:hAnsi="Times New Roman" w:cs="Times New Roman"/>
          <w:kern w:val="0"/>
          <w14:ligatures w14:val="none"/>
        </w:rPr>
        <w:t xml:space="preserve"> Represents the total number of customers included in the analysis (e.g., 7,043). This value defines the dataset scope and serves as a baseline for all ratios and trends.</w:t>
      </w:r>
    </w:p>
    <w:p w14:paraId="4E122C58"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Churned Customers (Card):</w:t>
      </w:r>
      <w:r w:rsidRPr="00D85BF6">
        <w:rPr>
          <w:rFonts w:ascii="Times New Roman" w:eastAsia="Times New Roman" w:hAnsi="Times New Roman" w:cs="Times New Roman"/>
          <w:kern w:val="0"/>
          <w14:ligatures w14:val="none"/>
        </w:rPr>
        <w:t xml:space="preserve"> Displays the number of customers who have discontinued service (e.g., 1,869). This absolute count underscores the urgency of churn mitigation efforts.</w:t>
      </w:r>
    </w:p>
    <w:p w14:paraId="2A3C1DC9"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Churn Rate (Card):</w:t>
      </w:r>
      <w:r w:rsidRPr="00D85BF6">
        <w:rPr>
          <w:rFonts w:ascii="Times New Roman" w:eastAsia="Times New Roman" w:hAnsi="Times New Roman" w:cs="Times New Roman"/>
          <w:kern w:val="0"/>
          <w14:ligatures w14:val="none"/>
        </w:rPr>
        <w:t xml:space="preserve"> Shows the percentage of churned customers (26.54%), providing a normalized view of attrition across the customer base.</w:t>
      </w:r>
    </w:p>
    <w:p w14:paraId="5F4F7E7C" w14:textId="71032C04"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Total Revenue (Card):</w:t>
      </w:r>
      <w:r w:rsidRPr="00D85BF6">
        <w:rPr>
          <w:rFonts w:ascii="Times New Roman" w:eastAsia="Times New Roman" w:hAnsi="Times New Roman" w:cs="Times New Roman"/>
          <w:kern w:val="0"/>
          <w14:ligatures w14:val="none"/>
        </w:rPr>
        <w:t xml:space="preserve"> Indicates the total revenue generated from all customers (e.g., $16.06M). </w:t>
      </w:r>
      <w:r w:rsidR="00F951A1" w:rsidRPr="00D85BF6">
        <w:rPr>
          <w:rFonts w:ascii="Times New Roman" w:eastAsia="Times New Roman" w:hAnsi="Times New Roman" w:cs="Times New Roman"/>
          <w:kern w:val="0"/>
          <w14:ligatures w14:val="none"/>
        </w:rPr>
        <w:t>These metric</w:t>
      </w:r>
      <w:r w:rsidR="00F951A1">
        <w:rPr>
          <w:rFonts w:ascii="Times New Roman" w:eastAsia="Times New Roman" w:hAnsi="Times New Roman" w:cs="Times New Roman"/>
          <w:kern w:val="0"/>
          <w14:ligatures w14:val="none"/>
        </w:rPr>
        <w:t>s</w:t>
      </w:r>
      <w:r w:rsidR="00F951A1" w:rsidRPr="00D85BF6">
        <w:rPr>
          <w:rFonts w:ascii="Times New Roman" w:eastAsia="Times New Roman" w:hAnsi="Times New Roman" w:cs="Times New Roman"/>
          <w:kern w:val="0"/>
          <w14:ligatures w14:val="none"/>
        </w:rPr>
        <w:t xml:space="preserve"> highlight</w:t>
      </w:r>
      <w:r w:rsidRPr="00D85BF6">
        <w:rPr>
          <w:rFonts w:ascii="Times New Roman" w:eastAsia="Times New Roman" w:hAnsi="Times New Roman" w:cs="Times New Roman"/>
          <w:kern w:val="0"/>
          <w14:ligatures w14:val="none"/>
        </w:rPr>
        <w:t xml:space="preserve"> financial exposure tied to churn risk.</w:t>
      </w:r>
    </w:p>
    <w:p w14:paraId="07B44C6B"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Average Monthly Charge (Card):</w:t>
      </w:r>
      <w:r w:rsidRPr="00D85BF6">
        <w:rPr>
          <w:rFonts w:ascii="Times New Roman" w:eastAsia="Times New Roman" w:hAnsi="Times New Roman" w:cs="Times New Roman"/>
          <w:kern w:val="0"/>
          <w14:ligatures w14:val="none"/>
        </w:rPr>
        <w:t xml:space="preserve"> Reflects the mean monthly billing per customer (e.g., $64.76), offering a benchmark for financial value per user.</w:t>
      </w:r>
    </w:p>
    <w:p w14:paraId="2AE45188"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lastRenderedPageBreak/>
        <w:t>Bar Chart – Churn by Contract Type:</w:t>
      </w:r>
      <w:r w:rsidRPr="00D85BF6">
        <w:rPr>
          <w:rFonts w:ascii="Times New Roman" w:eastAsia="Times New Roman" w:hAnsi="Times New Roman" w:cs="Times New Roman"/>
          <w:kern w:val="0"/>
          <w14:ligatures w14:val="none"/>
        </w:rPr>
        <w:t xml:space="preserve"> Demonstrates that customers with month-to-month contracts exhibit the highest churn, followed by one-year and two-year plans. This reinforces the stabilizing effect of longer-term commitments.</w:t>
      </w:r>
    </w:p>
    <w:p w14:paraId="14188BC7" w14:textId="77777777" w:rsidR="00D85BF6" w:rsidRP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Pie Chart – Total Charges by Internet Service:</w:t>
      </w:r>
      <w:r w:rsidRPr="00D85BF6">
        <w:rPr>
          <w:rFonts w:ascii="Times New Roman" w:eastAsia="Times New Roman" w:hAnsi="Times New Roman" w:cs="Times New Roman"/>
          <w:kern w:val="0"/>
          <w14:ligatures w14:val="none"/>
        </w:rPr>
        <w:t xml:space="preserve"> Displays revenue contributions by service type. Customers with no internet service account for a surprisingly large share, suggesting passive usage or minimal engagement.</w:t>
      </w:r>
    </w:p>
    <w:p w14:paraId="0CB6FBB5" w14:textId="77777777" w:rsidR="00D85BF6" w:rsidRDefault="00D85BF6" w:rsidP="00D85BF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Slicers (Gender, Contract, Internet Service):</w:t>
      </w:r>
      <w:r w:rsidRPr="00D85BF6">
        <w:rPr>
          <w:rFonts w:ascii="Times New Roman" w:eastAsia="Times New Roman" w:hAnsi="Times New Roman" w:cs="Times New Roman"/>
          <w:kern w:val="0"/>
          <w14:ligatures w14:val="none"/>
        </w:rPr>
        <w:t xml:space="preserve"> Enable interactive filtering across visuals to isolate demographic and subscription-based churn patterns.</w:t>
      </w:r>
    </w:p>
    <w:p w14:paraId="20163BE7" w14:textId="6853B3E1" w:rsidR="007873AB" w:rsidRPr="00D85BF6" w:rsidRDefault="007873AB" w:rsidP="007873A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E28A0D1" wp14:editId="7179CE19">
            <wp:extent cx="5943600" cy="2385695"/>
            <wp:effectExtent l="0" t="0" r="0" b="1905"/>
            <wp:docPr id="144949522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5228"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62E2FAE3"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38BFAFC8" w14:textId="77777777" w:rsidR="00D85BF6" w:rsidRPr="00D85BF6" w:rsidRDefault="00D85BF6" w:rsidP="00D85BF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Month-to-month contract customers are disproportionately responsible for churn.</w:t>
      </w:r>
    </w:p>
    <w:p w14:paraId="2CC752EA" w14:textId="77777777" w:rsidR="00D85BF6" w:rsidRPr="00D85BF6" w:rsidRDefault="00D85BF6" w:rsidP="00D85BF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A significant portion of total revenue is generated by users who do not subscribe to internet service.</w:t>
      </w:r>
    </w:p>
    <w:p w14:paraId="75C4AAE1" w14:textId="77777777" w:rsidR="00D85BF6" w:rsidRPr="00D85BF6" w:rsidRDefault="00D85BF6" w:rsidP="00D85BF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Filtering reveals that churn patterns vary significantly across gender and service type combinations.</w:t>
      </w:r>
    </w:p>
    <w:p w14:paraId="14DC6BB5"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Actionable Recommendations:</w:t>
      </w:r>
    </w:p>
    <w:p w14:paraId="671CBCDE" w14:textId="77777777" w:rsidR="00D85BF6" w:rsidRPr="00D85BF6" w:rsidRDefault="00D85BF6" w:rsidP="00D85BF6">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Implement incentive programs to shift customers from month-to-month to longer-term contracts.</w:t>
      </w:r>
    </w:p>
    <w:p w14:paraId="548680BD" w14:textId="77777777" w:rsidR="00D85BF6" w:rsidRPr="00D85BF6" w:rsidRDefault="00D85BF6" w:rsidP="00D85BF6">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Launch targeted campaigns to cross-sell internet service to non-users, especially given their revenue contribution.</w:t>
      </w:r>
    </w:p>
    <w:p w14:paraId="4705C8AC" w14:textId="77777777" w:rsidR="00D85BF6" w:rsidRPr="00D85BF6" w:rsidRDefault="00D85BF6" w:rsidP="00D85BF6">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Customize retention initiatives based on filtered segments uncovered through slicers.</w:t>
      </w:r>
    </w:p>
    <w:p w14:paraId="5DEFA682"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6.2 Customer Demographics</w:t>
      </w:r>
    </w:p>
    <w:p w14:paraId="4DD3B0EE"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4D3773ED"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This page focuses on evaluating churn across fundamental customer characteristics such as age group, partnership status, and dependency status.</w:t>
      </w:r>
    </w:p>
    <w:p w14:paraId="6367204A"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lastRenderedPageBreak/>
        <w:t>Visual Descriptions and Interpretations:</w:t>
      </w:r>
    </w:p>
    <w:p w14:paraId="064EA4E2" w14:textId="23FCC6EB" w:rsidR="00D85BF6" w:rsidRPr="00D85BF6" w:rsidRDefault="00D85BF6" w:rsidP="00D85BF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Pie Chart – Gender vs Churn:</w:t>
      </w:r>
      <w:r w:rsidRPr="00D85BF6">
        <w:rPr>
          <w:rFonts w:ascii="Times New Roman" w:eastAsia="Times New Roman" w:hAnsi="Times New Roman" w:cs="Times New Roman"/>
          <w:kern w:val="0"/>
          <w14:ligatures w14:val="none"/>
        </w:rPr>
        <w:t xml:space="preserve"> </w:t>
      </w:r>
      <w:r w:rsidR="00F951A1">
        <w:rPr>
          <w:rFonts w:ascii="Times New Roman" w:eastAsia="Times New Roman" w:hAnsi="Times New Roman" w:cs="Times New Roman"/>
          <w:kern w:val="0"/>
          <w14:ligatures w14:val="none"/>
        </w:rPr>
        <w:t>This s</w:t>
      </w:r>
      <w:r w:rsidRPr="00D85BF6">
        <w:rPr>
          <w:rFonts w:ascii="Times New Roman" w:eastAsia="Times New Roman" w:hAnsi="Times New Roman" w:cs="Times New Roman"/>
          <w:kern w:val="0"/>
          <w14:ligatures w14:val="none"/>
        </w:rPr>
        <w:t>hows that churn is evenly distributed between male and female customers. Gender is not a strong churn predictor on its own.</w:t>
      </w:r>
    </w:p>
    <w:p w14:paraId="12181818" w14:textId="77777777" w:rsidR="00D85BF6" w:rsidRPr="00D85BF6" w:rsidRDefault="00D85BF6" w:rsidP="00D85BF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Dependent Status:</w:t>
      </w:r>
      <w:r w:rsidRPr="00D85BF6">
        <w:rPr>
          <w:rFonts w:ascii="Times New Roman" w:eastAsia="Times New Roman" w:hAnsi="Times New Roman" w:cs="Times New Roman"/>
          <w:kern w:val="0"/>
          <w14:ligatures w14:val="none"/>
        </w:rPr>
        <w:t xml:space="preserve"> Highlights that customers without dependents churn more frequently. Dependents may imply a stronger tie to the service for household stability.</w:t>
      </w:r>
    </w:p>
    <w:p w14:paraId="416107B7" w14:textId="77777777" w:rsidR="00D85BF6" w:rsidRPr="00D85BF6" w:rsidRDefault="00D85BF6" w:rsidP="00D85BF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Partner Status:</w:t>
      </w:r>
      <w:r w:rsidRPr="00D85BF6">
        <w:rPr>
          <w:rFonts w:ascii="Times New Roman" w:eastAsia="Times New Roman" w:hAnsi="Times New Roman" w:cs="Times New Roman"/>
          <w:kern w:val="0"/>
          <w14:ligatures w14:val="none"/>
        </w:rPr>
        <w:t xml:space="preserve"> Indicates that unpartnered individuals have a higher churn probability, possibly due to lower service dependency or loyalty.</w:t>
      </w:r>
    </w:p>
    <w:p w14:paraId="4271DDC2" w14:textId="77777777" w:rsidR="00D85BF6" w:rsidRPr="00D85BF6" w:rsidRDefault="00D85BF6" w:rsidP="00D85BF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Senior Citizen Status:</w:t>
      </w:r>
      <w:r w:rsidRPr="00D85BF6">
        <w:rPr>
          <w:rFonts w:ascii="Times New Roman" w:eastAsia="Times New Roman" w:hAnsi="Times New Roman" w:cs="Times New Roman"/>
          <w:kern w:val="0"/>
          <w14:ligatures w14:val="none"/>
        </w:rPr>
        <w:t xml:space="preserve"> Reveals that senior citizens experience higher churn, potentially due to usability concerns or changing service needs.</w:t>
      </w:r>
    </w:p>
    <w:p w14:paraId="255532FF"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50921A1B" w14:textId="77777777" w:rsidR="00D85BF6" w:rsidRPr="00D85BF6" w:rsidRDefault="00D85BF6" w:rsidP="00D85BF6">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The presence of dependents or a partner appears to contribute positively to customer retention.</w:t>
      </w:r>
    </w:p>
    <w:p w14:paraId="100063DD" w14:textId="77777777" w:rsidR="00D85BF6" w:rsidRPr="00D85BF6" w:rsidRDefault="00D85BF6" w:rsidP="00D85BF6">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Senior citizens may require additional onboarding or simplified services.</w:t>
      </w:r>
    </w:p>
    <w:p w14:paraId="7A03D7E5"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Actionable Recommendations:</w:t>
      </w:r>
    </w:p>
    <w:p w14:paraId="007E5864" w14:textId="77777777" w:rsidR="00D85BF6" w:rsidRPr="00D85BF6" w:rsidRDefault="00D85BF6" w:rsidP="00D85BF6">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Enhance onboarding and support for elderly users, possibly through tailored assistance or simplified plans.</w:t>
      </w:r>
    </w:p>
    <w:p w14:paraId="0A11B2E6" w14:textId="77777777" w:rsidR="00D85BF6" w:rsidRPr="00D85BF6" w:rsidRDefault="00D85BF6" w:rsidP="00D85BF6">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Create emotional and community-focused marketing campaigns for unpartnered customers.</w:t>
      </w:r>
    </w:p>
    <w:p w14:paraId="6408C85E" w14:textId="77777777" w:rsidR="00D85BF6" w:rsidRPr="00D85BF6" w:rsidRDefault="00D85BF6" w:rsidP="00D85BF6">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Consider family bundle discounts to strengthen engagement among customers with dependents.</w:t>
      </w:r>
    </w:p>
    <w:p w14:paraId="3FFBA6F0" w14:textId="51C7D667" w:rsidR="00D85BF6" w:rsidRPr="00D85BF6" w:rsidRDefault="007873AB" w:rsidP="00D85BF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A78FBDD" wp14:editId="05B45050">
            <wp:extent cx="5943600" cy="1589405"/>
            <wp:effectExtent l="0" t="0" r="0" b="0"/>
            <wp:docPr id="556253552" name="Picture 1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3552" name="Picture 11" descr="A graph of different types of data&#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14:paraId="34400CD2"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6.3 Service Usage</w:t>
      </w:r>
    </w:p>
    <w:p w14:paraId="1838A0A5"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4F7790F0" w14:textId="77777777" w:rsid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To assess churn behavior across different service configurations, including contract type, internet access, phone service, and support-related features.</w:t>
      </w:r>
    </w:p>
    <w:p w14:paraId="331C0150" w14:textId="77777777" w:rsidR="00F951A1" w:rsidRPr="00D85BF6" w:rsidRDefault="00F951A1" w:rsidP="00D85BF6">
      <w:pPr>
        <w:spacing w:before="100" w:beforeAutospacing="1" w:after="100" w:afterAutospacing="1" w:line="240" w:lineRule="auto"/>
        <w:rPr>
          <w:rFonts w:ascii="Times New Roman" w:eastAsia="Times New Roman" w:hAnsi="Times New Roman" w:cs="Times New Roman"/>
          <w:kern w:val="0"/>
          <w14:ligatures w14:val="none"/>
        </w:rPr>
      </w:pPr>
    </w:p>
    <w:p w14:paraId="39002D77"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lastRenderedPageBreak/>
        <w:t>Visual Descriptions and Interpretations:</w:t>
      </w:r>
    </w:p>
    <w:p w14:paraId="56DD05BF" w14:textId="77777777" w:rsidR="00D85BF6" w:rsidRPr="00D85BF6" w:rsidRDefault="00D85BF6" w:rsidP="00D85BF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Contract Type:</w:t>
      </w:r>
      <w:r w:rsidRPr="00D85BF6">
        <w:rPr>
          <w:rFonts w:ascii="Times New Roman" w:eastAsia="Times New Roman" w:hAnsi="Times New Roman" w:cs="Times New Roman"/>
          <w:kern w:val="0"/>
          <w14:ligatures w14:val="none"/>
        </w:rPr>
        <w:t xml:space="preserve"> Reinforces earlier findings that customers with short-term contracts churn at higher rates.</w:t>
      </w:r>
    </w:p>
    <w:p w14:paraId="78325038" w14:textId="6411767E" w:rsidR="00D85BF6" w:rsidRPr="00D85BF6" w:rsidRDefault="00D85BF6" w:rsidP="00D85BF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Internet Service Type:</w:t>
      </w:r>
      <w:r w:rsidRPr="00D85BF6">
        <w:rPr>
          <w:rFonts w:ascii="Times New Roman" w:eastAsia="Times New Roman" w:hAnsi="Times New Roman" w:cs="Times New Roman"/>
          <w:kern w:val="0"/>
          <w14:ligatures w14:val="none"/>
        </w:rPr>
        <w:t xml:space="preserve"> Indicates that those with </w:t>
      </w:r>
      <w:proofErr w:type="spellStart"/>
      <w:r w:rsidRPr="00D85BF6">
        <w:rPr>
          <w:rFonts w:ascii="Times New Roman" w:eastAsia="Times New Roman" w:hAnsi="Times New Roman" w:cs="Times New Roman"/>
          <w:kern w:val="0"/>
          <w14:ligatures w14:val="none"/>
        </w:rPr>
        <w:t>fib</w:t>
      </w:r>
      <w:r w:rsidR="00F951A1">
        <w:rPr>
          <w:rFonts w:ascii="Times New Roman" w:eastAsia="Times New Roman" w:hAnsi="Times New Roman" w:cs="Times New Roman"/>
          <w:kern w:val="0"/>
          <w14:ligatures w14:val="none"/>
        </w:rPr>
        <w:t>re</w:t>
      </w:r>
      <w:proofErr w:type="spellEnd"/>
      <w:r w:rsidRPr="00D85BF6">
        <w:rPr>
          <w:rFonts w:ascii="Times New Roman" w:eastAsia="Times New Roman" w:hAnsi="Times New Roman" w:cs="Times New Roman"/>
          <w:kern w:val="0"/>
          <w14:ligatures w14:val="none"/>
        </w:rPr>
        <w:t xml:space="preserve"> or DSL are more stable compared to customers with no internet service.</w:t>
      </w:r>
    </w:p>
    <w:p w14:paraId="3D3C5A66" w14:textId="77777777" w:rsidR="00D85BF6" w:rsidRPr="00D85BF6" w:rsidRDefault="00D85BF6" w:rsidP="00D85BF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by Phone Service:</w:t>
      </w:r>
      <w:r w:rsidRPr="00D85BF6">
        <w:rPr>
          <w:rFonts w:ascii="Times New Roman" w:eastAsia="Times New Roman" w:hAnsi="Times New Roman" w:cs="Times New Roman"/>
          <w:kern w:val="0"/>
          <w14:ligatures w14:val="none"/>
        </w:rPr>
        <w:t xml:space="preserve"> Suggests phone service alone is not sufficient to prevent churn.</w:t>
      </w:r>
    </w:p>
    <w:p w14:paraId="4F64BDD1" w14:textId="77777777" w:rsidR="00D85BF6" w:rsidRPr="00D85BF6" w:rsidRDefault="00D85BF6" w:rsidP="00D85BF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Matrix Table – Online Security and Tech Support:</w:t>
      </w:r>
      <w:r w:rsidRPr="00D85BF6">
        <w:rPr>
          <w:rFonts w:ascii="Times New Roman" w:eastAsia="Times New Roman" w:hAnsi="Times New Roman" w:cs="Times New Roman"/>
          <w:kern w:val="0"/>
          <w14:ligatures w14:val="none"/>
        </w:rPr>
        <w:t xml:space="preserve"> A combined grid view shows that customers lacking both online security and tech support face the highest churn, while those with both are the most stable.</w:t>
      </w:r>
    </w:p>
    <w:p w14:paraId="4FF8238A" w14:textId="77777777" w:rsidR="00854237" w:rsidRDefault="00854237" w:rsidP="00D85BF6">
      <w:pPr>
        <w:spacing w:before="100" w:beforeAutospacing="1" w:after="100" w:afterAutospacing="1" w:line="240" w:lineRule="auto"/>
        <w:rPr>
          <w:rFonts w:ascii="Times New Roman" w:eastAsia="Times New Roman" w:hAnsi="Times New Roman" w:cs="Times New Roman"/>
          <w:b/>
          <w:bCs/>
          <w:kern w:val="0"/>
          <w14:ligatures w14:val="none"/>
        </w:rPr>
      </w:pPr>
    </w:p>
    <w:p w14:paraId="66D2CEB2" w14:textId="471A1DDB"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40505F5A" w14:textId="77777777" w:rsidR="00D85BF6" w:rsidRPr="00D85BF6" w:rsidRDefault="00D85BF6" w:rsidP="00D85BF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Value-added services such as tech support and security are strongly correlated with retention.</w:t>
      </w:r>
    </w:p>
    <w:p w14:paraId="6666CD9E" w14:textId="77777777" w:rsidR="00D85BF6" w:rsidRPr="00D85BF6" w:rsidRDefault="00D85BF6" w:rsidP="00D85BF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Customers with no internet, no tech support, and no security features form a high-risk cluster.</w:t>
      </w:r>
    </w:p>
    <w:p w14:paraId="10EB2302"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Actionable Recommendations:</w:t>
      </w:r>
    </w:p>
    <w:p w14:paraId="27AAB9D4" w14:textId="77777777" w:rsidR="00D85BF6" w:rsidRPr="00D85BF6" w:rsidRDefault="00D85BF6" w:rsidP="00D85BF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Promote bundles including both online security and tech support to enhance retention.</w:t>
      </w:r>
    </w:p>
    <w:p w14:paraId="5BA7B309" w14:textId="77777777" w:rsidR="00D85BF6" w:rsidRPr="00D85BF6" w:rsidRDefault="00D85BF6" w:rsidP="00D85BF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Proactively identify and engage customers with minimal service configurations.</w:t>
      </w:r>
    </w:p>
    <w:p w14:paraId="4B8C42E0" w14:textId="77777777" w:rsidR="00D85BF6" w:rsidRPr="00D85BF6" w:rsidRDefault="00D85BF6" w:rsidP="00D85BF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Redesign plan offerings to incorporate essential support services by default.</w:t>
      </w:r>
    </w:p>
    <w:p w14:paraId="5EEE66B6" w14:textId="005AA7A5" w:rsidR="00D85BF6" w:rsidRDefault="007873AB" w:rsidP="00D85BF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0DE11F9" wp14:editId="0084E791">
            <wp:extent cx="5943600" cy="2818765"/>
            <wp:effectExtent l="0" t="0" r="0" b="635"/>
            <wp:docPr id="1330855475"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475" name="Picture 12" descr="A screen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30291531" w14:textId="77777777" w:rsidR="00F951A1" w:rsidRPr="00D85BF6" w:rsidRDefault="00F951A1" w:rsidP="00D85BF6">
      <w:pPr>
        <w:spacing w:before="100" w:beforeAutospacing="1" w:after="100" w:afterAutospacing="1" w:line="240" w:lineRule="auto"/>
        <w:rPr>
          <w:rFonts w:ascii="Times New Roman" w:eastAsia="Times New Roman" w:hAnsi="Times New Roman" w:cs="Times New Roman"/>
          <w:kern w:val="0"/>
          <w14:ligatures w14:val="none"/>
        </w:rPr>
      </w:pPr>
    </w:p>
    <w:p w14:paraId="7AE73E10"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lastRenderedPageBreak/>
        <w:t>6.4 Tenure &amp; Billing Analysis</w:t>
      </w:r>
    </w:p>
    <w:p w14:paraId="1444E5E0"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323371CE"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To investigate the relationship between customer tenure, total lifetime charges, monthly charges, and their respective churn probabilities.</w:t>
      </w:r>
    </w:p>
    <w:p w14:paraId="7AA1C4D9"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Visual Descriptions and Interpretations:</w:t>
      </w:r>
    </w:p>
    <w:p w14:paraId="2B09B0F2" w14:textId="77777777" w:rsidR="00D85BF6" w:rsidRPr="00D85BF6" w:rsidRDefault="00D85BF6" w:rsidP="00D85BF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Line Chart – Churn by Tenure:</w:t>
      </w:r>
      <w:r w:rsidRPr="00D85BF6">
        <w:rPr>
          <w:rFonts w:ascii="Times New Roman" w:eastAsia="Times New Roman" w:hAnsi="Times New Roman" w:cs="Times New Roman"/>
          <w:kern w:val="0"/>
          <w14:ligatures w14:val="none"/>
        </w:rPr>
        <w:t xml:space="preserve"> Clearly shows churn peaks within the first six months of service, indicating a critical period for customer experience.</w:t>
      </w:r>
    </w:p>
    <w:p w14:paraId="2DD5EDFC" w14:textId="77777777" w:rsidR="00D85BF6" w:rsidRPr="00D85BF6" w:rsidRDefault="00D85BF6" w:rsidP="00D85BF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Histogram – Churn by Total Charges:</w:t>
      </w:r>
      <w:r w:rsidRPr="00D85BF6">
        <w:rPr>
          <w:rFonts w:ascii="Times New Roman" w:eastAsia="Times New Roman" w:hAnsi="Times New Roman" w:cs="Times New Roman"/>
          <w:kern w:val="0"/>
          <w14:ligatures w14:val="none"/>
        </w:rPr>
        <w:t xml:space="preserve"> Demonstrates that low spenders churn more frequently, suggesting low perceived value or weak brand loyalty.</w:t>
      </w:r>
    </w:p>
    <w:p w14:paraId="0317ADA0" w14:textId="77777777" w:rsidR="00D85BF6" w:rsidRPr="00D85BF6" w:rsidRDefault="00D85BF6" w:rsidP="00D85BF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Histogram – Churn by Monthly Charges:</w:t>
      </w:r>
      <w:r w:rsidRPr="00D85BF6">
        <w:rPr>
          <w:rFonts w:ascii="Times New Roman" w:eastAsia="Times New Roman" w:hAnsi="Times New Roman" w:cs="Times New Roman"/>
          <w:kern w:val="0"/>
          <w14:ligatures w14:val="none"/>
        </w:rPr>
        <w:t xml:space="preserve"> Highlights that churn is highest in the $60–$90 monthly billing range, which may reflect service expectation mismatches.</w:t>
      </w:r>
    </w:p>
    <w:p w14:paraId="3E6C74C5" w14:textId="7F3A871F" w:rsidR="00D85BF6" w:rsidRPr="00D85BF6" w:rsidRDefault="00D85BF6" w:rsidP="00D85BF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Scatter Plot – Tenure vs Total Charges:</w:t>
      </w:r>
      <w:r w:rsidRPr="00D85BF6">
        <w:rPr>
          <w:rFonts w:ascii="Times New Roman" w:eastAsia="Times New Roman" w:hAnsi="Times New Roman" w:cs="Times New Roman"/>
          <w:kern w:val="0"/>
          <w14:ligatures w14:val="none"/>
        </w:rPr>
        <w:t xml:space="preserve"> Reveals </w:t>
      </w:r>
      <w:r w:rsidR="00F951A1" w:rsidRPr="00D85BF6">
        <w:rPr>
          <w:rFonts w:ascii="Times New Roman" w:eastAsia="Times New Roman" w:hAnsi="Times New Roman" w:cs="Times New Roman"/>
          <w:kern w:val="0"/>
          <w14:ligatures w14:val="none"/>
        </w:rPr>
        <w:t>those customers</w:t>
      </w:r>
      <w:r w:rsidRPr="00D85BF6">
        <w:rPr>
          <w:rFonts w:ascii="Times New Roman" w:eastAsia="Times New Roman" w:hAnsi="Times New Roman" w:cs="Times New Roman"/>
          <w:kern w:val="0"/>
          <w14:ligatures w14:val="none"/>
        </w:rPr>
        <w:t xml:space="preserve"> with longer tenure and higher spending show much lower churn rates, underlining loyalty-building opportunities.</w:t>
      </w:r>
    </w:p>
    <w:p w14:paraId="61C87266"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61D992D0" w14:textId="77777777" w:rsidR="00D85BF6" w:rsidRPr="00D85BF6" w:rsidRDefault="00D85BF6" w:rsidP="00D85BF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The customer lifecycle's early stage is the most vulnerable to churn.</w:t>
      </w:r>
    </w:p>
    <w:p w14:paraId="72E214A5" w14:textId="77777777" w:rsidR="00D85BF6" w:rsidRPr="00D85BF6" w:rsidRDefault="00D85BF6" w:rsidP="00D85BF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Mid-priced customers exhibit disproportionately high churn, possibly due to dissatisfaction with value for money.</w:t>
      </w:r>
    </w:p>
    <w:p w14:paraId="663EEB09"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Actionable Recommendations:</w:t>
      </w:r>
    </w:p>
    <w:p w14:paraId="16CBA418" w14:textId="77777777" w:rsidR="00D85BF6" w:rsidRPr="00D85BF6" w:rsidRDefault="00D85BF6" w:rsidP="00D85BF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Invest heavily in customer experience within the first 90 days.</w:t>
      </w:r>
    </w:p>
    <w:p w14:paraId="1D62EECF" w14:textId="77777777" w:rsidR="00D85BF6" w:rsidRPr="00D85BF6" w:rsidRDefault="00D85BF6" w:rsidP="00D85BF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Deploy surveys and support triggers for customers in the $60–$90 charge range.</w:t>
      </w:r>
    </w:p>
    <w:p w14:paraId="26EC26D0" w14:textId="2C790A68" w:rsidR="00D85BF6" w:rsidRDefault="00D85BF6" w:rsidP="00D85BF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Reward high-value, long-tenure customers with loyalty programs or exclusive perks.</w:t>
      </w:r>
    </w:p>
    <w:p w14:paraId="539F49D5" w14:textId="4BED567B" w:rsidR="007873AB" w:rsidRPr="00D85BF6" w:rsidRDefault="007873AB" w:rsidP="007873A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B1B9641" wp14:editId="0DDD5EA7">
            <wp:extent cx="5943600" cy="4512945"/>
            <wp:effectExtent l="0" t="0" r="0" b="0"/>
            <wp:docPr id="913028098" name="Picture 13"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28098" name="Picture 13" descr="A graph of blu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14:paraId="4C99C41E"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6.5 Segmentation by Features</w:t>
      </w:r>
    </w:p>
    <w:p w14:paraId="42058279"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686B320C"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To dissect customer behavior by individual and combined service features and to identify underperforming or protective plan configurations.</w:t>
      </w:r>
    </w:p>
    <w:p w14:paraId="736BEB3F"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Visual Descriptions and Interpretations:</w:t>
      </w:r>
    </w:p>
    <w:p w14:paraId="0E2CB784" w14:textId="77777777" w:rsidR="00D85BF6" w:rsidRPr="00D85BF6" w:rsidRDefault="00D85BF6" w:rsidP="00D85BF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Charts – Churn by Feature (Online Security, Tech Support, Streaming TV, Multiple Lines):</w:t>
      </w:r>
      <w:r w:rsidRPr="00D85BF6">
        <w:rPr>
          <w:rFonts w:ascii="Times New Roman" w:eastAsia="Times New Roman" w:hAnsi="Times New Roman" w:cs="Times New Roman"/>
          <w:kern w:val="0"/>
          <w14:ligatures w14:val="none"/>
        </w:rPr>
        <w:t xml:space="preserve"> Show which features have retention value. Security and support are strongly protective; entertainment services are less impactful.</w:t>
      </w:r>
    </w:p>
    <w:p w14:paraId="6488FE85" w14:textId="7785F96E" w:rsidR="00D85BF6" w:rsidRPr="00D85BF6" w:rsidRDefault="00D85BF6" w:rsidP="00D85BF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Matrix Table – Online Security + Tech Support:</w:t>
      </w:r>
      <w:r w:rsidRPr="00D85BF6">
        <w:rPr>
          <w:rFonts w:ascii="Times New Roman" w:eastAsia="Times New Roman" w:hAnsi="Times New Roman" w:cs="Times New Roman"/>
          <w:kern w:val="0"/>
          <w14:ligatures w14:val="none"/>
        </w:rPr>
        <w:t xml:space="preserve"> </w:t>
      </w:r>
      <w:r w:rsidR="00F951A1">
        <w:rPr>
          <w:rFonts w:ascii="Times New Roman" w:eastAsia="Times New Roman" w:hAnsi="Times New Roman" w:cs="Times New Roman"/>
          <w:kern w:val="0"/>
          <w14:ligatures w14:val="none"/>
        </w:rPr>
        <w:t>I</w:t>
      </w:r>
      <w:r w:rsidRPr="00D85BF6">
        <w:rPr>
          <w:rFonts w:ascii="Times New Roman" w:eastAsia="Times New Roman" w:hAnsi="Times New Roman" w:cs="Times New Roman"/>
          <w:kern w:val="0"/>
          <w14:ligatures w14:val="none"/>
        </w:rPr>
        <w:t xml:space="preserve">dentifies customer combinations with </w:t>
      </w:r>
      <w:r w:rsidR="00F951A1">
        <w:rPr>
          <w:rFonts w:ascii="Times New Roman" w:eastAsia="Times New Roman" w:hAnsi="Times New Roman" w:cs="Times New Roman"/>
          <w:kern w:val="0"/>
          <w14:ligatures w14:val="none"/>
        </w:rPr>
        <w:t xml:space="preserve">the </w:t>
      </w:r>
      <w:r w:rsidRPr="00D85BF6">
        <w:rPr>
          <w:rFonts w:ascii="Times New Roman" w:eastAsia="Times New Roman" w:hAnsi="Times New Roman" w:cs="Times New Roman"/>
          <w:kern w:val="0"/>
          <w14:ligatures w14:val="none"/>
        </w:rPr>
        <w:t>highest churn</w:t>
      </w:r>
      <w:r w:rsidR="00F951A1">
        <w:rPr>
          <w:rFonts w:ascii="Times New Roman" w:eastAsia="Times New Roman" w:hAnsi="Times New Roman" w:cs="Times New Roman"/>
          <w:kern w:val="0"/>
          <w14:ligatures w14:val="none"/>
        </w:rPr>
        <w:t xml:space="preserve"> - </w:t>
      </w:r>
      <w:r w:rsidRPr="00D85BF6">
        <w:rPr>
          <w:rFonts w:ascii="Times New Roman" w:eastAsia="Times New Roman" w:hAnsi="Times New Roman" w:cs="Times New Roman"/>
          <w:kern w:val="0"/>
          <w14:ligatures w14:val="none"/>
        </w:rPr>
        <w:t>especially those with neither feature.</w:t>
      </w:r>
    </w:p>
    <w:p w14:paraId="76991DAA"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6B13EB6E" w14:textId="77777777" w:rsidR="00D85BF6" w:rsidRPr="00D85BF6" w:rsidRDefault="00D85BF6" w:rsidP="00D85BF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Entertainment-based features like streaming have little impact on churn.</w:t>
      </w:r>
    </w:p>
    <w:p w14:paraId="763BD1B8" w14:textId="77777777" w:rsidR="00D85BF6" w:rsidRPr="00D85BF6" w:rsidRDefault="00D85BF6" w:rsidP="00D85BF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Customers without both tech support and security are the highest churn risks.</w:t>
      </w:r>
    </w:p>
    <w:p w14:paraId="6FE97C4C"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lastRenderedPageBreak/>
        <w:t>Actionable Recommendations:</w:t>
      </w:r>
    </w:p>
    <w:p w14:paraId="6B526492" w14:textId="77777777" w:rsidR="00D85BF6" w:rsidRPr="00D85BF6" w:rsidRDefault="00D85BF6" w:rsidP="00D85BF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Deprioritize marketing emphasis on low-retention-impact features like streaming.</w:t>
      </w:r>
    </w:p>
    <w:p w14:paraId="52E923B5" w14:textId="77777777" w:rsidR="00D85BF6" w:rsidRPr="00D85BF6" w:rsidRDefault="00D85BF6" w:rsidP="00D85BF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Automatically bundle high-retention-impact features (tech support + security) into all service tiers.</w:t>
      </w:r>
    </w:p>
    <w:p w14:paraId="550BBB88" w14:textId="77777777" w:rsidR="00D85BF6" w:rsidRPr="00D85BF6" w:rsidRDefault="00D85BF6" w:rsidP="00D85BF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Monitor and re-engage users missing key service configurations.</w:t>
      </w:r>
    </w:p>
    <w:p w14:paraId="5AF2D041" w14:textId="6654CCE6"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6.6 Churn Risk Summary (Model Output)</w:t>
      </w:r>
    </w:p>
    <w:p w14:paraId="302C2C2D"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Purpose:</w:t>
      </w:r>
    </w:p>
    <w:p w14:paraId="29A776AB"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To translate machine learning model outputs into business-ready insights using churn probability scores and SHAP explanations.</w:t>
      </w:r>
    </w:p>
    <w:p w14:paraId="18803A11"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Visual Descriptions and Interpretations:</w:t>
      </w:r>
    </w:p>
    <w:p w14:paraId="0A405DA5"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Card – Total Customers:</w:t>
      </w:r>
      <w:r w:rsidRPr="00D85BF6">
        <w:rPr>
          <w:rFonts w:ascii="Times New Roman" w:eastAsia="Times New Roman" w:hAnsi="Times New Roman" w:cs="Times New Roman"/>
          <w:kern w:val="0"/>
          <w14:ligatures w14:val="none"/>
        </w:rPr>
        <w:t xml:space="preserve"> Number of customers processed by the model for churn prediction.</w:t>
      </w:r>
    </w:p>
    <w:p w14:paraId="625530A5"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Card – Predicted Churn Rate:</w:t>
      </w:r>
      <w:r w:rsidRPr="00D85BF6">
        <w:rPr>
          <w:rFonts w:ascii="Times New Roman" w:eastAsia="Times New Roman" w:hAnsi="Times New Roman" w:cs="Times New Roman"/>
          <w:kern w:val="0"/>
          <w14:ligatures w14:val="none"/>
        </w:rPr>
        <w:t xml:space="preserve"> Reflects the average predicted churn probability, helping gauge future risk.</w:t>
      </w:r>
    </w:p>
    <w:p w14:paraId="7938227F"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Card – Revenue at Risk:</w:t>
      </w:r>
      <w:r w:rsidRPr="00D85BF6">
        <w:rPr>
          <w:rFonts w:ascii="Times New Roman" w:eastAsia="Times New Roman" w:hAnsi="Times New Roman" w:cs="Times New Roman"/>
          <w:kern w:val="0"/>
          <w14:ligatures w14:val="none"/>
        </w:rPr>
        <w:t xml:space="preserve"> Quantifies how much revenue is at stake if high-probability churners </w:t>
      </w:r>
      <w:proofErr w:type="gramStart"/>
      <w:r w:rsidRPr="00D85BF6">
        <w:rPr>
          <w:rFonts w:ascii="Times New Roman" w:eastAsia="Times New Roman" w:hAnsi="Times New Roman" w:cs="Times New Roman"/>
          <w:kern w:val="0"/>
          <w14:ligatures w14:val="none"/>
        </w:rPr>
        <w:t>actually churn</w:t>
      </w:r>
      <w:proofErr w:type="gramEnd"/>
      <w:r w:rsidRPr="00D85BF6">
        <w:rPr>
          <w:rFonts w:ascii="Times New Roman" w:eastAsia="Times New Roman" w:hAnsi="Times New Roman" w:cs="Times New Roman"/>
          <w:kern w:val="0"/>
          <w14:ligatures w14:val="none"/>
        </w:rPr>
        <w:t>.</w:t>
      </w:r>
    </w:p>
    <w:p w14:paraId="79906C4D"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Bar Chart – Churn Rate by Tenure Group:</w:t>
      </w:r>
      <w:r w:rsidRPr="00D85BF6">
        <w:rPr>
          <w:rFonts w:ascii="Times New Roman" w:eastAsia="Times New Roman" w:hAnsi="Times New Roman" w:cs="Times New Roman"/>
          <w:kern w:val="0"/>
          <w14:ligatures w14:val="none"/>
        </w:rPr>
        <w:t xml:space="preserve"> Shows that customers with less than 6 months tenure are significantly more likely to churn.</w:t>
      </w:r>
    </w:p>
    <w:p w14:paraId="3497C414"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Scatter Plot – Monthly Charges vs Churn Probability:</w:t>
      </w:r>
      <w:r w:rsidRPr="00D85BF6">
        <w:rPr>
          <w:rFonts w:ascii="Times New Roman" w:eastAsia="Times New Roman" w:hAnsi="Times New Roman" w:cs="Times New Roman"/>
          <w:kern w:val="0"/>
          <w14:ligatures w14:val="none"/>
        </w:rPr>
        <w:t xml:space="preserve"> Reveals that high-churn-risk customers are not necessarily low spenders—many are high-value clients.</w:t>
      </w:r>
    </w:p>
    <w:p w14:paraId="3D4A01B7" w14:textId="77777777" w:rsidR="00D85BF6" w:rsidRPr="00D85BF6" w:rsidRDefault="00D85BF6" w:rsidP="00D85BF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b/>
          <w:bCs/>
          <w:kern w:val="0"/>
          <w14:ligatures w14:val="none"/>
        </w:rPr>
        <w:t>Table – Top Churn Risk Customers (with SHAP):</w:t>
      </w:r>
      <w:r w:rsidRPr="00D85BF6">
        <w:rPr>
          <w:rFonts w:ascii="Times New Roman" w:eastAsia="Times New Roman" w:hAnsi="Times New Roman" w:cs="Times New Roman"/>
          <w:kern w:val="0"/>
          <w14:ligatures w14:val="none"/>
        </w:rPr>
        <w:t xml:space="preserve"> Provides customer-level risk factors including individual churn probabilities and their specific model-based explanations (RISK_FACTORS).</w:t>
      </w:r>
    </w:p>
    <w:p w14:paraId="5B30AA23"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Insights:</w:t>
      </w:r>
    </w:p>
    <w:p w14:paraId="74FBE6B0" w14:textId="77777777" w:rsidR="00D85BF6" w:rsidRPr="00D85BF6" w:rsidRDefault="00D85BF6" w:rsidP="00D85BF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Early-stage customers (&lt;6 months) require the most urgent attention.</w:t>
      </w:r>
    </w:p>
    <w:p w14:paraId="7ECDF64E" w14:textId="77777777" w:rsidR="00D85BF6" w:rsidRPr="00D85BF6" w:rsidRDefault="00D85BF6" w:rsidP="00D85BF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High-value customers (monthly spend &gt; $80) are also vulnerable to churn.</w:t>
      </w:r>
    </w:p>
    <w:p w14:paraId="3E6EFEA7" w14:textId="77777777" w:rsidR="00D85BF6" w:rsidRPr="00D85BF6" w:rsidRDefault="00D85BF6" w:rsidP="00D85BF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SHAP explanations offer transparent, feature-level justification for every risk prediction.</w:t>
      </w:r>
    </w:p>
    <w:p w14:paraId="432C314C" w14:textId="77777777" w:rsidR="00D85BF6" w:rsidRPr="00D85BF6" w:rsidRDefault="00D85BF6" w:rsidP="00D85BF6">
      <w:pPr>
        <w:spacing w:before="100" w:beforeAutospacing="1" w:after="100" w:afterAutospacing="1" w:line="240" w:lineRule="auto"/>
        <w:rPr>
          <w:rFonts w:ascii="Times New Roman" w:eastAsia="Times New Roman" w:hAnsi="Times New Roman" w:cs="Times New Roman"/>
          <w:b/>
          <w:bCs/>
          <w:kern w:val="0"/>
          <w14:ligatures w14:val="none"/>
        </w:rPr>
      </w:pPr>
      <w:r w:rsidRPr="00D85BF6">
        <w:rPr>
          <w:rFonts w:ascii="Times New Roman" w:eastAsia="Times New Roman" w:hAnsi="Times New Roman" w:cs="Times New Roman"/>
          <w:b/>
          <w:bCs/>
          <w:kern w:val="0"/>
          <w14:ligatures w14:val="none"/>
        </w:rPr>
        <w:t>Actionable Recommendations:</w:t>
      </w:r>
    </w:p>
    <w:p w14:paraId="116C0847" w14:textId="77777777" w:rsidR="00D85BF6" w:rsidRPr="00D85BF6" w:rsidRDefault="00D85BF6" w:rsidP="00D85BF6">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Launch a rapid-response program for new users within their first 3 months.</w:t>
      </w:r>
    </w:p>
    <w:p w14:paraId="78865332" w14:textId="77777777" w:rsidR="00D85BF6" w:rsidRPr="00D85BF6" w:rsidRDefault="00D85BF6" w:rsidP="00D85BF6">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Identify and personally intervene with high-spend, high-risk users.</w:t>
      </w:r>
    </w:p>
    <w:p w14:paraId="238804EC" w14:textId="56E41E6C" w:rsidR="001932ED" w:rsidRDefault="00D85BF6" w:rsidP="00D85BF6">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85BF6">
        <w:rPr>
          <w:rFonts w:ascii="Times New Roman" w:eastAsia="Times New Roman" w:hAnsi="Times New Roman" w:cs="Times New Roman"/>
          <w:kern w:val="0"/>
          <w14:ligatures w14:val="none"/>
        </w:rPr>
        <w:t>Use SHAP-driven factors to personalize customer communications and CRM interventions.</w:t>
      </w:r>
    </w:p>
    <w:p w14:paraId="4D388F46" w14:textId="77777777" w:rsidR="007873AB" w:rsidRDefault="007873AB" w:rsidP="006A0D90">
      <w:pPr>
        <w:spacing w:before="100" w:beforeAutospacing="1" w:after="100" w:afterAutospacing="1" w:line="240" w:lineRule="auto"/>
        <w:ind w:left="360"/>
        <w:rPr>
          <w:rFonts w:ascii="Times New Roman" w:eastAsia="Times New Roman" w:hAnsi="Times New Roman" w:cs="Times New Roman"/>
          <w:kern w:val="0"/>
          <w14:ligatures w14:val="none"/>
        </w:rPr>
      </w:pPr>
    </w:p>
    <w:p w14:paraId="3F7EF5C1" w14:textId="77777777" w:rsidR="006A0D90" w:rsidRPr="007873AB" w:rsidRDefault="006A0D90" w:rsidP="006A0D90">
      <w:pPr>
        <w:spacing w:before="100" w:beforeAutospacing="1" w:after="100" w:afterAutospacing="1" w:line="240" w:lineRule="auto"/>
        <w:ind w:left="360"/>
        <w:rPr>
          <w:rFonts w:ascii="Times New Roman" w:eastAsia="Times New Roman" w:hAnsi="Times New Roman" w:cs="Times New Roman"/>
          <w:kern w:val="0"/>
          <w14:ligatures w14:val="none"/>
        </w:rPr>
      </w:pPr>
    </w:p>
    <w:p w14:paraId="49EEECEC"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lastRenderedPageBreak/>
        <w:t>7. Business Impact and Strategic Benefits</w:t>
      </w:r>
    </w:p>
    <w:p w14:paraId="6E03F55F"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The system generates measurable business value across several dimensions:</w:t>
      </w:r>
    </w:p>
    <w:p w14:paraId="28E91CF9" w14:textId="77777777" w:rsidR="008308D7" w:rsidRPr="008308D7" w:rsidRDefault="008308D7" w:rsidP="008308D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Proactive Customer Retention</w:t>
      </w:r>
      <w:r w:rsidRPr="008308D7">
        <w:rPr>
          <w:rFonts w:ascii="Times New Roman" w:eastAsia="Times New Roman" w:hAnsi="Times New Roman" w:cs="Times New Roman"/>
          <w:kern w:val="0"/>
          <w14:ligatures w14:val="none"/>
        </w:rPr>
        <w:t>: Teams can reach out to high-risk customers with tailored retention offers.</w:t>
      </w:r>
    </w:p>
    <w:p w14:paraId="12093FAC" w14:textId="77777777" w:rsidR="008308D7" w:rsidRPr="008308D7" w:rsidRDefault="008308D7" w:rsidP="008308D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Revenue Preservation</w:t>
      </w:r>
      <w:r w:rsidRPr="008308D7">
        <w:rPr>
          <w:rFonts w:ascii="Times New Roman" w:eastAsia="Times New Roman" w:hAnsi="Times New Roman" w:cs="Times New Roman"/>
          <w:kern w:val="0"/>
          <w14:ligatures w14:val="none"/>
        </w:rPr>
        <w:t>: Insights into revenue at risk support budgeting and marketing strategies.</w:t>
      </w:r>
    </w:p>
    <w:p w14:paraId="07DC5A57" w14:textId="77777777" w:rsidR="008308D7" w:rsidRPr="008308D7" w:rsidRDefault="008308D7" w:rsidP="008308D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Operational Efficiency</w:t>
      </w:r>
      <w:r w:rsidRPr="008308D7">
        <w:rPr>
          <w:rFonts w:ascii="Times New Roman" w:eastAsia="Times New Roman" w:hAnsi="Times New Roman" w:cs="Times New Roman"/>
          <w:kern w:val="0"/>
          <w14:ligatures w14:val="none"/>
        </w:rPr>
        <w:t>: Automation from ingestion to dashboard eliminates manual bottlenecks.</w:t>
      </w:r>
    </w:p>
    <w:p w14:paraId="2B827F91" w14:textId="77777777" w:rsidR="008308D7" w:rsidRPr="008308D7" w:rsidRDefault="008308D7" w:rsidP="008308D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Transparency</w:t>
      </w:r>
      <w:r w:rsidRPr="008308D7">
        <w:rPr>
          <w:rFonts w:ascii="Times New Roman" w:eastAsia="Times New Roman" w:hAnsi="Times New Roman" w:cs="Times New Roman"/>
          <w:kern w:val="0"/>
          <w14:ligatures w14:val="none"/>
        </w:rPr>
        <w:t>: SHAP explanations foster trust in AI predictions among non-technical stakeholders.</w:t>
      </w:r>
    </w:p>
    <w:p w14:paraId="4864ADD9"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In essence, this project transforms a reactive business problem (churn) into a proactive and measurable opportunity for intervention.</w:t>
      </w:r>
    </w:p>
    <w:p w14:paraId="7665BB9E" w14:textId="77777777" w:rsidR="008308D7" w:rsidRPr="008308D7" w:rsidRDefault="008308D7" w:rsidP="008308D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308D7">
        <w:rPr>
          <w:rFonts w:ascii="Times New Roman" w:eastAsia="Times New Roman" w:hAnsi="Times New Roman" w:cs="Times New Roman"/>
          <w:b/>
          <w:bCs/>
          <w:kern w:val="0"/>
          <w:sz w:val="36"/>
          <w:szCs w:val="36"/>
          <w14:ligatures w14:val="none"/>
        </w:rPr>
        <w:t>8. Future Work and Enhancements</w:t>
      </w:r>
    </w:p>
    <w:p w14:paraId="37DB8706" w14:textId="77777777" w:rsidR="008308D7" w:rsidRPr="008308D7" w:rsidRDefault="008308D7" w:rsidP="008308D7">
      <w:p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kern w:val="0"/>
          <w14:ligatures w14:val="none"/>
        </w:rPr>
        <w:t>To further improve this system, several enhancements are planned:</w:t>
      </w:r>
    </w:p>
    <w:p w14:paraId="7BD7B6EF" w14:textId="77777777" w:rsidR="008308D7" w:rsidRPr="008308D7" w:rsidRDefault="008308D7" w:rsidP="008308D7">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Real-Time Scoring in Snowflake</w:t>
      </w:r>
      <w:r w:rsidRPr="008308D7">
        <w:rPr>
          <w:rFonts w:ascii="Times New Roman" w:eastAsia="Times New Roman" w:hAnsi="Times New Roman" w:cs="Times New Roman"/>
          <w:kern w:val="0"/>
          <w14:ligatures w14:val="none"/>
        </w:rPr>
        <w:t>: Using Snowpark and user-defined functions (UDFs), predictions can happen in-database without exporting data.</w:t>
      </w:r>
    </w:p>
    <w:p w14:paraId="1D91F326" w14:textId="77777777" w:rsidR="008308D7" w:rsidRPr="008308D7" w:rsidRDefault="008308D7" w:rsidP="008308D7">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 xml:space="preserve">Direct Streaming via </w:t>
      </w:r>
      <w:proofErr w:type="spellStart"/>
      <w:r w:rsidRPr="008308D7">
        <w:rPr>
          <w:rFonts w:ascii="Times New Roman" w:eastAsia="Times New Roman" w:hAnsi="Times New Roman" w:cs="Times New Roman"/>
          <w:b/>
          <w:bCs/>
          <w:kern w:val="0"/>
          <w14:ligatures w14:val="none"/>
        </w:rPr>
        <w:t>Snowpipe</w:t>
      </w:r>
      <w:proofErr w:type="spellEnd"/>
      <w:r w:rsidRPr="008308D7">
        <w:rPr>
          <w:rFonts w:ascii="Times New Roman" w:eastAsia="Times New Roman" w:hAnsi="Times New Roman" w:cs="Times New Roman"/>
          <w:kern w:val="0"/>
          <w14:ligatures w14:val="none"/>
        </w:rPr>
        <w:t xml:space="preserve">: Kafka events can be pushed directly to Snowflake using </w:t>
      </w:r>
      <w:proofErr w:type="spellStart"/>
      <w:r w:rsidRPr="008308D7">
        <w:rPr>
          <w:rFonts w:ascii="Times New Roman" w:eastAsia="Times New Roman" w:hAnsi="Times New Roman" w:cs="Times New Roman"/>
          <w:kern w:val="0"/>
          <w14:ligatures w14:val="none"/>
        </w:rPr>
        <w:t>Snowpipe</w:t>
      </w:r>
      <w:proofErr w:type="spellEnd"/>
      <w:r w:rsidRPr="008308D7">
        <w:rPr>
          <w:rFonts w:ascii="Times New Roman" w:eastAsia="Times New Roman" w:hAnsi="Times New Roman" w:cs="Times New Roman"/>
          <w:kern w:val="0"/>
          <w14:ligatures w14:val="none"/>
        </w:rPr>
        <w:t xml:space="preserve"> for near real-time ingestion and zero-latency dashboards.</w:t>
      </w:r>
    </w:p>
    <w:p w14:paraId="0329CA1B" w14:textId="77777777" w:rsidR="008308D7" w:rsidRPr="008308D7" w:rsidRDefault="008308D7" w:rsidP="008308D7">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Feature Expansion</w:t>
      </w:r>
      <w:r w:rsidRPr="008308D7">
        <w:rPr>
          <w:rFonts w:ascii="Times New Roman" w:eastAsia="Times New Roman" w:hAnsi="Times New Roman" w:cs="Times New Roman"/>
          <w:kern w:val="0"/>
          <w14:ligatures w14:val="none"/>
        </w:rPr>
        <w:t>: Including clickstream, mobile app behavior, and customer satisfaction scores could enrich prediction accuracy.</w:t>
      </w:r>
    </w:p>
    <w:p w14:paraId="753B245A" w14:textId="77777777" w:rsidR="008308D7" w:rsidRPr="008308D7" w:rsidRDefault="008308D7" w:rsidP="008308D7">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308D7">
        <w:rPr>
          <w:rFonts w:ascii="Times New Roman" w:eastAsia="Times New Roman" w:hAnsi="Times New Roman" w:cs="Times New Roman"/>
          <w:b/>
          <w:bCs/>
          <w:kern w:val="0"/>
          <w14:ligatures w14:val="none"/>
        </w:rPr>
        <w:t>CRM Integration</w:t>
      </w:r>
      <w:r w:rsidRPr="008308D7">
        <w:rPr>
          <w:rFonts w:ascii="Times New Roman" w:eastAsia="Times New Roman" w:hAnsi="Times New Roman" w:cs="Times New Roman"/>
          <w:kern w:val="0"/>
          <w14:ligatures w14:val="none"/>
        </w:rPr>
        <w:t>: Automated alerts, ticket creation, or campaign triggers in Salesforce or HubSpot could close the loop from prediction to action.</w:t>
      </w:r>
    </w:p>
    <w:p w14:paraId="1220A71B" w14:textId="77777777" w:rsidR="00F951A1" w:rsidRPr="00F951A1" w:rsidRDefault="00F951A1" w:rsidP="00F951A1">
      <w:pPr>
        <w:spacing w:before="100" w:beforeAutospacing="1" w:after="100" w:afterAutospacing="1" w:line="240" w:lineRule="auto"/>
        <w:outlineLvl w:val="2"/>
        <w:rPr>
          <w:rFonts w:ascii="Times New Roman" w:eastAsia="Times New Roman" w:hAnsi="Times New Roman" w:cs="Times New Roman"/>
          <w:b/>
          <w:bCs/>
          <w:kern w:val="0"/>
          <w:sz w:val="36"/>
          <w:szCs w:val="36"/>
          <w14:ligatures w14:val="none"/>
        </w:rPr>
      </w:pPr>
      <w:r w:rsidRPr="00F951A1">
        <w:rPr>
          <w:rFonts w:ascii="Times New Roman" w:eastAsia="Times New Roman" w:hAnsi="Times New Roman" w:cs="Times New Roman"/>
          <w:b/>
          <w:bCs/>
          <w:kern w:val="0"/>
          <w:sz w:val="36"/>
          <w:szCs w:val="36"/>
          <w14:ligatures w14:val="none"/>
        </w:rPr>
        <w:t>9. Conclusion</w:t>
      </w:r>
    </w:p>
    <w:p w14:paraId="09B77A9F" w14:textId="2A817AED" w:rsidR="00F951A1" w:rsidRPr="00F951A1" w:rsidRDefault="00F951A1" w:rsidP="00F951A1">
      <w:pPr>
        <w:spacing w:before="100" w:beforeAutospacing="1" w:after="100" w:afterAutospacing="1" w:line="240" w:lineRule="auto"/>
        <w:rPr>
          <w:rFonts w:ascii="Times New Roman" w:eastAsia="Times New Roman" w:hAnsi="Times New Roman" w:cs="Times New Roman"/>
          <w:kern w:val="0"/>
          <w14:ligatures w14:val="none"/>
        </w:rPr>
      </w:pPr>
      <w:r w:rsidRPr="00F951A1">
        <w:rPr>
          <w:rFonts w:ascii="Times New Roman" w:eastAsia="Times New Roman" w:hAnsi="Times New Roman" w:cs="Times New Roman"/>
          <w:kern w:val="0"/>
          <w14:ligatures w14:val="none"/>
        </w:rPr>
        <w:t>This project demonstrates a fully integrated, real-time pipeline for customer churn prediction using modern data engineering and machine learning technologies. By leveraging Apache Kafka for high-throughput data ingestion, Snowflake for scalable data warehousing and processing, XGBoost with SHAP for predictive modeling and explainability, and Power BI for real-time business insights, the system addresses a critical business challenge in a proactive, automated, and interpretable manner.</w:t>
      </w:r>
    </w:p>
    <w:p w14:paraId="5EE7E7FF" w14:textId="77777777" w:rsidR="00F951A1" w:rsidRPr="00F951A1" w:rsidRDefault="00F951A1" w:rsidP="00F951A1">
      <w:pPr>
        <w:spacing w:before="100" w:beforeAutospacing="1" w:after="100" w:afterAutospacing="1" w:line="240" w:lineRule="auto"/>
        <w:rPr>
          <w:rFonts w:ascii="Times New Roman" w:eastAsia="Times New Roman" w:hAnsi="Times New Roman" w:cs="Times New Roman"/>
          <w:kern w:val="0"/>
          <w14:ligatures w14:val="none"/>
        </w:rPr>
      </w:pPr>
      <w:r w:rsidRPr="00F951A1">
        <w:rPr>
          <w:rFonts w:ascii="Times New Roman" w:eastAsia="Times New Roman" w:hAnsi="Times New Roman" w:cs="Times New Roman"/>
          <w:kern w:val="0"/>
          <w14:ligatures w14:val="none"/>
        </w:rPr>
        <w:t>The dashboard-driven visualization layer ensures that complex model outputs are accessible to non-technical stakeholders, empowering data-driven decision-making across organizational levels. Furthermore, the modular and scalable design of the architecture allows for seamless integration of future enhancements such as real-time scoring, broader feature sets, and CRM workflow automation.</w:t>
      </w:r>
    </w:p>
    <w:p w14:paraId="01BC115C" w14:textId="6F098275" w:rsidR="00F951A1" w:rsidRPr="00F951A1" w:rsidRDefault="00F951A1" w:rsidP="00F951A1">
      <w:pPr>
        <w:spacing w:before="100" w:beforeAutospacing="1" w:after="100" w:afterAutospacing="1" w:line="240" w:lineRule="auto"/>
        <w:rPr>
          <w:rFonts w:ascii="Times New Roman" w:eastAsia="Times New Roman" w:hAnsi="Times New Roman" w:cs="Times New Roman"/>
          <w:kern w:val="0"/>
          <w14:ligatures w14:val="none"/>
        </w:rPr>
      </w:pPr>
      <w:r w:rsidRPr="00F951A1">
        <w:rPr>
          <w:rFonts w:ascii="Times New Roman" w:eastAsia="Times New Roman" w:hAnsi="Times New Roman" w:cs="Times New Roman"/>
          <w:kern w:val="0"/>
          <w14:ligatures w14:val="none"/>
        </w:rPr>
        <w:lastRenderedPageBreak/>
        <w:t>In essence, this solution moves churn management from a reactive metric to a predictive, actionable, and strategic function</w:t>
      </w:r>
      <w:r w:rsidR="006A0D90">
        <w:rPr>
          <w:rFonts w:ascii="Times New Roman" w:eastAsia="Times New Roman" w:hAnsi="Times New Roman" w:cs="Times New Roman"/>
          <w:kern w:val="0"/>
          <w14:ligatures w14:val="none"/>
        </w:rPr>
        <w:t xml:space="preserve"> - </w:t>
      </w:r>
      <w:r w:rsidRPr="00F951A1">
        <w:rPr>
          <w:rFonts w:ascii="Times New Roman" w:eastAsia="Times New Roman" w:hAnsi="Times New Roman" w:cs="Times New Roman"/>
          <w:kern w:val="0"/>
          <w14:ligatures w14:val="none"/>
        </w:rPr>
        <w:t>preserving revenue, improving customer experience, and fostering long-term business resilience.</w:t>
      </w:r>
    </w:p>
    <w:p w14:paraId="548219CD" w14:textId="77777777" w:rsidR="00C562B2" w:rsidRPr="00C562B2" w:rsidRDefault="00C562B2" w:rsidP="00C562B2">
      <w:pPr>
        <w:spacing w:before="100" w:beforeAutospacing="1" w:after="100" w:afterAutospacing="1" w:line="240" w:lineRule="auto"/>
        <w:outlineLvl w:val="2"/>
        <w:rPr>
          <w:rFonts w:ascii="Times New Roman" w:eastAsia="Times New Roman" w:hAnsi="Times New Roman" w:cs="Times New Roman"/>
          <w:b/>
          <w:bCs/>
          <w:kern w:val="0"/>
          <w:sz w:val="36"/>
          <w:szCs w:val="36"/>
          <w14:ligatures w14:val="none"/>
        </w:rPr>
      </w:pPr>
      <w:r w:rsidRPr="00C562B2">
        <w:rPr>
          <w:rFonts w:ascii="Times New Roman" w:eastAsia="Times New Roman" w:hAnsi="Times New Roman" w:cs="Times New Roman"/>
          <w:b/>
          <w:bCs/>
          <w:kern w:val="0"/>
          <w:sz w:val="36"/>
          <w:szCs w:val="36"/>
          <w14:ligatures w14:val="none"/>
        </w:rPr>
        <w:t>10. References</w:t>
      </w:r>
    </w:p>
    <w:p w14:paraId="1E24BC72"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 xml:space="preserve">Apache Kafka Documentation – </w:t>
      </w:r>
      <w:hyperlink r:id="rId19" w:tgtFrame="_new" w:history="1">
        <w:r w:rsidRPr="00C562B2">
          <w:rPr>
            <w:rFonts w:ascii="Times New Roman" w:eastAsia="Times New Roman" w:hAnsi="Times New Roman" w:cs="Times New Roman"/>
            <w:color w:val="0000FF"/>
            <w:kern w:val="0"/>
            <w:u w:val="single"/>
            <w14:ligatures w14:val="none"/>
          </w:rPr>
          <w:t>https://kafka.apache.org/documentation/</w:t>
        </w:r>
      </w:hyperlink>
    </w:p>
    <w:p w14:paraId="025E1545"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Snowflake Documentation – https://docs.snowflake.com/</w:t>
      </w:r>
    </w:p>
    <w:p w14:paraId="6E629FDA"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 xml:space="preserve">XGBoost Documentation – </w:t>
      </w:r>
      <w:hyperlink r:id="rId20" w:tgtFrame="_new" w:history="1">
        <w:r w:rsidRPr="00C562B2">
          <w:rPr>
            <w:rFonts w:ascii="Times New Roman" w:eastAsia="Times New Roman" w:hAnsi="Times New Roman" w:cs="Times New Roman"/>
            <w:color w:val="0000FF"/>
            <w:kern w:val="0"/>
            <w:u w:val="single"/>
            <w14:ligatures w14:val="none"/>
          </w:rPr>
          <w:t>https://xgboost.readthedocs.io/</w:t>
        </w:r>
      </w:hyperlink>
    </w:p>
    <w:p w14:paraId="589B5958"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 xml:space="preserve">Lundberg, S. M., &amp; Lee, S.-I. (2017). A Unified Approach to Interpreting Model Predictions. </w:t>
      </w:r>
      <w:r w:rsidRPr="00C562B2">
        <w:rPr>
          <w:rFonts w:ascii="Times New Roman" w:eastAsia="Times New Roman" w:hAnsi="Times New Roman" w:cs="Times New Roman"/>
          <w:i/>
          <w:iCs/>
          <w:kern w:val="0"/>
          <w14:ligatures w14:val="none"/>
        </w:rPr>
        <w:t>Advances in Neural Information Processing Systems</w:t>
      </w:r>
      <w:r w:rsidRPr="00C562B2">
        <w:rPr>
          <w:rFonts w:ascii="Times New Roman" w:eastAsia="Times New Roman" w:hAnsi="Times New Roman" w:cs="Times New Roman"/>
          <w:kern w:val="0"/>
          <w14:ligatures w14:val="none"/>
        </w:rPr>
        <w:t>, 30, SHAP Library.</w:t>
      </w:r>
    </w:p>
    <w:p w14:paraId="5ABF6BFE"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 xml:space="preserve">Microsoft Power BI – </w:t>
      </w:r>
      <w:hyperlink r:id="rId21" w:tgtFrame="_new" w:history="1">
        <w:r w:rsidRPr="00C562B2">
          <w:rPr>
            <w:rFonts w:ascii="Times New Roman" w:eastAsia="Times New Roman" w:hAnsi="Times New Roman" w:cs="Times New Roman"/>
            <w:color w:val="0000FF"/>
            <w:kern w:val="0"/>
            <w:u w:val="single"/>
            <w14:ligatures w14:val="none"/>
          </w:rPr>
          <w:t>https://powerbi.microsoft.com/</w:t>
        </w:r>
      </w:hyperlink>
    </w:p>
    <w:p w14:paraId="7C9EE61B"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562B2">
        <w:rPr>
          <w:rFonts w:ascii="Times New Roman" w:eastAsia="Times New Roman" w:hAnsi="Times New Roman" w:cs="Times New Roman"/>
          <w:kern w:val="0"/>
          <w14:ligatures w14:val="none"/>
        </w:rPr>
        <w:t>Kaggle Telco Customer Churn Dataset – https://www.kaggle.com/blastchar/telco-customer-churn</w:t>
      </w:r>
    </w:p>
    <w:p w14:paraId="76EE9D28" w14:textId="77777777" w:rsidR="00C562B2" w:rsidRPr="00C562B2" w:rsidRDefault="00C562B2" w:rsidP="00C562B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562B2">
        <w:rPr>
          <w:rFonts w:ascii="Times New Roman" w:eastAsia="Times New Roman" w:hAnsi="Times New Roman" w:cs="Times New Roman"/>
          <w:kern w:val="0"/>
          <w14:ligatures w14:val="none"/>
        </w:rPr>
        <w:t>Snowpipe</w:t>
      </w:r>
      <w:proofErr w:type="spellEnd"/>
      <w:r w:rsidRPr="00C562B2">
        <w:rPr>
          <w:rFonts w:ascii="Times New Roman" w:eastAsia="Times New Roman" w:hAnsi="Times New Roman" w:cs="Times New Roman"/>
          <w:kern w:val="0"/>
          <w14:ligatures w14:val="none"/>
        </w:rPr>
        <w:t xml:space="preserve"> Streaming Documentation – https://docs.snowflake.com/en/user-guide/snowpipe-streaming.html</w:t>
      </w:r>
    </w:p>
    <w:p w14:paraId="5B3CE0F4" w14:textId="77777777" w:rsidR="00825395" w:rsidRPr="008308D7" w:rsidRDefault="00825395" w:rsidP="008308D7"/>
    <w:sectPr w:rsidR="00825395" w:rsidRPr="008308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4465A"/>
    <w:multiLevelType w:val="multilevel"/>
    <w:tmpl w:val="5EC0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D549A"/>
    <w:multiLevelType w:val="multilevel"/>
    <w:tmpl w:val="C9FE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46BBA"/>
    <w:multiLevelType w:val="multilevel"/>
    <w:tmpl w:val="13C8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22F9D"/>
    <w:multiLevelType w:val="multilevel"/>
    <w:tmpl w:val="8DEE6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B55CC"/>
    <w:multiLevelType w:val="multilevel"/>
    <w:tmpl w:val="8F7A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56085"/>
    <w:multiLevelType w:val="multilevel"/>
    <w:tmpl w:val="1F845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95E11"/>
    <w:multiLevelType w:val="multilevel"/>
    <w:tmpl w:val="0C9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74A25"/>
    <w:multiLevelType w:val="multilevel"/>
    <w:tmpl w:val="754A2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45FC6"/>
    <w:multiLevelType w:val="multilevel"/>
    <w:tmpl w:val="E23A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139F"/>
    <w:multiLevelType w:val="multilevel"/>
    <w:tmpl w:val="E3DE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7210F"/>
    <w:multiLevelType w:val="multilevel"/>
    <w:tmpl w:val="F904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1C38F6"/>
    <w:multiLevelType w:val="multilevel"/>
    <w:tmpl w:val="D5B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93827"/>
    <w:multiLevelType w:val="multilevel"/>
    <w:tmpl w:val="E94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D4100"/>
    <w:multiLevelType w:val="multilevel"/>
    <w:tmpl w:val="BEF6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76152"/>
    <w:multiLevelType w:val="multilevel"/>
    <w:tmpl w:val="87B2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E2F8B"/>
    <w:multiLevelType w:val="multilevel"/>
    <w:tmpl w:val="6AD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1238B7"/>
    <w:multiLevelType w:val="multilevel"/>
    <w:tmpl w:val="FE4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6757F8"/>
    <w:multiLevelType w:val="multilevel"/>
    <w:tmpl w:val="0EC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75106"/>
    <w:multiLevelType w:val="multilevel"/>
    <w:tmpl w:val="1BA6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08028B"/>
    <w:multiLevelType w:val="multilevel"/>
    <w:tmpl w:val="55C2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A807A6"/>
    <w:multiLevelType w:val="multilevel"/>
    <w:tmpl w:val="1CF6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F87112"/>
    <w:multiLevelType w:val="multilevel"/>
    <w:tmpl w:val="5B986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084A27"/>
    <w:multiLevelType w:val="multilevel"/>
    <w:tmpl w:val="014A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471B8E"/>
    <w:multiLevelType w:val="multilevel"/>
    <w:tmpl w:val="7914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1A50C3"/>
    <w:multiLevelType w:val="multilevel"/>
    <w:tmpl w:val="28E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9F4D76"/>
    <w:multiLevelType w:val="multilevel"/>
    <w:tmpl w:val="DAA2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E7DA2"/>
    <w:multiLevelType w:val="multilevel"/>
    <w:tmpl w:val="FE52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A14C3E"/>
    <w:multiLevelType w:val="multilevel"/>
    <w:tmpl w:val="7A22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34D14"/>
    <w:multiLevelType w:val="multilevel"/>
    <w:tmpl w:val="6C56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F3DFA"/>
    <w:multiLevelType w:val="multilevel"/>
    <w:tmpl w:val="BBDA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E61D26"/>
    <w:multiLevelType w:val="multilevel"/>
    <w:tmpl w:val="FBCC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EE5416"/>
    <w:multiLevelType w:val="multilevel"/>
    <w:tmpl w:val="15FE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E62D6"/>
    <w:multiLevelType w:val="multilevel"/>
    <w:tmpl w:val="E222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344052">
    <w:abstractNumId w:val="7"/>
  </w:num>
  <w:num w:numId="2" w16cid:durableId="1268271851">
    <w:abstractNumId w:val="14"/>
  </w:num>
  <w:num w:numId="3" w16cid:durableId="943151346">
    <w:abstractNumId w:val="17"/>
  </w:num>
  <w:num w:numId="4" w16cid:durableId="1063717698">
    <w:abstractNumId w:val="28"/>
  </w:num>
  <w:num w:numId="5" w16cid:durableId="2110200445">
    <w:abstractNumId w:val="5"/>
  </w:num>
  <w:num w:numId="6" w16cid:durableId="2114087044">
    <w:abstractNumId w:val="18"/>
  </w:num>
  <w:num w:numId="7" w16cid:durableId="839271759">
    <w:abstractNumId w:val="27"/>
  </w:num>
  <w:num w:numId="8" w16cid:durableId="84112294">
    <w:abstractNumId w:val="8"/>
  </w:num>
  <w:num w:numId="9" w16cid:durableId="525220126">
    <w:abstractNumId w:val="25"/>
  </w:num>
  <w:num w:numId="10" w16cid:durableId="558983621">
    <w:abstractNumId w:val="0"/>
  </w:num>
  <w:num w:numId="11" w16cid:durableId="736435224">
    <w:abstractNumId w:val="24"/>
  </w:num>
  <w:num w:numId="12" w16cid:durableId="670334707">
    <w:abstractNumId w:val="31"/>
  </w:num>
  <w:num w:numId="13" w16cid:durableId="27032324">
    <w:abstractNumId w:val="29"/>
  </w:num>
  <w:num w:numId="14" w16cid:durableId="912468943">
    <w:abstractNumId w:val="3"/>
  </w:num>
  <w:num w:numId="15" w16cid:durableId="415521368">
    <w:abstractNumId w:val="11"/>
  </w:num>
  <w:num w:numId="16" w16cid:durableId="158081148">
    <w:abstractNumId w:val="6"/>
  </w:num>
  <w:num w:numId="17" w16cid:durableId="1311253745">
    <w:abstractNumId w:val="22"/>
  </w:num>
  <w:num w:numId="18" w16cid:durableId="792986990">
    <w:abstractNumId w:val="23"/>
  </w:num>
  <w:num w:numId="19" w16cid:durableId="22830972">
    <w:abstractNumId w:val="1"/>
  </w:num>
  <w:num w:numId="20" w16cid:durableId="740174505">
    <w:abstractNumId w:val="26"/>
  </w:num>
  <w:num w:numId="21" w16cid:durableId="1243754738">
    <w:abstractNumId w:val="15"/>
  </w:num>
  <w:num w:numId="22" w16cid:durableId="1492402523">
    <w:abstractNumId w:val="32"/>
  </w:num>
  <w:num w:numId="23" w16cid:durableId="694228647">
    <w:abstractNumId w:val="30"/>
  </w:num>
  <w:num w:numId="24" w16cid:durableId="259795093">
    <w:abstractNumId w:val="10"/>
  </w:num>
  <w:num w:numId="25" w16cid:durableId="1067534382">
    <w:abstractNumId w:val="2"/>
  </w:num>
  <w:num w:numId="26" w16cid:durableId="1915967189">
    <w:abstractNumId w:val="16"/>
  </w:num>
  <w:num w:numId="27" w16cid:durableId="1020397763">
    <w:abstractNumId w:val="20"/>
  </w:num>
  <w:num w:numId="28" w16cid:durableId="1202400460">
    <w:abstractNumId w:val="12"/>
  </w:num>
  <w:num w:numId="29" w16cid:durableId="527833297">
    <w:abstractNumId w:val="13"/>
  </w:num>
  <w:num w:numId="30" w16cid:durableId="2100519754">
    <w:abstractNumId w:val="9"/>
  </w:num>
  <w:num w:numId="31" w16cid:durableId="1924296057">
    <w:abstractNumId w:val="21"/>
  </w:num>
  <w:num w:numId="32" w16cid:durableId="878207196">
    <w:abstractNumId w:val="4"/>
  </w:num>
  <w:num w:numId="33" w16cid:durableId="1833181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95"/>
    <w:rsid w:val="001932ED"/>
    <w:rsid w:val="00205310"/>
    <w:rsid w:val="0038584F"/>
    <w:rsid w:val="006A0D90"/>
    <w:rsid w:val="007873AB"/>
    <w:rsid w:val="00825395"/>
    <w:rsid w:val="008308D7"/>
    <w:rsid w:val="00854237"/>
    <w:rsid w:val="0097249A"/>
    <w:rsid w:val="00B02966"/>
    <w:rsid w:val="00B02DAF"/>
    <w:rsid w:val="00BB37E8"/>
    <w:rsid w:val="00C562B2"/>
    <w:rsid w:val="00D85BF6"/>
    <w:rsid w:val="00EB1797"/>
    <w:rsid w:val="00F95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D0A0"/>
  <w15:chartTrackingRefBased/>
  <w15:docId w15:val="{8260972A-FEE6-9A40-BAC6-5F4814FE7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3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53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53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3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3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3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3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3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3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3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53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53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3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3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3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3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3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395"/>
    <w:rPr>
      <w:rFonts w:eastAsiaTheme="majorEastAsia" w:cstheme="majorBidi"/>
      <w:color w:val="272727" w:themeColor="text1" w:themeTint="D8"/>
    </w:rPr>
  </w:style>
  <w:style w:type="paragraph" w:styleId="Title">
    <w:name w:val="Title"/>
    <w:basedOn w:val="Normal"/>
    <w:next w:val="Normal"/>
    <w:link w:val="TitleChar"/>
    <w:uiPriority w:val="10"/>
    <w:qFormat/>
    <w:rsid w:val="008253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3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3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3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395"/>
    <w:pPr>
      <w:spacing w:before="160"/>
      <w:jc w:val="center"/>
    </w:pPr>
    <w:rPr>
      <w:i/>
      <w:iCs/>
      <w:color w:val="404040" w:themeColor="text1" w:themeTint="BF"/>
    </w:rPr>
  </w:style>
  <w:style w:type="character" w:customStyle="1" w:styleId="QuoteChar">
    <w:name w:val="Quote Char"/>
    <w:basedOn w:val="DefaultParagraphFont"/>
    <w:link w:val="Quote"/>
    <w:uiPriority w:val="29"/>
    <w:rsid w:val="00825395"/>
    <w:rPr>
      <w:i/>
      <w:iCs/>
      <w:color w:val="404040" w:themeColor="text1" w:themeTint="BF"/>
    </w:rPr>
  </w:style>
  <w:style w:type="paragraph" w:styleId="ListParagraph">
    <w:name w:val="List Paragraph"/>
    <w:basedOn w:val="Normal"/>
    <w:uiPriority w:val="34"/>
    <w:qFormat/>
    <w:rsid w:val="00825395"/>
    <w:pPr>
      <w:ind w:left="720"/>
      <w:contextualSpacing/>
    </w:pPr>
  </w:style>
  <w:style w:type="character" w:styleId="IntenseEmphasis">
    <w:name w:val="Intense Emphasis"/>
    <w:basedOn w:val="DefaultParagraphFont"/>
    <w:uiPriority w:val="21"/>
    <w:qFormat/>
    <w:rsid w:val="00825395"/>
    <w:rPr>
      <w:i/>
      <w:iCs/>
      <w:color w:val="0F4761" w:themeColor="accent1" w:themeShade="BF"/>
    </w:rPr>
  </w:style>
  <w:style w:type="paragraph" w:styleId="IntenseQuote">
    <w:name w:val="Intense Quote"/>
    <w:basedOn w:val="Normal"/>
    <w:next w:val="Normal"/>
    <w:link w:val="IntenseQuoteChar"/>
    <w:uiPriority w:val="30"/>
    <w:qFormat/>
    <w:rsid w:val="008253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395"/>
    <w:rPr>
      <w:i/>
      <w:iCs/>
      <w:color w:val="0F4761" w:themeColor="accent1" w:themeShade="BF"/>
    </w:rPr>
  </w:style>
  <w:style w:type="character" w:styleId="IntenseReference">
    <w:name w:val="Intense Reference"/>
    <w:basedOn w:val="DefaultParagraphFont"/>
    <w:uiPriority w:val="32"/>
    <w:qFormat/>
    <w:rsid w:val="00825395"/>
    <w:rPr>
      <w:b/>
      <w:bCs/>
      <w:smallCaps/>
      <w:color w:val="0F4761" w:themeColor="accent1" w:themeShade="BF"/>
      <w:spacing w:val="5"/>
    </w:rPr>
  </w:style>
  <w:style w:type="paragraph" w:styleId="NormalWeb">
    <w:name w:val="Normal (Web)"/>
    <w:basedOn w:val="Normal"/>
    <w:uiPriority w:val="99"/>
    <w:semiHidden/>
    <w:unhideWhenUsed/>
    <w:rsid w:val="0082539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5395"/>
    <w:rPr>
      <w:b/>
      <w:bCs/>
    </w:rPr>
  </w:style>
  <w:style w:type="character" w:styleId="HTMLCode">
    <w:name w:val="HTML Code"/>
    <w:basedOn w:val="DefaultParagraphFont"/>
    <w:uiPriority w:val="99"/>
    <w:semiHidden/>
    <w:unhideWhenUsed/>
    <w:rsid w:val="0082539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562B2"/>
    <w:rPr>
      <w:color w:val="0000FF"/>
      <w:u w:val="single"/>
    </w:rPr>
  </w:style>
  <w:style w:type="character" w:styleId="Emphasis">
    <w:name w:val="Emphasis"/>
    <w:basedOn w:val="DefaultParagraphFont"/>
    <w:uiPriority w:val="20"/>
    <w:qFormat/>
    <w:rsid w:val="00C562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49299">
      <w:bodyDiv w:val="1"/>
      <w:marLeft w:val="0"/>
      <w:marRight w:val="0"/>
      <w:marTop w:val="0"/>
      <w:marBottom w:val="0"/>
      <w:divBdr>
        <w:top w:val="none" w:sz="0" w:space="0" w:color="auto"/>
        <w:left w:val="none" w:sz="0" w:space="0" w:color="auto"/>
        <w:bottom w:val="none" w:sz="0" w:space="0" w:color="auto"/>
        <w:right w:val="none" w:sz="0" w:space="0" w:color="auto"/>
      </w:divBdr>
    </w:div>
    <w:div w:id="255674293">
      <w:bodyDiv w:val="1"/>
      <w:marLeft w:val="0"/>
      <w:marRight w:val="0"/>
      <w:marTop w:val="0"/>
      <w:marBottom w:val="0"/>
      <w:divBdr>
        <w:top w:val="none" w:sz="0" w:space="0" w:color="auto"/>
        <w:left w:val="none" w:sz="0" w:space="0" w:color="auto"/>
        <w:bottom w:val="none" w:sz="0" w:space="0" w:color="auto"/>
        <w:right w:val="none" w:sz="0" w:space="0" w:color="auto"/>
      </w:divBdr>
    </w:div>
    <w:div w:id="549803723">
      <w:bodyDiv w:val="1"/>
      <w:marLeft w:val="0"/>
      <w:marRight w:val="0"/>
      <w:marTop w:val="0"/>
      <w:marBottom w:val="0"/>
      <w:divBdr>
        <w:top w:val="none" w:sz="0" w:space="0" w:color="auto"/>
        <w:left w:val="none" w:sz="0" w:space="0" w:color="auto"/>
        <w:bottom w:val="none" w:sz="0" w:space="0" w:color="auto"/>
        <w:right w:val="none" w:sz="0" w:space="0" w:color="auto"/>
      </w:divBdr>
    </w:div>
    <w:div w:id="772674097">
      <w:bodyDiv w:val="1"/>
      <w:marLeft w:val="0"/>
      <w:marRight w:val="0"/>
      <w:marTop w:val="0"/>
      <w:marBottom w:val="0"/>
      <w:divBdr>
        <w:top w:val="none" w:sz="0" w:space="0" w:color="auto"/>
        <w:left w:val="none" w:sz="0" w:space="0" w:color="auto"/>
        <w:bottom w:val="none" w:sz="0" w:space="0" w:color="auto"/>
        <w:right w:val="none" w:sz="0" w:space="0" w:color="auto"/>
      </w:divBdr>
    </w:div>
    <w:div w:id="1560096399">
      <w:bodyDiv w:val="1"/>
      <w:marLeft w:val="0"/>
      <w:marRight w:val="0"/>
      <w:marTop w:val="0"/>
      <w:marBottom w:val="0"/>
      <w:divBdr>
        <w:top w:val="none" w:sz="0" w:space="0" w:color="auto"/>
        <w:left w:val="none" w:sz="0" w:space="0" w:color="auto"/>
        <w:bottom w:val="none" w:sz="0" w:space="0" w:color="auto"/>
        <w:right w:val="none" w:sz="0" w:space="0" w:color="auto"/>
      </w:divBdr>
    </w:div>
    <w:div w:id="1647512386">
      <w:bodyDiv w:val="1"/>
      <w:marLeft w:val="0"/>
      <w:marRight w:val="0"/>
      <w:marTop w:val="0"/>
      <w:marBottom w:val="0"/>
      <w:divBdr>
        <w:top w:val="none" w:sz="0" w:space="0" w:color="auto"/>
        <w:left w:val="none" w:sz="0" w:space="0" w:color="auto"/>
        <w:bottom w:val="none" w:sz="0" w:space="0" w:color="auto"/>
        <w:right w:val="none" w:sz="0" w:space="0" w:color="auto"/>
      </w:divBdr>
    </w:div>
    <w:div w:id="1771048504">
      <w:bodyDiv w:val="1"/>
      <w:marLeft w:val="0"/>
      <w:marRight w:val="0"/>
      <w:marTop w:val="0"/>
      <w:marBottom w:val="0"/>
      <w:divBdr>
        <w:top w:val="none" w:sz="0" w:space="0" w:color="auto"/>
        <w:left w:val="none" w:sz="0" w:space="0" w:color="auto"/>
        <w:bottom w:val="none" w:sz="0" w:space="0" w:color="auto"/>
        <w:right w:val="none" w:sz="0" w:space="0" w:color="auto"/>
      </w:divBdr>
    </w:div>
    <w:div w:id="182316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owerbi.microsoft.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xgboost.readthedocs.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kafka.apache.org/document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16</Pages>
  <Words>3103</Words>
  <Characters>17690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Dani</dc:creator>
  <cp:keywords/>
  <dc:description/>
  <cp:lastModifiedBy>Anshul Dani</cp:lastModifiedBy>
  <cp:revision>8</cp:revision>
  <dcterms:created xsi:type="dcterms:W3CDTF">2025-05-05T18:49:00Z</dcterms:created>
  <dcterms:modified xsi:type="dcterms:W3CDTF">2025-05-08T04:43:00Z</dcterms:modified>
</cp:coreProperties>
</file>