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8"/>
          <w:szCs w:val="48"/>
        </w:rPr>
        <w:t xml:space="preserve">MediRare Disease Label Guide</w:t>
      </w:r>
    </w:p>
    <w:p>
      <w:pPr>
        <w:spacing w:after="80" w:before="0"/>
        <w:jc w:val="center"/>
      </w:pPr>
      <w:r>
        <w:rPr>
          <w:rFonts w:ascii="Arial" w:cs="Arial" w:eastAsia="Arial" w:hAnsi="Arial"/>
          <w:color w:val="2E75B6"/>
          <w:sz w:val="26"/>
          <w:szCs w:val="26"/>
        </w:rPr>
        <w:t xml:space="preserve">SLE | Sjögren's Syndrome | Mixed Connective Tissue Disease</w:t>
      </w:r>
    </w:p>
    <w:p>
      <w:pPr>
        <w:spacing w:after="400" w:before="0"/>
        <w:jc w:val="center"/>
      </w:pPr>
      <w:r>
        <w:rPr>
          <w:rFonts w:ascii="Arial" w:cs="Arial" w:eastAsia="Arial" w:hAnsi="Arial"/>
          <w:color w:val="888888"/>
          <w:sz w:val="20"/>
          <w:szCs w:val="20"/>
        </w:rPr>
        <w:t xml:space="preserve">Biomedical Domain | AISC San Diego | Spring 2026</w:t>
      </w:r>
    </w:p>
    <w:p>
      <w:pPr>
        <w:pStyle w:val="Heading1"/>
        <w:spacing w:after="180" w:before="360"/>
      </w:pPr>
      <w:r>
        <w:rPr>
          <w:rFonts w:ascii="Arial" w:cs="Arial" w:eastAsia="Arial" w:hAnsi="Arial"/>
          <w:b/>
          <w:bCs/>
          <w:color w:val="1F4E79"/>
          <w:sz w:val="32"/>
          <w:szCs w:val="32"/>
        </w:rPr>
        <w:t xml:space="preserve">1. Purpose and Scope</w:t>
      </w:r>
    </w:p>
    <w:p>
      <w:pPr>
        <w:spacing w:after="60" w:before="60"/>
      </w:pPr>
      <w:r>
        <w:rPr>
          <w:rFonts w:ascii="Arial" w:cs="Arial" w:eastAsia="Arial" w:hAnsi="Arial"/>
          <w:sz w:val="22"/>
          <w:szCs w:val="22"/>
        </w:rPr>
        <w:t xml:space="preserve">This guide defines the annotation standards and clinical reference material for the MediRare biomedical domain. It covers three target rare autoimmune diseases: Systemic Lupus Erythematosus (SLE), Sjögren's Syndrome, and Mixed Connective Tissue Disease (MCTD). For each disease, it provides: (1) hallmark clinical features, (2) standard diagnostic criteria, (3) commonly recorded misdiagnoses and the reasons they occur, and (4) key distinguishing features that separate each disease from the others.</w:t>
      </w:r>
    </w:p>
    <w:p>
      <w:pPr>
        <w:spacing w:after="60" w:before="60"/>
      </w:pPr>
      <w:r>
        <w:rPr>
          <w:rFonts w:ascii="Arial" w:cs="Arial" w:eastAsia="Arial" w:hAnsi="Arial"/>
          <w:sz w:val="22"/>
          <w:szCs w:val="22"/>
        </w:rPr>
        <w:t xml:space="preserve">This guide is the primary reference for annotating case report abstracts. When annotating, use the misdiagnosis sequences, hallmark features, and distinguishing criteria described here to correctly identify and label each record.</w:t>
      </w:r>
    </w:p>
    <w:p>
      <w:pPr>
        <w:pStyle w:val="Heading1"/>
        <w:spacing w:after="180" w:before="360"/>
      </w:pPr>
      <w:r>
        <w:rPr>
          <w:rFonts w:ascii="Arial" w:cs="Arial" w:eastAsia="Arial" w:hAnsi="Arial"/>
          <w:b/>
          <w:bCs/>
          <w:color w:val="1F4E79"/>
          <w:sz w:val="32"/>
          <w:szCs w:val="32"/>
        </w:rPr>
        <w:t xml:space="preserve">2. Systemic Lupus Erythematosus (SLE)</w:t>
      </w:r>
    </w:p>
    <w:p>
      <w:pPr>
        <w:pStyle w:val="Heading2"/>
        <w:spacing w:after="120" w:before="240"/>
      </w:pPr>
      <w:r>
        <w:rPr>
          <w:rFonts w:ascii="Arial" w:cs="Arial" w:eastAsia="Arial" w:hAnsi="Arial"/>
          <w:b/>
          <w:bCs/>
          <w:color w:val="2E75B6"/>
          <w:sz w:val="26"/>
          <w:szCs w:val="26"/>
        </w:rPr>
        <w:t xml:space="preserve">2.1 Overview</w:t>
      </w:r>
    </w:p>
    <w:p>
      <w:pPr>
        <w:spacing w:after="60" w:before="60"/>
      </w:pPr>
      <w:r>
        <w:rPr>
          <w:rFonts w:ascii="Arial" w:cs="Arial" w:eastAsia="Arial" w:hAnsi="Arial"/>
          <w:sz w:val="22"/>
          <w:szCs w:val="22"/>
        </w:rPr>
        <w:t xml:space="preserve">SLE is a systemic autoimmune disease with multiorgan involvement driven by autoantibody production, particularly anti-dsDNA and anti-Smith antibodies. Disease course is relapsing-remitting. It predominantly affects women of childbearing age, with higher incidence and severity in Black, Latina, and Asian women.</w:t>
      </w:r>
    </w:p>
    <w:p>
      <w:pPr>
        <w:pStyle w:val="Heading2"/>
        <w:spacing w:after="120" w:before="240"/>
      </w:pPr>
      <w:r>
        <w:rPr>
          <w:rFonts w:ascii="Arial" w:cs="Arial" w:eastAsia="Arial" w:hAnsi="Arial"/>
          <w:b/>
          <w:bCs/>
          <w:color w:val="2E75B6"/>
          <w:sz w:val="26"/>
          <w:szCs w:val="26"/>
        </w:rPr>
        <w:t xml:space="preserve">2.2 Hallmark Clinical Features</w:t>
      </w:r>
    </w:p>
    <w:p>
      <w:pPr>
        <w:pStyle w:val="ListParagraph"/>
        <w:numPr>
          <w:ilvl w:val="0"/>
          <w:numId w:val="2"/>
        </w:numPr>
        <w:spacing w:after="40" w:before="40"/>
      </w:pPr>
      <w:r>
        <w:rPr>
          <w:rFonts w:ascii="Arial" w:cs="Arial" w:eastAsia="Arial" w:hAnsi="Arial"/>
          <w:sz w:val="22"/>
          <w:szCs w:val="22"/>
        </w:rPr>
        <w:t xml:space="preserve">Malar (butterfly) rash: erythematous rash across the cheeks and nasal bridge, sparing the nasolabial folds</w:t>
      </w:r>
    </w:p>
    <w:p>
      <w:pPr>
        <w:pStyle w:val="ListParagraph"/>
        <w:numPr>
          <w:ilvl w:val="0"/>
          <w:numId w:val="2"/>
        </w:numPr>
        <w:spacing w:after="40" w:before="40"/>
      </w:pPr>
      <w:r>
        <w:rPr>
          <w:rFonts w:ascii="Arial" w:cs="Arial" w:eastAsia="Arial" w:hAnsi="Arial"/>
          <w:sz w:val="22"/>
          <w:szCs w:val="22"/>
        </w:rPr>
        <w:t xml:space="preserve">Discoid rash: scarring, coin-shaped lesions on sun-exposed areas</w:t>
      </w:r>
    </w:p>
    <w:p>
      <w:pPr>
        <w:pStyle w:val="ListParagraph"/>
        <w:numPr>
          <w:ilvl w:val="0"/>
          <w:numId w:val="2"/>
        </w:numPr>
        <w:spacing w:after="40" w:before="40"/>
      </w:pPr>
      <w:r>
        <w:rPr>
          <w:rFonts w:ascii="Arial" w:cs="Arial" w:eastAsia="Arial" w:hAnsi="Arial"/>
          <w:sz w:val="22"/>
          <w:szCs w:val="22"/>
        </w:rPr>
        <w:t xml:space="preserve">Photosensitivity: skin reactions to UV light exposure</w:t>
      </w:r>
    </w:p>
    <w:p>
      <w:pPr>
        <w:pStyle w:val="ListParagraph"/>
        <w:numPr>
          <w:ilvl w:val="0"/>
          <w:numId w:val="2"/>
        </w:numPr>
        <w:spacing w:after="40" w:before="40"/>
      </w:pPr>
      <w:r>
        <w:rPr>
          <w:rFonts w:ascii="Arial" w:cs="Arial" w:eastAsia="Arial" w:hAnsi="Arial"/>
          <w:sz w:val="22"/>
          <w:szCs w:val="22"/>
        </w:rPr>
        <w:t xml:space="preserve">Oral and nasal ulcers: typically painless</w:t>
      </w:r>
    </w:p>
    <w:p>
      <w:pPr>
        <w:pStyle w:val="ListParagraph"/>
        <w:numPr>
          <w:ilvl w:val="0"/>
          <w:numId w:val="2"/>
        </w:numPr>
        <w:spacing w:after="40" w:before="40"/>
      </w:pPr>
      <w:r>
        <w:rPr>
          <w:rFonts w:ascii="Arial" w:cs="Arial" w:eastAsia="Arial" w:hAnsi="Arial"/>
          <w:sz w:val="22"/>
          <w:szCs w:val="22"/>
        </w:rPr>
        <w:t xml:space="preserve">Non-scarring alopecia</w:t>
      </w:r>
    </w:p>
    <w:p>
      <w:pPr>
        <w:pStyle w:val="ListParagraph"/>
        <w:numPr>
          <w:ilvl w:val="0"/>
          <w:numId w:val="2"/>
        </w:numPr>
        <w:spacing w:after="40" w:before="40"/>
      </w:pPr>
      <w:r>
        <w:rPr>
          <w:rFonts w:ascii="Arial" w:cs="Arial" w:eastAsia="Arial" w:hAnsi="Arial"/>
          <w:sz w:val="22"/>
          <w:szCs w:val="22"/>
        </w:rPr>
        <w:t xml:space="preserve">Arthritis: non-erosive, symmetric, involving two or more peripheral joints</w:t>
      </w:r>
    </w:p>
    <w:p>
      <w:pPr>
        <w:pStyle w:val="ListParagraph"/>
        <w:numPr>
          <w:ilvl w:val="0"/>
          <w:numId w:val="2"/>
        </w:numPr>
        <w:spacing w:after="40" w:before="40"/>
      </w:pPr>
      <w:r>
        <w:rPr>
          <w:rFonts w:ascii="Arial" w:cs="Arial" w:eastAsia="Arial" w:hAnsi="Arial"/>
          <w:sz w:val="22"/>
          <w:szCs w:val="22"/>
        </w:rPr>
        <w:t xml:space="preserve">Serositis: pleuritis or pericarditis</w:t>
      </w:r>
    </w:p>
    <w:p>
      <w:pPr>
        <w:pStyle w:val="ListParagraph"/>
        <w:numPr>
          <w:ilvl w:val="0"/>
          <w:numId w:val="2"/>
        </w:numPr>
        <w:spacing w:after="40" w:before="40"/>
      </w:pPr>
      <w:r>
        <w:rPr>
          <w:rFonts w:ascii="Arial" w:cs="Arial" w:eastAsia="Arial" w:hAnsi="Arial"/>
          <w:sz w:val="22"/>
          <w:szCs w:val="22"/>
        </w:rPr>
        <w:t xml:space="preserve">Renal involvement (lupus nephritis): proteinuria &gt; 0.5 g/day or cellular casts</w:t>
      </w:r>
    </w:p>
    <w:p>
      <w:pPr>
        <w:pStyle w:val="ListParagraph"/>
        <w:numPr>
          <w:ilvl w:val="0"/>
          <w:numId w:val="2"/>
        </w:numPr>
        <w:spacing w:after="40" w:before="40"/>
      </w:pPr>
      <w:r>
        <w:rPr>
          <w:rFonts w:ascii="Arial" w:cs="Arial" w:eastAsia="Arial" w:hAnsi="Arial"/>
          <w:sz w:val="22"/>
          <w:szCs w:val="22"/>
        </w:rPr>
        <w:t xml:space="preserve">Neuropsychiatric manifestations: seizures, psychosis, cognitive dysfunction</w:t>
      </w:r>
    </w:p>
    <w:p>
      <w:pPr>
        <w:pStyle w:val="ListParagraph"/>
        <w:numPr>
          <w:ilvl w:val="0"/>
          <w:numId w:val="2"/>
        </w:numPr>
        <w:spacing w:after="40" w:before="40"/>
      </w:pPr>
      <w:r>
        <w:rPr>
          <w:rFonts w:ascii="Arial" w:cs="Arial" w:eastAsia="Arial" w:hAnsi="Arial"/>
          <w:sz w:val="22"/>
          <w:szCs w:val="22"/>
        </w:rPr>
        <w:t xml:space="preserve">Hematologic abnormalities: hemolytic anemia, leukopenia, lymphopenia, thrombocytopenia</w:t>
      </w:r>
    </w:p>
    <w:p>
      <w:pPr>
        <w:pStyle w:val="ListParagraph"/>
        <w:numPr>
          <w:ilvl w:val="0"/>
          <w:numId w:val="2"/>
        </w:numPr>
        <w:spacing w:after="40" w:before="40"/>
      </w:pPr>
      <w:r>
        <w:rPr>
          <w:rFonts w:ascii="Arial" w:cs="Arial" w:eastAsia="Arial" w:hAnsi="Arial"/>
          <w:sz w:val="22"/>
          <w:szCs w:val="22"/>
        </w:rPr>
        <w:t xml:space="preserve">Immunologic markers: anti-dsDNA, anti-Sm, antiphospholipid antibodies, low complement (C3/C4)</w:t>
      </w:r>
    </w:p>
    <w:p>
      <w:pPr>
        <w:pStyle w:val="ListParagraph"/>
        <w:numPr>
          <w:ilvl w:val="0"/>
          <w:numId w:val="2"/>
        </w:numPr>
        <w:spacing w:after="40" w:before="40"/>
      </w:pPr>
      <w:r>
        <w:rPr>
          <w:rFonts w:ascii="Arial" w:cs="Arial" w:eastAsia="Arial" w:hAnsi="Arial"/>
          <w:sz w:val="22"/>
          <w:szCs w:val="22"/>
        </w:rPr>
        <w:t xml:space="preserve">Positive ANA (antinuclear antibody): present in &gt;95% of SLE patients</w:t>
      </w:r>
    </w:p>
    <w:p>
      <w:pPr>
        <w:pStyle w:val="Heading2"/>
        <w:spacing w:after="120" w:before="240"/>
      </w:pPr>
      <w:r>
        <w:rPr>
          <w:rFonts w:ascii="Arial" w:cs="Arial" w:eastAsia="Arial" w:hAnsi="Arial"/>
          <w:b/>
          <w:bCs/>
          <w:color w:val="2E75B6"/>
          <w:sz w:val="26"/>
          <w:szCs w:val="26"/>
        </w:rPr>
        <w:t xml:space="preserve">2.3 Diagnostic Criteria</w:t>
      </w:r>
    </w:p>
    <w:p>
      <w:pPr>
        <w:spacing w:after="60" w:before="60"/>
      </w:pPr>
      <w:r>
        <w:rPr>
          <w:rFonts w:ascii="Arial" w:cs="Arial" w:eastAsia="Arial" w:hAnsi="Arial"/>
          <w:sz w:val="22"/>
          <w:szCs w:val="22"/>
        </w:rPr>
        <w:t xml:space="preserve">The 2019 EULAR/ACR classification criteria replace the older ACR 1997 criteria. A positive ANA (titer ≥ 1:80 on HEp-2 cells) is the required entry criterion. Scoring domains include constitutional, hematologic, neuropsychiatric, mucocutaneous, serosal, musculoskeletal, renal, and immunological. A score of ≥ 10 points (with ANA positivity) classifies SLE.</w:t>
      </w:r>
    </w:p>
    <w:p>
      <w:pPr>
        <w:pStyle w:val="Heading2"/>
        <w:spacing w:after="120" w:before="240"/>
      </w:pPr>
      <w:r>
        <w:rPr>
          <w:rFonts w:ascii="Arial" w:cs="Arial" w:eastAsia="Arial" w:hAnsi="Arial"/>
          <w:b/>
          <w:bCs/>
          <w:color w:val="2E75B6"/>
          <w:sz w:val="26"/>
          <w:szCs w:val="26"/>
        </w:rPr>
        <w:t xml:space="preserve">2.4 Common Misdiagnoses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Misdiagnosis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Occurs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Distinguishing from SLE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Fibromyalgia</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Fatigue, diffuse pain, and cognitive symptoms overlap. Labs are often normal in early SLE.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SLE has positive ANA, anti-dsDNA, complement abnormalities, and organspecific involvement absent in fibromyalgia.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Rheumatoid Arthritis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cause symmetric small-joint arthritis, morning stiffness, and fatigue. RF can be weakly positive in SLE.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SLE arthritis is non-erosive; imaging shows no joint destruction. ANA pattern and anti-dsDNA differentiate.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Depression / Anxiety</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Neuropsychiatric SLE, fatigue, and widespread pain are dismissed as somatic or psychiatric. Common in young women.</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SLE has objective serology and organ involvement. Psychiatric diagnoses should be reconsidered if ANA is positive.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Sclerosis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Neuropsychiatric SLE can mimic MS with white matter lesions and CNS manifestations.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SLE has systemic features and autoantibody profile absent in MS. Antiphospholipid antibodies may cause CNS events.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Sjögren's Syndrome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Anti-Ro/SSA and anti-La/SSB antibodies are present in both. SLE can co-exist with secondary Sjögren's.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SLE has malar rash, nephritis, and anti-dsDNA. Primary Sjögren's lacks multi-organ autoimmune injury.</w:t>
            </w:r>
          </w:p>
        </w:tc>
      </w:tr>
    </w:tbl>
    <w:p>
      <w:pPr>
        <w:spacing w:after="0" w:before="200"/>
      </w:pPr>
    </w:p>
    <w:p>
      <w:pPr>
        <w:pStyle w:val="Heading2"/>
        <w:spacing w:after="120" w:before="240"/>
      </w:pPr>
      <w:r>
        <w:rPr>
          <w:rFonts w:ascii="Arial" w:cs="Arial" w:eastAsia="Arial" w:hAnsi="Arial"/>
          <w:b/>
          <w:bCs/>
          <w:color w:val="2E75B6"/>
          <w:sz w:val="26"/>
          <w:szCs w:val="26"/>
        </w:rPr>
        <w:t xml:space="preserve">2.5 Key Distinguishing Features</w:t>
      </w:r>
    </w:p>
    <w:p>
      <w:pPr>
        <w:pStyle w:val="ListParagraph"/>
        <w:numPr>
          <w:ilvl w:val="0"/>
          <w:numId w:val="2"/>
        </w:numPr>
        <w:spacing w:after="40" w:before="40"/>
      </w:pPr>
      <w:r>
        <w:rPr>
          <w:rFonts w:ascii="Arial" w:cs="Arial" w:eastAsia="Arial" w:hAnsi="Arial"/>
          <w:sz w:val="22"/>
          <w:szCs w:val="22"/>
        </w:rPr>
        <w:t xml:space="preserve">Malar rash that spares nasolabial folds is highly specific to SLE</w:t>
      </w:r>
    </w:p>
    <w:p>
      <w:pPr>
        <w:pStyle w:val="ListParagraph"/>
        <w:numPr>
          <w:ilvl w:val="0"/>
          <w:numId w:val="2"/>
        </w:numPr>
        <w:spacing w:after="40" w:before="40"/>
      </w:pPr>
      <w:r>
        <w:rPr>
          <w:rFonts w:ascii="Arial" w:cs="Arial" w:eastAsia="Arial" w:hAnsi="Arial"/>
          <w:sz w:val="22"/>
          <w:szCs w:val="22"/>
        </w:rPr>
        <w:t xml:space="preserve">Lupus nephritis (especially class III/IV) does not occur in Sjögren's or MCTD as a primary feature</w:t>
      </w:r>
    </w:p>
    <w:p>
      <w:pPr>
        <w:pStyle w:val="ListParagraph"/>
        <w:numPr>
          <w:ilvl w:val="0"/>
          <w:numId w:val="2"/>
        </w:numPr>
        <w:spacing w:after="40" w:before="40"/>
      </w:pPr>
      <w:r>
        <w:rPr>
          <w:rFonts w:ascii="Arial" w:cs="Arial" w:eastAsia="Arial" w:hAnsi="Arial"/>
          <w:sz w:val="22"/>
          <w:szCs w:val="22"/>
        </w:rPr>
        <w:t xml:space="preserve">Anti-dsDNA and anti-Sm antibodies are highly specific to SLE</w:t>
      </w:r>
    </w:p>
    <w:p>
      <w:pPr>
        <w:pStyle w:val="ListParagraph"/>
        <w:numPr>
          <w:ilvl w:val="0"/>
          <w:numId w:val="2"/>
        </w:numPr>
        <w:spacing w:after="40" w:before="40"/>
      </w:pPr>
      <w:r>
        <w:rPr>
          <w:rFonts w:ascii="Arial" w:cs="Arial" w:eastAsia="Arial" w:hAnsi="Arial"/>
          <w:sz w:val="22"/>
          <w:szCs w:val="22"/>
        </w:rPr>
        <w:t xml:space="preserve">Low complement (C3/C4) with active flares is a characteristic SLE pattern</w:t>
      </w:r>
    </w:p>
    <w:p>
      <w:pPr>
        <w:pStyle w:val="Heading1"/>
        <w:spacing w:after="180" w:before="360"/>
      </w:pPr>
      <w:r>
        <w:rPr>
          <w:rFonts w:ascii="Arial" w:cs="Arial" w:eastAsia="Arial" w:hAnsi="Arial"/>
          <w:b/>
          <w:bCs/>
          <w:color w:val="1F4E79"/>
          <w:sz w:val="32"/>
          <w:szCs w:val="32"/>
        </w:rPr>
        <w:t xml:space="preserve">3. Sjögren's Syndrome</w:t>
      </w:r>
    </w:p>
    <w:p>
      <w:pPr>
        <w:pStyle w:val="Heading2"/>
        <w:spacing w:after="120" w:before="240"/>
      </w:pPr>
      <w:r>
        <w:rPr>
          <w:rFonts w:ascii="Arial" w:cs="Arial" w:eastAsia="Arial" w:hAnsi="Arial"/>
          <w:b/>
          <w:bCs/>
          <w:color w:val="2E75B6"/>
          <w:sz w:val="26"/>
          <w:szCs w:val="26"/>
        </w:rPr>
        <w:t xml:space="preserve">3.1 Overview</w:t>
      </w:r>
    </w:p>
    <w:p>
      <w:pPr>
        <w:spacing w:after="60" w:before="60"/>
      </w:pPr>
      <w:r>
        <w:rPr>
          <w:rFonts w:ascii="Arial" w:cs="Arial" w:eastAsia="Arial" w:hAnsi="Arial"/>
          <w:sz w:val="22"/>
          <w:szCs w:val="22"/>
        </w:rPr>
        <w:t xml:space="preserve">Sjögren's Syndrome is a systemic autoimmune exocrinopathy that predominantly targets salivary and lacrimal glands, causing hallmark dryness symptoms. It occurs as a primary condition or secondary to another autoimmune disease (most commonly SLE or RA). It is one of the most prevalent autoimmune diseases globally, overwhelmingly affecting middle-aged women.</w:t>
      </w:r>
    </w:p>
    <w:p>
      <w:pPr>
        <w:pStyle w:val="Heading2"/>
        <w:spacing w:after="120" w:before="240"/>
      </w:pPr>
      <w:r>
        <w:rPr>
          <w:rFonts w:ascii="Arial" w:cs="Arial" w:eastAsia="Arial" w:hAnsi="Arial"/>
          <w:b/>
          <w:bCs/>
          <w:color w:val="2E75B6"/>
          <w:sz w:val="26"/>
          <w:szCs w:val="26"/>
        </w:rPr>
        <w:t xml:space="preserve">3.2 Hallmark Clinical Features</w:t>
      </w:r>
    </w:p>
    <w:p>
      <w:pPr>
        <w:pStyle w:val="ListParagraph"/>
        <w:numPr>
          <w:ilvl w:val="0"/>
          <w:numId w:val="2"/>
        </w:numPr>
        <w:spacing w:after="40" w:before="40"/>
      </w:pPr>
      <w:r>
        <w:rPr>
          <w:rFonts w:ascii="Arial" w:cs="Arial" w:eastAsia="Arial" w:hAnsi="Arial"/>
          <w:sz w:val="22"/>
          <w:szCs w:val="22"/>
        </w:rPr>
        <w:t xml:space="preserve">Xerostomia (dry mouth): difficulty chewing, swallowing, or speaking; dental caries; oral candidiasis</w:t>
      </w:r>
    </w:p>
    <w:p>
      <w:pPr>
        <w:pStyle w:val="ListParagraph"/>
        <w:numPr>
          <w:ilvl w:val="0"/>
          <w:numId w:val="2"/>
        </w:numPr>
        <w:spacing w:after="40" w:before="40"/>
      </w:pPr>
      <w:r>
        <w:rPr>
          <w:rFonts w:ascii="Arial" w:cs="Arial" w:eastAsia="Arial" w:hAnsi="Arial"/>
          <w:sz w:val="22"/>
          <w:szCs w:val="22"/>
        </w:rPr>
        <w:t xml:space="preserve">Keratoconjunctivitis sicca (dry eyes): burning, foreign body sensation, corneal damage</w:t>
      </w:r>
    </w:p>
    <w:p>
      <w:pPr>
        <w:pStyle w:val="ListParagraph"/>
        <w:numPr>
          <w:ilvl w:val="0"/>
          <w:numId w:val="2"/>
        </w:numPr>
        <w:spacing w:after="40" w:before="40"/>
      </w:pPr>
      <w:r>
        <w:rPr>
          <w:rFonts w:ascii="Arial" w:cs="Arial" w:eastAsia="Arial" w:hAnsi="Arial"/>
          <w:sz w:val="22"/>
          <w:szCs w:val="22"/>
        </w:rPr>
        <w:t xml:space="preserve">Parotid gland enlargement: bilateral, non-tender</w:t>
      </w:r>
    </w:p>
    <w:p>
      <w:pPr>
        <w:pStyle w:val="ListParagraph"/>
        <w:numPr>
          <w:ilvl w:val="0"/>
          <w:numId w:val="2"/>
        </w:numPr>
        <w:spacing w:after="40" w:before="40"/>
      </w:pPr>
      <w:r>
        <w:rPr>
          <w:rFonts w:ascii="Arial" w:cs="Arial" w:eastAsia="Arial" w:hAnsi="Arial"/>
          <w:sz w:val="22"/>
          <w:szCs w:val="22"/>
        </w:rPr>
        <w:t xml:space="preserve">Fatigue: one of the most debilitating symptoms, often disproportionate to objective findings</w:t>
      </w:r>
    </w:p>
    <w:p>
      <w:pPr>
        <w:pStyle w:val="ListParagraph"/>
        <w:numPr>
          <w:ilvl w:val="0"/>
          <w:numId w:val="2"/>
        </w:numPr>
        <w:spacing w:after="40" w:before="40"/>
      </w:pPr>
      <w:r>
        <w:rPr>
          <w:rFonts w:ascii="Arial" w:cs="Arial" w:eastAsia="Arial" w:hAnsi="Arial"/>
          <w:sz w:val="22"/>
          <w:szCs w:val="22"/>
        </w:rPr>
        <w:t xml:space="preserve">Arthralgia and non-erosive arthritis</w:t>
      </w:r>
    </w:p>
    <w:p>
      <w:pPr>
        <w:pStyle w:val="ListParagraph"/>
        <w:numPr>
          <w:ilvl w:val="0"/>
          <w:numId w:val="2"/>
        </w:numPr>
        <w:spacing w:after="40" w:before="40"/>
      </w:pPr>
      <w:r>
        <w:rPr>
          <w:rFonts w:ascii="Arial" w:cs="Arial" w:eastAsia="Arial" w:hAnsi="Arial"/>
          <w:sz w:val="22"/>
          <w:szCs w:val="22"/>
        </w:rPr>
        <w:t xml:space="preserve">Peripheral neuropathy: small fiber neuropathy causing burning pain and sensory loss</w:t>
      </w:r>
    </w:p>
    <w:p>
      <w:pPr>
        <w:pStyle w:val="ListParagraph"/>
        <w:numPr>
          <w:ilvl w:val="0"/>
          <w:numId w:val="2"/>
        </w:numPr>
        <w:spacing w:after="40" w:before="40"/>
      </w:pPr>
      <w:r>
        <w:rPr>
          <w:rFonts w:ascii="Arial" w:cs="Arial" w:eastAsia="Arial" w:hAnsi="Arial"/>
          <w:sz w:val="22"/>
          <w:szCs w:val="22"/>
        </w:rPr>
        <w:t xml:space="preserve">Interstitial lung disease</w:t>
      </w:r>
    </w:p>
    <w:p>
      <w:pPr>
        <w:pStyle w:val="ListParagraph"/>
        <w:numPr>
          <w:ilvl w:val="0"/>
          <w:numId w:val="2"/>
        </w:numPr>
        <w:spacing w:after="40" w:before="40"/>
      </w:pPr>
      <w:r>
        <w:rPr>
          <w:rFonts w:ascii="Arial" w:cs="Arial" w:eastAsia="Arial" w:hAnsi="Arial"/>
          <w:sz w:val="22"/>
          <w:szCs w:val="22"/>
        </w:rPr>
        <w:t xml:space="preserve">Renal tubular acidosis (type I): distinct from SLE nephritis</w:t>
      </w:r>
    </w:p>
    <w:p>
      <w:pPr>
        <w:pStyle w:val="ListParagraph"/>
        <w:numPr>
          <w:ilvl w:val="0"/>
          <w:numId w:val="2"/>
        </w:numPr>
        <w:spacing w:after="40" w:before="40"/>
      </w:pPr>
      <w:r>
        <w:rPr>
          <w:rFonts w:ascii="Arial" w:cs="Arial" w:eastAsia="Arial" w:hAnsi="Arial"/>
          <w:sz w:val="22"/>
          <w:szCs w:val="22"/>
        </w:rPr>
        <w:t xml:space="preserve">Lymphoma risk: 5-10% lifetime risk of B-cell lymphoma, especially marginal zone</w:t>
      </w:r>
    </w:p>
    <w:p>
      <w:pPr>
        <w:pStyle w:val="ListParagraph"/>
        <w:numPr>
          <w:ilvl w:val="0"/>
          <w:numId w:val="2"/>
        </w:numPr>
        <w:spacing w:after="40" w:before="40"/>
      </w:pPr>
      <w:r>
        <w:rPr>
          <w:rFonts w:ascii="Arial" w:cs="Arial" w:eastAsia="Arial" w:hAnsi="Arial"/>
          <w:sz w:val="22"/>
          <w:szCs w:val="22"/>
        </w:rPr>
        <w:t xml:space="preserve">Positive anti-Ro/SSA (present in ~75%) and anti-La/SSB (present in ~50%)</w:t>
      </w:r>
    </w:p>
    <w:p>
      <w:pPr>
        <w:pStyle w:val="Heading2"/>
        <w:spacing w:after="120" w:before="240"/>
      </w:pPr>
      <w:r>
        <w:rPr>
          <w:rFonts w:ascii="Arial" w:cs="Arial" w:eastAsia="Arial" w:hAnsi="Arial"/>
          <w:b/>
          <w:bCs/>
          <w:color w:val="2E75B6"/>
          <w:sz w:val="26"/>
          <w:szCs w:val="26"/>
        </w:rPr>
        <w:t xml:space="preserve">3.3 Diagnostic Criteria</w:t>
      </w:r>
    </w:p>
    <w:p>
      <w:pPr>
        <w:spacing w:after="60" w:before="60"/>
      </w:pPr>
      <w:r>
        <w:rPr>
          <w:rFonts w:ascii="Arial" w:cs="Arial" w:eastAsia="Arial" w:hAnsi="Arial"/>
          <w:sz w:val="22"/>
          <w:szCs w:val="22"/>
        </w:rPr>
        <w:t xml:space="preserve">The 2016 ACR/EULAR criteria require a score ≥ 4 across five weighted items: anti-Ro/SSA positivity (3 pts), focal lymphocytic sialadenitis on lip biopsy with focus score ≥ 1/4 mm² (3 pts), abnormal ocular staining (1 pt), abnormal Schirmer's test (1 pt), abnormal unstimulated salivary flow (1 pt). The entry criterion is ocular or oral dryness symptoms, or positive anti-Ro/SSA.</w:t>
      </w:r>
    </w:p>
    <w:p>
      <w:pPr>
        <w:pStyle w:val="Heading2"/>
        <w:spacing w:after="120" w:before="240"/>
      </w:pPr>
      <w:r>
        <w:rPr>
          <w:rFonts w:ascii="Arial" w:cs="Arial" w:eastAsia="Arial" w:hAnsi="Arial"/>
          <w:b/>
          <w:bCs/>
          <w:color w:val="2E75B6"/>
          <w:sz w:val="26"/>
          <w:szCs w:val="26"/>
        </w:rPr>
        <w:t xml:space="preserve">3.4 Common Misdiagnoses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Misdiagnosis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Occurs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Distinguishing from Sjögren's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Depression / Anxiety</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Severe fatigue and cognitive symptoms ('brain fog') are attributed to psychiatric causes, especially in women.</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Sjögren's has objective sicca symptoms, salivary gland changes, and positive anti-Ro/SSA.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Fibromyalgia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cause fatigue, widespread pain, and cognitive dysfunction without obvious inflammatory markers.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Sjögren's has sicca features, autoantibodies, and potential systemic extraglandular involvement.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Menopause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Dry eyes, dry mouth, and fatigue in perimenopausal women are attributed to hormonal changes.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Sjögren's symptoms are not relieved by hormone replacement and are accompanied by specific autoantibodies.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Medication Side Effects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Many medications cause dryness (anticholinergics, antihistamines, antidepressants), masking underlying disease.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Sjögren's-associated dryness predates or persists beyond medication use; biopsy and antibodies confirm.</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Sclerosis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CNS Sjögren's with white matter lesions and fatigue can be indistinguishable from early MS on imaging.</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Anti-Ro/SSA positivity and sicca symptoms distinguish CNS Sjögren's; MS lacks glandular involvement.</w:t>
            </w:r>
          </w:p>
        </w:tc>
      </w:tr>
    </w:tbl>
    <w:p>
      <w:pPr>
        <w:spacing w:after="0" w:before="200"/>
      </w:pPr>
    </w:p>
    <w:p>
      <w:pPr>
        <w:pStyle w:val="Heading2"/>
        <w:spacing w:after="120" w:before="240"/>
      </w:pPr>
      <w:r>
        <w:rPr>
          <w:rFonts w:ascii="Arial" w:cs="Arial" w:eastAsia="Arial" w:hAnsi="Arial"/>
          <w:b/>
          <w:bCs/>
          <w:color w:val="2E75B6"/>
          <w:sz w:val="26"/>
          <w:szCs w:val="26"/>
        </w:rPr>
        <w:t xml:space="preserve">3.5 Key Distinguishing Features</w:t>
      </w:r>
    </w:p>
    <w:p>
      <w:pPr>
        <w:pStyle w:val="ListParagraph"/>
        <w:numPr>
          <w:ilvl w:val="0"/>
          <w:numId w:val="2"/>
        </w:numPr>
        <w:spacing w:after="40" w:before="40"/>
      </w:pPr>
      <w:r>
        <w:rPr>
          <w:rFonts w:ascii="Arial" w:cs="Arial" w:eastAsia="Arial" w:hAnsi="Arial"/>
          <w:sz w:val="22"/>
          <w:szCs w:val="22"/>
        </w:rPr>
        <w:t xml:space="preserve">Focal lymphocytic sialadenitis on minor salivary gland biopsy is the gold standard and specific to Sjögren's</w:t>
      </w:r>
    </w:p>
    <w:p>
      <w:pPr>
        <w:pStyle w:val="ListParagraph"/>
        <w:numPr>
          <w:ilvl w:val="0"/>
          <w:numId w:val="2"/>
        </w:numPr>
        <w:spacing w:after="40" w:before="40"/>
      </w:pPr>
      <w:r>
        <w:rPr>
          <w:rFonts w:ascii="Arial" w:cs="Arial" w:eastAsia="Arial" w:hAnsi="Arial"/>
          <w:sz w:val="22"/>
          <w:szCs w:val="22"/>
        </w:rPr>
        <w:t xml:space="preserve">Anti-Ro/SSA positivity at high titers is more specific to primary Sjögren's than SLE</w:t>
      </w:r>
    </w:p>
    <w:p>
      <w:pPr>
        <w:pStyle w:val="ListParagraph"/>
        <w:numPr>
          <w:ilvl w:val="0"/>
          <w:numId w:val="2"/>
        </w:numPr>
        <w:spacing w:after="40" w:before="40"/>
      </w:pPr>
      <w:r>
        <w:rPr>
          <w:rFonts w:ascii="Arial" w:cs="Arial" w:eastAsia="Arial" w:hAnsi="Arial"/>
          <w:sz w:val="22"/>
          <w:szCs w:val="22"/>
        </w:rPr>
        <w:t xml:space="preserve">Renal involvement is tubular (type I RTA), not glomerular — this distinguishes it from SLE nephritis</w:t>
      </w:r>
    </w:p>
    <w:p>
      <w:pPr>
        <w:pStyle w:val="ListParagraph"/>
        <w:numPr>
          <w:ilvl w:val="0"/>
          <w:numId w:val="2"/>
        </w:numPr>
        <w:spacing w:after="40" w:before="40"/>
      </w:pPr>
      <w:r>
        <w:rPr>
          <w:rFonts w:ascii="Arial" w:cs="Arial" w:eastAsia="Arial" w:hAnsi="Arial"/>
          <w:sz w:val="22"/>
          <w:szCs w:val="22"/>
        </w:rPr>
        <w:t xml:space="preserve">B-cell lymphoma risk is unique to Sjögren's among the three diseases</w:t>
      </w:r>
    </w:p>
    <w:p>
      <w:pPr>
        <w:pStyle w:val="ListParagraph"/>
        <w:numPr>
          <w:ilvl w:val="0"/>
          <w:numId w:val="2"/>
        </w:numPr>
        <w:spacing w:after="40" w:before="40"/>
      </w:pPr>
      <w:r>
        <w:rPr>
          <w:rFonts w:ascii="Arial" w:cs="Arial" w:eastAsia="Arial" w:hAnsi="Arial"/>
          <w:sz w:val="22"/>
          <w:szCs w:val="22"/>
        </w:rPr>
        <w:t xml:space="preserve">Sicca symptoms are the core presentation and are absent in MCTD as a primary feature</w:t>
      </w:r>
    </w:p>
    <w:p>
      <w:pPr>
        <w:pStyle w:val="Heading1"/>
        <w:spacing w:after="180" w:before="360"/>
      </w:pPr>
      <w:r>
        <w:rPr>
          <w:rFonts w:ascii="Arial" w:cs="Arial" w:eastAsia="Arial" w:hAnsi="Arial"/>
          <w:b/>
          <w:bCs/>
          <w:color w:val="1F4E79"/>
          <w:sz w:val="32"/>
          <w:szCs w:val="32"/>
        </w:rPr>
        <w:t xml:space="preserve">4. Mixed Connective Tissue Disease (MCTD)</w:t>
      </w:r>
    </w:p>
    <w:p>
      <w:pPr>
        <w:pStyle w:val="Heading2"/>
        <w:spacing w:after="120" w:before="240"/>
      </w:pPr>
      <w:r>
        <w:rPr>
          <w:rFonts w:ascii="Arial" w:cs="Arial" w:eastAsia="Arial" w:hAnsi="Arial"/>
          <w:b/>
          <w:bCs/>
          <w:color w:val="2E75B6"/>
          <w:sz w:val="26"/>
          <w:szCs w:val="26"/>
        </w:rPr>
        <w:t xml:space="preserve">4.1 Overview</w:t>
      </w:r>
    </w:p>
    <w:p>
      <w:pPr>
        <w:spacing w:after="60" w:before="60"/>
      </w:pPr>
      <w:r>
        <w:rPr>
          <w:rFonts w:ascii="Arial" w:cs="Arial" w:eastAsia="Arial" w:hAnsi="Arial"/>
          <w:sz w:val="22"/>
          <w:szCs w:val="22"/>
        </w:rPr>
        <w:t xml:space="preserve">MCTD is an overlap autoimmune syndrome characterized by features of SLE, systemic sclerosis (SSc), and polymyositis/dermatomyositis (PM/DM), occurring in the context of high-titer anti-U1 RNP antibodies. It was initially proposed as a distinct entity by Sharp et al. in 1972, though its classification as a separate disease vs. an undifferentiated CTD remains debated. The most serious complications are pulmonary arterial hypertension (PAH) and interstitial lung disease (ILD).</w:t>
      </w:r>
    </w:p>
    <w:p>
      <w:pPr>
        <w:pStyle w:val="Heading2"/>
        <w:spacing w:after="120" w:before="240"/>
      </w:pPr>
      <w:r>
        <w:rPr>
          <w:rFonts w:ascii="Arial" w:cs="Arial" w:eastAsia="Arial" w:hAnsi="Arial"/>
          <w:b/>
          <w:bCs/>
          <w:color w:val="2E75B6"/>
          <w:sz w:val="26"/>
          <w:szCs w:val="26"/>
        </w:rPr>
        <w:t xml:space="preserve">4.2 Hallmark Clinical Features</w:t>
      </w:r>
    </w:p>
    <w:p>
      <w:pPr>
        <w:pStyle w:val="ListParagraph"/>
        <w:numPr>
          <w:ilvl w:val="0"/>
          <w:numId w:val="2"/>
        </w:numPr>
        <w:spacing w:after="40" w:before="40"/>
      </w:pPr>
      <w:r>
        <w:rPr>
          <w:rFonts w:ascii="Arial" w:cs="Arial" w:eastAsia="Arial" w:hAnsi="Arial"/>
          <w:sz w:val="22"/>
          <w:szCs w:val="22"/>
        </w:rPr>
        <w:t xml:space="preserve">Raynaud's phenomenon: present in virtually all MCTD patients; often the earliest symptom</w:t>
      </w:r>
    </w:p>
    <w:p>
      <w:pPr>
        <w:pStyle w:val="ListParagraph"/>
        <w:numPr>
          <w:ilvl w:val="0"/>
          <w:numId w:val="2"/>
        </w:numPr>
        <w:spacing w:after="40" w:before="40"/>
      </w:pPr>
      <w:r>
        <w:rPr>
          <w:rFonts w:ascii="Arial" w:cs="Arial" w:eastAsia="Arial" w:hAnsi="Arial"/>
          <w:sz w:val="22"/>
          <w:szCs w:val="22"/>
        </w:rPr>
        <w:t xml:space="preserve">Puffy/swollen hands (hand edema): sausage-like finger swelling, distinct from RA joint swelling</w:t>
      </w:r>
    </w:p>
    <w:p>
      <w:pPr>
        <w:pStyle w:val="ListParagraph"/>
        <w:numPr>
          <w:ilvl w:val="0"/>
          <w:numId w:val="2"/>
        </w:numPr>
        <w:spacing w:after="40" w:before="40"/>
      </w:pPr>
      <w:r>
        <w:rPr>
          <w:rFonts w:ascii="Arial" w:cs="Arial" w:eastAsia="Arial" w:hAnsi="Arial"/>
          <w:sz w:val="22"/>
          <w:szCs w:val="22"/>
        </w:rPr>
        <w:t xml:space="preserve">Features of SLE: arthritis, malar rash, serositis, lymphadenopathy</w:t>
      </w:r>
    </w:p>
    <w:p>
      <w:pPr>
        <w:pStyle w:val="ListParagraph"/>
        <w:numPr>
          <w:ilvl w:val="0"/>
          <w:numId w:val="2"/>
        </w:numPr>
        <w:spacing w:after="40" w:before="40"/>
      </w:pPr>
      <w:r>
        <w:rPr>
          <w:rFonts w:ascii="Arial" w:cs="Arial" w:eastAsia="Arial" w:hAnsi="Arial"/>
          <w:sz w:val="22"/>
          <w:szCs w:val="22"/>
        </w:rPr>
        <w:t xml:space="preserve">Features of systemic sclerosis: sclerodactyly, esophageal dysmotility, ILD</w:t>
      </w:r>
    </w:p>
    <w:p>
      <w:pPr>
        <w:pStyle w:val="ListParagraph"/>
        <w:numPr>
          <w:ilvl w:val="0"/>
          <w:numId w:val="2"/>
        </w:numPr>
        <w:spacing w:after="40" w:before="40"/>
      </w:pPr>
      <w:r>
        <w:rPr>
          <w:rFonts w:ascii="Arial" w:cs="Arial" w:eastAsia="Arial" w:hAnsi="Arial"/>
          <w:sz w:val="22"/>
          <w:szCs w:val="22"/>
        </w:rPr>
        <w:t xml:space="preserve">Features of polymyositis: proximal muscle weakness, elevated CK</w:t>
      </w:r>
    </w:p>
    <w:p>
      <w:pPr>
        <w:pStyle w:val="ListParagraph"/>
        <w:numPr>
          <w:ilvl w:val="0"/>
          <w:numId w:val="2"/>
        </w:numPr>
        <w:spacing w:after="40" w:before="40"/>
      </w:pPr>
      <w:r>
        <w:rPr>
          <w:rFonts w:ascii="Arial" w:cs="Arial" w:eastAsia="Arial" w:hAnsi="Arial"/>
          <w:sz w:val="22"/>
          <w:szCs w:val="22"/>
        </w:rPr>
        <w:t xml:space="preserve">Pulmonary arterial hypertension: the leading cause of death in MCTD</w:t>
      </w:r>
    </w:p>
    <w:p>
      <w:pPr>
        <w:pStyle w:val="ListParagraph"/>
        <w:numPr>
          <w:ilvl w:val="0"/>
          <w:numId w:val="2"/>
        </w:numPr>
        <w:spacing w:after="40" w:before="40"/>
      </w:pPr>
      <w:r>
        <w:rPr>
          <w:rFonts w:ascii="Arial" w:cs="Arial" w:eastAsia="Arial" w:hAnsi="Arial"/>
          <w:sz w:val="22"/>
          <w:szCs w:val="22"/>
        </w:rPr>
        <w:t xml:space="preserve">Esophageal dysmotility: dysphagia, reflux</w:t>
      </w:r>
    </w:p>
    <w:p>
      <w:pPr>
        <w:pStyle w:val="ListParagraph"/>
        <w:numPr>
          <w:ilvl w:val="0"/>
          <w:numId w:val="2"/>
        </w:numPr>
        <w:spacing w:after="40" w:before="40"/>
      </w:pPr>
      <w:r>
        <w:rPr>
          <w:rFonts w:ascii="Arial" w:cs="Arial" w:eastAsia="Arial" w:hAnsi="Arial"/>
          <w:sz w:val="22"/>
          <w:szCs w:val="22"/>
        </w:rPr>
        <w:t xml:space="preserve">Anti-U1 RNP antibodies: required for diagnosis at high titer; absent or low titer in other CTDs</w:t>
      </w:r>
    </w:p>
    <w:p>
      <w:pPr>
        <w:pStyle w:val="Heading2"/>
        <w:spacing w:after="120" w:before="240"/>
      </w:pPr>
      <w:r>
        <w:rPr>
          <w:rFonts w:ascii="Arial" w:cs="Arial" w:eastAsia="Arial" w:hAnsi="Arial"/>
          <w:b/>
          <w:bCs/>
          <w:color w:val="2E75B6"/>
          <w:sz w:val="26"/>
          <w:szCs w:val="26"/>
        </w:rPr>
        <w:t xml:space="preserve">4.3 Diagnostic Criteria</w:t>
      </w:r>
    </w:p>
    <w:p>
      <w:pPr>
        <w:spacing w:after="60" w:before="60"/>
      </w:pPr>
      <w:r>
        <w:rPr>
          <w:rFonts w:ascii="Arial" w:cs="Arial" w:eastAsia="Arial" w:hAnsi="Arial"/>
          <w:sz w:val="22"/>
          <w:szCs w:val="22"/>
        </w:rPr>
        <w:t xml:space="preserve">Multiple criteria sets exist (Alarcon-Segovia 1987, Kahn 1991, Sharp 1987). The Alarcon-Segovia criteria are most widely used: requires positive anti-U1 RNP at titer &gt; 1:1600, plus at least 3 of 5 clinical criteria (hand edema, synovitis, myositis, Raynaud's phenomenon, acrosclerosis). The Kahn criteria require anti-U1 RNP plus Raynaud's plus one of: synovitis, myositis, or hand edema.</w:t>
      </w:r>
    </w:p>
    <w:p>
      <w:pPr>
        <w:pStyle w:val="Heading2"/>
        <w:spacing w:after="120" w:before="240"/>
      </w:pPr>
      <w:r>
        <w:rPr>
          <w:rFonts w:ascii="Arial" w:cs="Arial" w:eastAsia="Arial" w:hAnsi="Arial"/>
          <w:b/>
          <w:bCs/>
          <w:color w:val="2E75B6"/>
          <w:sz w:val="26"/>
          <w:szCs w:val="26"/>
        </w:rPr>
        <w:t xml:space="preserve">4.4 Common Misdiagnoses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Misdiagnosis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Occurs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Distinguishing from MCTD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Undifferentiated CTD (UCTD)</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Early MCTD presents with non-specific autoimmune symptoms before the full overlap picture emerges.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High-titer anti-U1 RNP with Raynaud's and swollen hands is the key distinguishing triad.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Systemic Lupus Erythematosus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SLE features (arthritis, serositis, rash) dominate early MCTD. Anti-U1 RNP is elevated in ~25% of SLE.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MCTD lacks anti-dsDNA/anti-Sm; has sclerodactyly, puffy hands, and Raynaud's as dominant features.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Systemic Sclerosis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Sclerodactyly, Raynaud's, and esophageal dysmotility overlap with SSc features.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MCTD has SLE and myositis components absent in SSc. Anti-U1 RNP at high titer favors MCTD over SSc.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Rheumatoid Arthritis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Symmetric arthritis and morning stiffness in early MCTD are attributed to RA before overlap features emerge.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MCTD has Raynaud's, puffy hands, positive anti-U1 RNP, and myositis, none of which are RA hallmarks.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Fibromyalgia</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Fatigue, widespread pain, and normal early labs lead to functional diagnosis.</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MCTD has objective autoantibodies, Raynaud's, and organ-specific features absent in fibromyalgia.</w:t>
            </w:r>
          </w:p>
        </w:tc>
      </w:tr>
    </w:tbl>
    <w:p>
      <w:pPr>
        <w:spacing w:after="0" w:before="200"/>
      </w:pPr>
    </w:p>
    <w:p>
      <w:pPr>
        <w:pStyle w:val="Heading2"/>
        <w:spacing w:after="120" w:before="240"/>
      </w:pPr>
      <w:r>
        <w:rPr>
          <w:rFonts w:ascii="Arial" w:cs="Arial" w:eastAsia="Arial" w:hAnsi="Arial"/>
          <w:b/>
          <w:bCs/>
          <w:color w:val="2E75B6"/>
          <w:sz w:val="26"/>
          <w:szCs w:val="26"/>
        </w:rPr>
        <w:t xml:space="preserve">4.5 Key Distinguishing Features</w:t>
      </w:r>
    </w:p>
    <w:p>
      <w:pPr>
        <w:pStyle w:val="ListParagraph"/>
        <w:numPr>
          <w:ilvl w:val="0"/>
          <w:numId w:val="2"/>
        </w:numPr>
        <w:spacing w:after="40" w:before="40"/>
      </w:pPr>
      <w:r>
        <w:rPr>
          <w:rFonts w:ascii="Arial" w:cs="Arial" w:eastAsia="Arial" w:hAnsi="Arial"/>
          <w:sz w:val="22"/>
          <w:szCs w:val="22"/>
        </w:rPr>
        <w:t xml:space="preserve">High-titer anti-U1 RNP is the serologic hallmark and required for diagnosis</w:t>
      </w:r>
    </w:p>
    <w:p>
      <w:pPr>
        <w:pStyle w:val="ListParagraph"/>
        <w:numPr>
          <w:ilvl w:val="0"/>
          <w:numId w:val="2"/>
        </w:numPr>
        <w:spacing w:after="40" w:before="40"/>
      </w:pPr>
      <w:r>
        <w:rPr>
          <w:rFonts w:ascii="Arial" w:cs="Arial" w:eastAsia="Arial" w:hAnsi="Arial"/>
          <w:sz w:val="22"/>
          <w:szCs w:val="22"/>
        </w:rPr>
        <w:t xml:space="preserve">Raynaud's phenomenon is present in virtually all MCTD patients; rare in SLE, absent in primary Sjögren's</w:t>
      </w:r>
    </w:p>
    <w:p>
      <w:pPr>
        <w:pStyle w:val="ListParagraph"/>
        <w:numPr>
          <w:ilvl w:val="0"/>
          <w:numId w:val="2"/>
        </w:numPr>
        <w:spacing w:after="40" w:before="40"/>
      </w:pPr>
      <w:r>
        <w:rPr>
          <w:rFonts w:ascii="Arial" w:cs="Arial" w:eastAsia="Arial" w:hAnsi="Arial"/>
          <w:sz w:val="22"/>
          <w:szCs w:val="22"/>
        </w:rPr>
        <w:t xml:space="preserve">Puffy/swollen hands (not just joint swelling) are characteristic of MCTD and SSc, not SLE or Sjögren's</w:t>
      </w:r>
    </w:p>
    <w:p>
      <w:pPr>
        <w:pStyle w:val="ListParagraph"/>
        <w:numPr>
          <w:ilvl w:val="0"/>
          <w:numId w:val="2"/>
        </w:numPr>
        <w:spacing w:after="40" w:before="40"/>
      </w:pPr>
      <w:r>
        <w:rPr>
          <w:rFonts w:ascii="Arial" w:cs="Arial" w:eastAsia="Arial" w:hAnsi="Arial"/>
          <w:sz w:val="22"/>
          <w:szCs w:val="22"/>
        </w:rPr>
        <w:t xml:space="preserve">PAH as a primary complication is most strongly associated with MCTD and SSc, not SLE or Sjögren's</w:t>
      </w:r>
    </w:p>
    <w:p>
      <w:pPr>
        <w:pStyle w:val="ListParagraph"/>
        <w:numPr>
          <w:ilvl w:val="0"/>
          <w:numId w:val="2"/>
        </w:numPr>
        <w:spacing w:after="40" w:before="40"/>
      </w:pPr>
      <w:r>
        <w:rPr>
          <w:rFonts w:ascii="Arial" w:cs="Arial" w:eastAsia="Arial" w:hAnsi="Arial"/>
          <w:sz w:val="22"/>
          <w:szCs w:val="22"/>
        </w:rPr>
        <w:t xml:space="preserve">The overlap phenotype evolves: watch for late differentiation into SLE, SSc, or PM</w:t>
      </w:r>
    </w:p>
    <w:p>
      <w:pPr>
        <w:pStyle w:val="Heading1"/>
        <w:spacing w:after="180" w:before="360"/>
      </w:pPr>
      <w:r>
        <w:rPr>
          <w:rFonts w:ascii="Arial" w:cs="Arial" w:eastAsia="Arial" w:hAnsi="Arial"/>
          <w:b/>
          <w:bCs/>
          <w:color w:val="1F4E79"/>
          <w:sz w:val="32"/>
          <w:szCs w:val="32"/>
        </w:rPr>
        <w:t xml:space="preserve">5. Cross-Disease Misdiagnosis Taxonomy</w:t>
      </w:r>
    </w:p>
    <w:p>
      <w:pPr>
        <w:spacing w:after="60" w:before="60"/>
      </w:pPr>
      <w:r>
        <w:rPr>
          <w:rFonts w:ascii="Arial" w:cs="Arial" w:eastAsia="Arial" w:hAnsi="Arial"/>
          <w:sz w:val="22"/>
          <w:szCs w:val="22"/>
        </w:rPr>
        <w:t xml:space="preserve">The table below shows which conditions are most commonly confused with each target disease. Entries represent conditions recorded as prior misdiagnoses in published case reports. This grid directly informs the misdiagnosis_sequence field in the CaseReport schema.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 Misdiagnosis</w:t>
            </w:r>
          </w:p>
        </w:tc>
        <w:tc>
          <w:tcPr>
            <w:tcW w:type="dxa" w:w="218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Confused with SLE</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Confused with Sjögren's</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Confused with MCTD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Fibromyalgia</w:t>
            </w:r>
          </w:p>
        </w:tc>
        <w:tc>
          <w:tcPr>
            <w:tcW w:type="dxa" w:w="21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Common</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Common</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Depression / Anxiety</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Common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Common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Rheumatoid Arthritis</w:t>
            </w:r>
          </w:p>
        </w:tc>
        <w:tc>
          <w:tcPr>
            <w:tcW w:type="dxa" w:w="21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Occasional</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Sjögren's Syndrome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(target disease)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Occasional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SLE</w:t>
            </w:r>
          </w:p>
        </w:tc>
        <w:tc>
          <w:tcPr>
            <w:tcW w:type="dxa" w:w="21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 (target disease)</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Systemic Sclerosis (SSc)</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Rare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Rare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Undifferentiated CTD</w:t>
            </w:r>
          </w:p>
        </w:tc>
        <w:tc>
          <w:tcPr>
            <w:tcW w:type="dxa" w:w="21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Occasional</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Common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Sclerosis</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Occasional</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Occasional</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Menopause</w:t>
            </w:r>
          </w:p>
        </w:tc>
        <w:tc>
          <w:tcPr>
            <w:tcW w:type="dxa" w:w="21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Occasional</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c>
          <w:tcPr>
            <w:tcW w:type="dxa" w:w="2187"/>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Medication Side Effects</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Rare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Rare</w:t>
            </w:r>
          </w:p>
        </w:tc>
      </w:tr>
    </w:tbl>
    <w:p>
      <w:pPr>
        <w:spacing w:after="0" w:before="200"/>
      </w:pPr>
    </w:p>
    <w:p>
      <w:pPr>
        <w:pStyle w:val="Heading1"/>
        <w:spacing w:after="180" w:before="360"/>
      </w:pPr>
      <w:r>
        <w:rPr>
          <w:rFonts w:ascii="Arial" w:cs="Arial" w:eastAsia="Arial" w:hAnsi="Arial"/>
          <w:b/>
          <w:bCs/>
          <w:color w:val="1F4E79"/>
          <w:sz w:val="32"/>
          <w:szCs w:val="32"/>
        </w:rPr>
        <w:t xml:space="preserve">6. Annotation Guidelines</w:t>
      </w:r>
    </w:p>
    <w:p>
      <w:pPr>
        <w:pStyle w:val="Heading2"/>
        <w:spacing w:after="120" w:before="240"/>
      </w:pPr>
      <w:r>
        <w:rPr>
          <w:rFonts w:ascii="Arial" w:cs="Arial" w:eastAsia="Arial" w:hAnsi="Arial"/>
          <w:b/>
          <w:bCs/>
          <w:color w:val="2E75B6"/>
          <w:sz w:val="26"/>
          <w:szCs w:val="26"/>
        </w:rPr>
        <w:t xml:space="preserve">6.1 Identifying a Misdiagnosis Sequence</w:t>
      </w:r>
    </w:p>
    <w:p>
      <w:pPr>
        <w:spacing w:after="60" w:before="60"/>
      </w:pPr>
      <w:r>
        <w:rPr>
          <w:rFonts w:ascii="Arial" w:cs="Arial" w:eastAsia="Arial" w:hAnsi="Arial"/>
          <w:sz w:val="22"/>
          <w:szCs w:val="22"/>
        </w:rPr>
        <w:t xml:space="preserve">A misdiagnosis sequence is the ordered list of diagnoses a patient received before reaching the correct autoimmune diagnosis. When annotating an abstract:</w:t>
      </w:r>
    </w:p>
    <w:p>
      <w:pPr>
        <w:pStyle w:val="ListParagraph"/>
        <w:numPr>
          <w:ilvl w:val="0"/>
          <w:numId w:val="2"/>
        </w:numPr>
        <w:spacing w:after="40" w:before="40"/>
      </w:pPr>
      <w:r>
        <w:rPr>
          <w:rFonts w:ascii="Arial" w:cs="Arial" w:eastAsia="Arial" w:hAnsi="Arial"/>
          <w:sz w:val="22"/>
          <w:szCs w:val="22"/>
        </w:rPr>
        <w:t xml:space="preserve">Look for phrases: 'initially diagnosed with', 'misdiagnosed as', 'previously treated for', 'presenting diagnosis was', 'referred after', 'despite prior diagnosis of'</w:t>
      </w:r>
    </w:p>
    <w:p>
      <w:pPr>
        <w:pStyle w:val="ListParagraph"/>
        <w:numPr>
          <w:ilvl w:val="0"/>
          <w:numId w:val="2"/>
        </w:numPr>
        <w:spacing w:after="40" w:before="40"/>
      </w:pPr>
      <w:r>
        <w:rPr>
          <w:rFonts w:ascii="Arial" w:cs="Arial" w:eastAsia="Arial" w:hAnsi="Arial"/>
          <w:sz w:val="22"/>
          <w:szCs w:val="22"/>
        </w:rPr>
        <w:t xml:space="preserve">Record only diagnoses that were explicitly stated as incorrect or superseded</w:t>
      </w:r>
    </w:p>
    <w:p>
      <w:pPr>
        <w:pStyle w:val="ListParagraph"/>
        <w:numPr>
          <w:ilvl w:val="0"/>
          <w:numId w:val="2"/>
        </w:numPr>
        <w:spacing w:after="40" w:before="40"/>
      </w:pPr>
      <w:r>
        <w:rPr>
          <w:rFonts w:ascii="Arial" w:cs="Arial" w:eastAsia="Arial" w:hAnsi="Arial"/>
          <w:sz w:val="22"/>
          <w:szCs w:val="22"/>
        </w:rPr>
        <w:t xml:space="preserve">Order is important: list diagnoses chronologically from first to final correct diagnosis</w:t>
      </w:r>
    </w:p>
    <w:p>
      <w:pPr>
        <w:pStyle w:val="ListParagraph"/>
        <w:numPr>
          <w:ilvl w:val="0"/>
          <w:numId w:val="2"/>
        </w:numPr>
        <w:spacing w:after="40" w:before="40"/>
      </w:pPr>
      <w:r>
        <w:rPr>
          <w:rFonts w:ascii="Arial" w:cs="Arial" w:eastAsia="Arial" w:hAnsi="Arial"/>
          <w:sz w:val="22"/>
          <w:szCs w:val="22"/>
        </w:rPr>
        <w:t xml:space="preserve">If no prior misdiagnosis is mentioned, record an empty list []</w:t>
      </w:r>
    </w:p>
    <w:p>
      <w:pPr>
        <w:pStyle w:val="ListParagraph"/>
        <w:numPr>
          <w:ilvl w:val="0"/>
          <w:numId w:val="2"/>
        </w:numPr>
        <w:spacing w:after="40" w:before="40"/>
      </w:pPr>
      <w:r>
        <w:rPr>
          <w:rFonts w:ascii="Arial" w:cs="Arial" w:eastAsia="Arial" w:hAnsi="Arial"/>
          <w:sz w:val="22"/>
          <w:szCs w:val="22"/>
        </w:rPr>
        <w:t xml:space="preserve">If the abstract describes a diagnostic delay without naming prior diagnoses, note this in annotation comments but leave the list empty</w:t>
      </w:r>
    </w:p>
    <w:p>
      <w:pPr>
        <w:pStyle w:val="Heading2"/>
        <w:spacing w:after="120" w:before="240"/>
      </w:pPr>
      <w:r>
        <w:rPr>
          <w:rFonts w:ascii="Arial" w:cs="Arial" w:eastAsia="Arial" w:hAnsi="Arial"/>
          <w:b/>
          <w:bCs/>
          <w:color w:val="2E75B6"/>
          <w:sz w:val="26"/>
          <w:szCs w:val="26"/>
        </w:rPr>
        <w:t xml:space="preserve">6.2 Disease Label Assignment</w:t>
      </w:r>
    </w:p>
    <w:p>
      <w:pPr>
        <w:pStyle w:val="ListParagraph"/>
        <w:numPr>
          <w:ilvl w:val="0"/>
          <w:numId w:val="2"/>
        </w:numPr>
        <w:spacing w:after="40" w:before="40"/>
      </w:pPr>
      <w:r>
        <w:rPr>
          <w:rFonts w:ascii="Arial" w:cs="Arial" w:eastAsia="Arial" w:hAnsi="Arial"/>
          <w:sz w:val="22"/>
          <w:szCs w:val="22"/>
        </w:rPr>
        <w:t xml:space="preserve">Assign 'SLE' if the final diagnosis is explicitly SLE or Systemic Lupus Erythematosus</w:t>
      </w:r>
    </w:p>
    <w:p>
      <w:pPr>
        <w:pStyle w:val="ListParagraph"/>
        <w:numPr>
          <w:ilvl w:val="0"/>
          <w:numId w:val="2"/>
        </w:numPr>
        <w:spacing w:after="40" w:before="40"/>
      </w:pPr>
      <w:r>
        <w:rPr>
          <w:rFonts w:ascii="Arial" w:cs="Arial" w:eastAsia="Arial" w:hAnsi="Arial"/>
          <w:sz w:val="22"/>
          <w:szCs w:val="22"/>
        </w:rPr>
        <w:t xml:space="preserve">Assign 'Sjogrens' if the final diagnosis is primary Sjögren's Syndrome (not secondary)</w:t>
      </w:r>
    </w:p>
    <w:p>
      <w:pPr>
        <w:pStyle w:val="ListParagraph"/>
        <w:numPr>
          <w:ilvl w:val="0"/>
          <w:numId w:val="2"/>
        </w:numPr>
        <w:spacing w:after="40" w:before="40"/>
      </w:pPr>
      <w:r>
        <w:rPr>
          <w:rFonts w:ascii="Arial" w:cs="Arial" w:eastAsia="Arial" w:hAnsi="Arial"/>
          <w:sz w:val="22"/>
          <w:szCs w:val="22"/>
        </w:rPr>
        <w:t xml:space="preserve">Assign 'MCTD' if the final diagnosis is explicitly Mixed Connective Tissue Disease</w:t>
      </w:r>
    </w:p>
    <w:p>
      <w:pPr>
        <w:pStyle w:val="ListParagraph"/>
        <w:numPr>
          <w:ilvl w:val="0"/>
          <w:numId w:val="2"/>
        </w:numPr>
        <w:spacing w:after="40" w:before="40"/>
      </w:pPr>
      <w:r>
        <w:rPr>
          <w:rFonts w:ascii="Arial" w:cs="Arial" w:eastAsia="Arial" w:hAnsi="Arial"/>
          <w:sz w:val="22"/>
          <w:szCs w:val="22"/>
        </w:rPr>
        <w:t xml:space="preserve">If a case describes overlap or secondary Sjögren's with SLE, assign the primary diagnosis</w:t>
      </w:r>
    </w:p>
    <w:p>
      <w:pPr>
        <w:pStyle w:val="ListParagraph"/>
        <w:numPr>
          <w:ilvl w:val="0"/>
          <w:numId w:val="2"/>
        </w:numPr>
        <w:spacing w:after="40" w:before="40"/>
      </w:pPr>
      <w:r>
        <w:rPr>
          <w:rFonts w:ascii="Arial" w:cs="Arial" w:eastAsia="Arial" w:hAnsi="Arial"/>
          <w:sz w:val="22"/>
          <w:szCs w:val="22"/>
        </w:rPr>
        <w:t xml:space="preserve">If the disease is ambiguous or undifferentiated, flag the record and do not assign a label</w:t>
      </w:r>
    </w:p>
    <w:p>
      <w:pPr>
        <w:pStyle w:val="Heading2"/>
        <w:spacing w:after="120" w:before="240"/>
      </w:pPr>
      <w:r>
        <w:rPr>
          <w:rFonts w:ascii="Arial" w:cs="Arial" w:eastAsia="Arial" w:hAnsi="Arial"/>
          <w:b/>
          <w:bCs/>
          <w:color w:val="2E75B6"/>
          <w:sz w:val="26"/>
          <w:szCs w:val="26"/>
        </w:rPr>
        <w:t xml:space="preserve">6.3 Annotation Quality Standards</w:t>
      </w:r>
    </w:p>
    <w:p>
      <w:pPr>
        <w:pStyle w:val="ListParagraph"/>
        <w:numPr>
          <w:ilvl w:val="0"/>
          <w:numId w:val="2"/>
        </w:numPr>
        <w:spacing w:after="40" w:before="40"/>
      </w:pPr>
      <w:r>
        <w:rPr>
          <w:rFonts w:ascii="Arial" w:cs="Arial" w:eastAsia="Arial" w:hAnsi="Arial"/>
          <w:sz w:val="22"/>
          <w:szCs w:val="22"/>
        </w:rPr>
        <w:t xml:space="preserve">Never infer a misdiagnosis not explicitly stated in the abstract</w:t>
      </w:r>
    </w:p>
    <w:p>
      <w:pPr>
        <w:pStyle w:val="ListParagraph"/>
        <w:numPr>
          <w:ilvl w:val="0"/>
          <w:numId w:val="2"/>
        </w:numPr>
        <w:spacing w:after="40" w:before="40"/>
      </w:pPr>
      <w:r>
        <w:rPr>
          <w:rFonts w:ascii="Arial" w:cs="Arial" w:eastAsia="Arial" w:hAnsi="Arial"/>
          <w:sz w:val="22"/>
          <w:szCs w:val="22"/>
        </w:rPr>
        <w:t xml:space="preserve">If unsure between two labels, flag the record with a note</w:t>
      </w:r>
    </w:p>
    <w:p>
      <w:pPr>
        <w:pStyle w:val="ListParagraph"/>
        <w:numPr>
          <w:ilvl w:val="0"/>
          <w:numId w:val="2"/>
        </w:numPr>
        <w:spacing w:after="40" w:before="40"/>
      </w:pPr>
      <w:r>
        <w:rPr>
          <w:rFonts w:ascii="Arial" w:cs="Arial" w:eastAsia="Arial" w:hAnsi="Arial"/>
          <w:sz w:val="22"/>
          <w:szCs w:val="22"/>
        </w:rPr>
        <w:t xml:space="preserve">Each annotated row must conform to the CaseReport schema fields</w:t>
      </w:r>
    </w:p>
    <w:p>
      <w:pPr>
        <w:pStyle w:val="Heading1"/>
        <w:spacing w:after="180" w:before="360"/>
      </w:pPr>
      <w:r>
        <w:rPr>
          <w:rFonts w:ascii="Arial" w:cs="Arial" w:eastAsia="Arial" w:hAnsi="Arial"/>
          <w:b/>
          <w:bCs/>
          <w:color w:val="1F4E79"/>
          <w:sz w:val="32"/>
          <w:szCs w:val="32"/>
        </w:rPr>
        <w:t xml:space="preserve">7. Key References</w:t>
      </w:r>
    </w:p>
    <w:p>
      <w:pPr>
        <w:spacing w:after="60" w:before="60"/>
      </w:pPr>
      <w:r>
        <w:rPr>
          <w:rFonts w:ascii="Arial" w:cs="Arial" w:eastAsia="Arial" w:hAnsi="Arial"/>
          <w:sz w:val="22"/>
          <w:szCs w:val="22"/>
        </w:rPr>
        <w:t xml:space="preserve">Aringer M et al. (2019). 2019 European League Against Rheumatism/American College of Rheumatology classification criteria for systemic lupus erythematosus. Annals of the Rheumatic Diseases.</w:t>
      </w:r>
    </w:p>
    <w:p>
      <w:pPr>
        <w:spacing w:after="60" w:before="60"/>
      </w:pPr>
      <w:r>
        <w:rPr>
          <w:rFonts w:ascii="Arial" w:cs="Arial" w:eastAsia="Arial" w:hAnsi="Arial"/>
          <w:sz w:val="22"/>
          <w:szCs w:val="22"/>
        </w:rPr>
        <w:t xml:space="preserve">Shiboski CH et al. (2017). 2016 American College of Rheumatology/European League Against Rheumatism classification criteria for primary Sjögren's syndrome. Annals of the Rheumatic Diseases.</w:t>
      </w:r>
    </w:p>
    <w:p>
      <w:pPr>
        <w:spacing w:after="60" w:before="60"/>
      </w:pPr>
      <w:r>
        <w:rPr>
          <w:rFonts w:ascii="Arial" w:cs="Arial" w:eastAsia="Arial" w:hAnsi="Arial"/>
          <w:sz w:val="22"/>
          <w:szCs w:val="22"/>
        </w:rPr>
        <w:t xml:space="preserve">Alarcon-Segovia D &amp; Cardiel MH (1989). Comparison between 3 diagnostic criteria for mixed connective tissue disease. Journal of Rheumatology.</w:t>
      </w:r>
    </w:p>
    <w:p>
      <w:pPr>
        <w:spacing w:after="60" w:before="60"/>
      </w:pPr>
      <w:r>
        <w:rPr>
          <w:rFonts w:ascii="Arial" w:cs="Arial" w:eastAsia="Arial" w:hAnsi="Arial"/>
          <w:sz w:val="22"/>
          <w:szCs w:val="22"/>
        </w:rPr>
        <w:t xml:space="preserve">Ehrenfeld M et al. (2022). Diagnostic delay in systemic lupus erythematosus. Autoimmunity Reviews.</w:t>
      </w:r>
    </w:p>
    <w:p>
      <w:pPr>
        <w:spacing w:after="60" w:before="60"/>
      </w:pPr>
      <w:r>
        <w:rPr>
          <w:rFonts w:ascii="Arial" w:cs="Arial" w:eastAsia="Arial" w:hAnsi="Arial"/>
          <w:sz w:val="22"/>
          <w:szCs w:val="22"/>
        </w:rPr>
        <w:t xml:space="preserve">Mariette X &amp; Criswell LA (2018). Primary Sjögren's syndrome. New England Journal of Medicine.</w:t>
      </w:r>
    </w:p>
    <w:p>
      <w:pPr>
        <w:spacing w:after="60" w:before="60"/>
      </w:pPr>
      <w:r>
        <w:rPr>
          <w:rFonts w:ascii="Arial" w:cs="Arial" w:eastAsia="Arial" w:hAnsi="Arial"/>
          <w:sz w:val="22"/>
          <w:szCs w:val="22"/>
        </w:rPr>
        <w:t xml:space="preserve">Human Phenotype Ontology (HPO). monarch-initiative.org/phenotype.</w:t>
      </w:r>
    </w:p>
    <w:p>
      <w:pPr>
        <w:spacing w:after="0" w:before="80"/>
      </w:pPr>
    </w:p>
    <w:p>
      <w:pPr>
        <w:jc w:val="center"/>
      </w:pPr>
      <w:r>
        <w:rPr>
          <w:rFonts w:ascii="Arial" w:cs="Arial" w:eastAsia="Arial" w:hAnsi="Arial"/>
          <w:color w:val="AAAAAA"/>
          <w:sz w:val="18"/>
          <w:szCs w:val="18"/>
        </w:rPr>
        <w:t xml:space="preserve">MediRare | Biomedical Domain | Sabrina Li | AISC San Diego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2026-05-28T01:43:58.217Z</dcterms:created>
  <dcterms:modified xsi:type="dcterms:W3CDTF">2026-05-28T01:43:58.217Z</dcterms:modified>
</cp:coreProperties>
</file>

<file path=docProps/custom.xml><?xml version="1.0" encoding="utf-8"?>
<Properties xmlns="http://schemas.openxmlformats.org/officeDocument/2006/custom-properties" xmlns:vt="http://schemas.openxmlformats.org/officeDocument/2006/docPropsVTypes"/>
</file>