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460B6C">
      <w:pPr>
        <w:spacing w:line="360" w:lineRule="auto"/>
        <w:jc w:val="center"/>
        <w:rPr>
          <w:rFonts w:hint="default" w:ascii="Times New Roman" w:hAnsi="Times New Roman" w:cs="Times New Roman"/>
          <w:b/>
          <w:bCs/>
          <w:sz w:val="34"/>
          <w:szCs w:val="34"/>
        </w:rPr>
      </w:pPr>
      <w:r>
        <w:rPr>
          <w:rFonts w:hint="default" w:ascii="Times New Roman" w:hAnsi="Times New Roman" w:cs="Times New Roman"/>
          <w:b/>
          <w:bCs/>
          <w:sz w:val="34"/>
          <w:szCs w:val="34"/>
          <w:rtl w:val="0"/>
        </w:rPr>
        <w:t xml:space="preserve"> SIMATS ENGINEERING</w:t>
      </w:r>
    </w:p>
    <w:p w14:paraId="76F32C8E">
      <w:pPr>
        <w:spacing w:line="360" w:lineRule="auto"/>
        <w:jc w:val="center"/>
        <w:rPr>
          <w:rFonts w:hint="default" w:ascii="Times New Roman" w:hAnsi="Times New Roman" w:cs="Times New Roman"/>
          <w:b/>
          <w:bCs/>
          <w:sz w:val="28"/>
          <w:szCs w:val="28"/>
        </w:rPr>
      </w:pPr>
      <w:bookmarkStart w:id="0" w:name="_heading=h.aed08ur8k5is" w:colFirst="0" w:colLast="0"/>
      <w:bookmarkEnd w:id="0"/>
      <w:r>
        <w:rPr>
          <w:rFonts w:hint="default" w:ascii="Times New Roman" w:hAnsi="Times New Roman" w:cs="Times New Roman"/>
          <w:b/>
          <w:bCs/>
          <w:sz w:val="28"/>
          <w:szCs w:val="28"/>
          <w:rtl w:val="0"/>
        </w:rPr>
        <w:t>ASSESSMENT TOOL 1</w:t>
      </w:r>
    </w:p>
    <w:p w14:paraId="580CB5C3">
      <w:pPr>
        <w:spacing w:line="360" w:lineRule="auto"/>
        <w:jc w:val="center"/>
        <w:rPr>
          <w:rFonts w:hint="default" w:ascii="Times New Roman" w:hAnsi="Times New Roman" w:cs="Times New Roman"/>
          <w:b/>
          <w:bCs/>
          <w:sz w:val="34"/>
          <w:szCs w:val="34"/>
        </w:rPr>
      </w:pPr>
    </w:p>
    <w:p w14:paraId="0DA48B92">
      <w:pPr>
        <w:spacing w:line="360" w:lineRule="auto"/>
        <w:rPr>
          <w:rFonts w:hint="default" w:ascii="Times New Roman" w:hAnsi="Times New Roman" w:eastAsia="Arial" w:cs="Times New Roman"/>
          <w:b/>
          <w:bCs/>
        </w:rPr>
      </w:pPr>
      <w:r>
        <w:rPr>
          <w:rFonts w:hint="default" w:ascii="Times New Roman" w:hAnsi="Times New Roman" w:eastAsia="Arial" w:cs="Times New Roman"/>
          <w:b/>
          <w:bCs/>
          <w:rtl w:val="0"/>
        </w:rPr>
        <w:t>COURSE NAME:</w:t>
      </w:r>
      <w:r>
        <w:rPr>
          <w:rFonts w:hint="default" w:ascii="Times New Roman" w:hAnsi="Times New Roman" w:eastAsia="Arial" w:cs="Times New Roman"/>
          <w:rtl w:val="0"/>
        </w:rPr>
        <w:t xml:space="preserve"> </w:t>
      </w:r>
      <w:r>
        <w:rPr>
          <w:rFonts w:hint="default" w:ascii="Times New Roman" w:hAnsi="Times New Roman" w:eastAsia="Arial" w:cs="Times New Roman"/>
          <w:b/>
          <w:bCs/>
          <w:rtl w:val="0"/>
        </w:rPr>
        <w:t>Ethical Hacking</w:t>
      </w:r>
      <w:r>
        <w:rPr>
          <w:rFonts w:hint="default" w:ascii="Times New Roman" w:hAnsi="Times New Roman" w:eastAsia="Arial" w:cs="Times New Roman"/>
          <w:b/>
          <w:bCs/>
          <w:rtl w:val="0"/>
        </w:rPr>
        <w:tab/>
      </w:r>
      <w:r>
        <w:rPr>
          <w:rFonts w:hint="default" w:ascii="Times New Roman" w:hAnsi="Times New Roman" w:eastAsia="Arial" w:cs="Times New Roman"/>
          <w:b/>
          <w:bCs/>
          <w:rtl w:val="0"/>
        </w:rPr>
        <w:t xml:space="preserve">                                                  COURSE CODE: ITA14 </w:t>
      </w:r>
      <w:r>
        <w:rPr>
          <w:rFonts w:hint="default" w:ascii="Times New Roman" w:hAnsi="Times New Roman" w:eastAsia="Arial" w:cs="Times New Roman"/>
          <w:b/>
          <w:bCs/>
          <w:rtl w:val="0"/>
        </w:rPr>
        <w:tab/>
      </w:r>
      <w:r>
        <w:rPr>
          <w:rFonts w:hint="default" w:ascii="Times New Roman" w:hAnsi="Times New Roman" w:eastAsia="Arial" w:cs="Times New Roman"/>
          <w:b/>
          <w:bCs/>
          <w:rtl w:val="0"/>
        </w:rPr>
        <w:tab/>
      </w:r>
      <w:r>
        <w:rPr>
          <w:rFonts w:hint="default" w:ascii="Times New Roman" w:hAnsi="Times New Roman" w:eastAsia="Arial" w:cs="Times New Roman"/>
          <w:b/>
          <w:bCs/>
          <w:rtl w:val="0"/>
        </w:rPr>
        <w:tab/>
      </w:r>
    </w:p>
    <w:p w14:paraId="355A5AC8">
      <w:pPr>
        <w:spacing w:line="360" w:lineRule="auto"/>
        <w:rPr>
          <w:rFonts w:hint="default" w:ascii="Times New Roman" w:hAnsi="Times New Roman" w:eastAsia="Arial" w:cs="Times New Roman"/>
          <w:b/>
          <w:bCs/>
        </w:rPr>
      </w:pPr>
      <w:r>
        <w:rPr>
          <w:rFonts w:hint="default" w:ascii="Times New Roman" w:hAnsi="Times New Roman" w:eastAsia="Arial" w:cs="Times New Roman"/>
          <w:sz w:val="22"/>
          <w:szCs w:val="22"/>
        </w:rPr>
        <mc:AlternateContent>
          <mc:Choice Requires="wps">
            <w:drawing>
              <wp:inline distT="0" distB="0" distL="114300" distR="114300">
                <wp:extent cx="6559550" cy="57785"/>
                <wp:effectExtent l="6350" t="6350" r="17780" b="12065"/>
                <wp:docPr id="2" name="Rectangle 2"/>
                <wp:cNvGraphicFramePr/>
                <a:graphic xmlns:a="http://schemas.openxmlformats.org/drawingml/2006/main">
                  <a:graphicData uri="http://schemas.microsoft.com/office/word/2010/wordprocessingShape">
                    <wps:wsp>
                      <wps:cNvSpPr/>
                      <wps:spPr>
                        <a:xfrm>
                          <a:off x="2072575" y="3757141"/>
                          <a:ext cx="6546850" cy="45719"/>
                        </a:xfrm>
                        <a:prstGeom prst="rect">
                          <a:avLst/>
                        </a:prstGeom>
                        <a:noFill/>
                        <a:ln w="12700" cap="flat" cmpd="sng">
                          <a:solidFill>
                            <a:srgbClr val="000000"/>
                          </a:solidFill>
                          <a:prstDash val="solid"/>
                          <a:round/>
                          <a:headEnd type="none" w="sm" len="sm"/>
                          <a:tailEnd type="none" w="sm" len="sm"/>
                        </a:ln>
                      </wps:spPr>
                      <wps:txbx>
                        <w:txbxContent>
                          <w:p w14:paraId="70EB0725">
                            <w:pPr>
                              <w:spacing w:before="0" w:after="0" w:line="240" w:lineRule="auto"/>
                              <w:ind w:left="0" w:right="0" w:firstLine="0"/>
                              <w:jc w:val="left"/>
                            </w:pPr>
                          </w:p>
                        </w:txbxContent>
                      </wps:txbx>
                      <wps:bodyPr spcFirstLastPara="1" wrap="square" lIns="91425" tIns="91425" rIns="91425" bIns="91425" anchor="ctr" anchorCtr="0">
                        <a:noAutofit/>
                      </wps:bodyPr>
                    </wps:wsp>
                  </a:graphicData>
                </a:graphic>
              </wp:inline>
            </w:drawing>
          </mc:Choice>
          <mc:Fallback>
            <w:pict>
              <v:rect id="_x0000_s1026" o:spid="_x0000_s1026" o:spt="1" style="height:4.55pt;width:516.5pt;v-text-anchor:middle;" filled="f" stroked="t" coordsize="21600,21600" o:gfxdata="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aIYMu0wAAAAQBAAAPAAAAAAAAAAEAIAAAACIAAABkcnMvZG93bnJldi54&#10;bWxQSwECFAAUAAAACACHTuJAP0uRPTgCAACLBAAADgAAAAAAAAABACAAAAAiAQAAZHJzL2Uyb0Rv&#10;Yy54bWxQSwUGAAAAAAYABgBZAQAAzAU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70EB0725">
                      <w:pPr>
                        <w:spacing w:before="0" w:after="0" w:line="240" w:lineRule="auto"/>
                        <w:ind w:left="0" w:right="0" w:firstLine="0"/>
                        <w:jc w:val="left"/>
                      </w:pPr>
                    </w:p>
                  </w:txbxContent>
                </v:textbox>
                <w10:wrap type="none"/>
                <w10:anchorlock/>
              </v:rect>
            </w:pict>
          </mc:Fallback>
        </mc:AlternateContent>
      </w:r>
    </w:p>
    <w:p w14:paraId="7C698D11">
      <w:pPr>
        <w:spacing w:line="360" w:lineRule="auto"/>
        <w:rPr>
          <w:rFonts w:hint="default" w:ascii="Times New Roman" w:hAnsi="Times New Roman" w:eastAsia="Arial" w:cs="Times New Roman"/>
          <w:b/>
          <w:bCs/>
        </w:rPr>
      </w:pPr>
    </w:p>
    <w:p w14:paraId="40AD0157">
      <w:pPr>
        <w:spacing w:line="360" w:lineRule="auto"/>
        <w:rPr>
          <w:rFonts w:hint="default" w:ascii="Times New Roman" w:hAnsi="Times New Roman" w:eastAsia="Arial" w:cs="Times New Roman"/>
          <w:b/>
          <w:bCs/>
        </w:rPr>
      </w:pPr>
      <w:r>
        <w:rPr>
          <w:rFonts w:hint="default" w:ascii="Times New Roman" w:hAnsi="Times New Roman" w:eastAsia="Arial" w:cs="Times New Roman"/>
          <w:b/>
          <w:bCs/>
          <w:rtl w:val="0"/>
        </w:rPr>
        <w:t>COURSE OUTCOME COVERED</w:t>
      </w:r>
    </w:p>
    <w:p w14:paraId="0CEB9721">
      <w:pPr>
        <w:spacing w:line="360" w:lineRule="auto"/>
        <w:rPr>
          <w:rFonts w:hint="default" w:ascii="Times New Roman" w:hAnsi="Times New Roman" w:eastAsia="Arial" w:cs="Times New Roman"/>
          <w:b/>
          <w:bCs/>
        </w:rPr>
      </w:pPr>
    </w:p>
    <w:p w14:paraId="2E92E2C7">
      <w:pPr>
        <w:pBdr>
          <w:top w:val="none" w:color="auto" w:sz="0" w:space="0"/>
          <w:left w:val="none" w:color="auto" w:sz="0" w:space="0"/>
          <w:bottom w:val="none" w:color="auto" w:sz="0" w:space="0"/>
          <w:right w:val="none" w:color="auto" w:sz="0" w:space="0"/>
          <w:between w:val="none" w:color="auto" w:sz="0" w:space="0"/>
        </w:pBdr>
        <w:spacing w:line="360" w:lineRule="auto"/>
        <w:jc w:val="both"/>
        <w:rPr>
          <w:rFonts w:hint="default" w:ascii="Times New Roman" w:hAnsi="Times New Roman" w:eastAsia="Arial" w:cs="Times New Roman"/>
          <w:b/>
          <w:bCs/>
          <w:color w:val="000000"/>
        </w:rPr>
      </w:pPr>
      <w:r>
        <w:rPr>
          <w:rFonts w:hint="default" w:ascii="Times New Roman" w:hAnsi="Times New Roman" w:cs="Times New Roman"/>
          <w:b/>
          <w:bCs/>
          <w:color w:val="000000"/>
          <w:rtl w:val="0"/>
        </w:rPr>
        <w:t xml:space="preserve">CO2: </w:t>
      </w:r>
      <w:r>
        <w:rPr>
          <w:rFonts w:hint="default" w:ascii="Times New Roman" w:hAnsi="Times New Roman" w:cs="Times New Roman"/>
          <w:rtl w:val="0"/>
        </w:rPr>
        <w:t>Execute footprinting in social engineering such as DNS analysis, competitive intelligence gathering, and attack simulations to collect relevant information for identifying potential security risks.</w:t>
      </w:r>
    </w:p>
    <w:p w14:paraId="1C359C21">
      <w:pPr>
        <w:pBdr>
          <w:top w:val="none" w:color="auto" w:sz="0" w:space="0"/>
          <w:left w:val="none" w:color="auto" w:sz="0" w:space="0"/>
          <w:bottom w:val="none" w:color="auto" w:sz="0" w:space="0"/>
          <w:right w:val="none" w:color="auto" w:sz="0" w:space="0"/>
          <w:between w:val="none" w:color="auto" w:sz="0" w:space="0"/>
        </w:pBdr>
        <w:spacing w:line="360" w:lineRule="auto"/>
        <w:jc w:val="both"/>
        <w:rPr>
          <w:rFonts w:hint="default" w:ascii="Times New Roman" w:hAnsi="Times New Roman" w:cs="Times New Roman"/>
          <w:color w:val="000000"/>
        </w:rPr>
      </w:pPr>
      <w:r>
        <w:rPr>
          <w:rFonts w:hint="default" w:ascii="Times New Roman" w:hAnsi="Times New Roman" w:eastAsia="Arial" w:cs="Times New Roman"/>
          <w:b/>
          <w:bCs/>
          <w:color w:val="000000"/>
          <w:rtl w:val="0"/>
        </w:rPr>
        <w:tab/>
      </w:r>
      <w:r>
        <w:rPr>
          <w:rFonts w:hint="default" w:ascii="Times New Roman" w:hAnsi="Times New Roman" w:eastAsia="Arial" w:cs="Times New Roman"/>
          <w:b/>
          <w:bCs/>
          <w:color w:val="000000"/>
          <w:rtl w:val="0"/>
        </w:rPr>
        <w:tab/>
      </w:r>
    </w:p>
    <w:p w14:paraId="7608C678">
      <w:pPr>
        <w:spacing w:line="360" w:lineRule="auto"/>
        <w:rPr>
          <w:rFonts w:hint="default" w:ascii="Times New Roman" w:hAnsi="Times New Roman" w:eastAsia="Arial" w:cs="Times New Roman"/>
          <w:i/>
          <w:iCs/>
        </w:rPr>
      </w:pPr>
      <w:r>
        <w:rPr>
          <w:rFonts w:hint="default" w:ascii="Times New Roman" w:hAnsi="Times New Roman" w:eastAsia="Arial" w:cs="Times New Roman"/>
          <w:i/>
          <w:iCs/>
          <w:rtl w:val="0"/>
        </w:rPr>
        <w:t>Assessment Tool Weightage: 30%</w:t>
      </w:r>
    </w:p>
    <w:p w14:paraId="19BA3A09">
      <w:pPr>
        <w:spacing w:line="360" w:lineRule="auto"/>
        <w:rPr>
          <w:rFonts w:hint="default" w:ascii="Times New Roman" w:hAnsi="Times New Roman" w:cs="Times New Roman"/>
          <w:b/>
          <w:bCs/>
          <w:color w:val="000000"/>
        </w:rPr>
      </w:pPr>
    </w:p>
    <w:p w14:paraId="184255F3">
      <w:pPr>
        <w:spacing w:line="360" w:lineRule="auto"/>
        <w:rPr>
          <w:rFonts w:hint="default" w:ascii="Times New Roman" w:hAnsi="Times New Roman" w:cs="Times New Roman"/>
          <w:b/>
          <w:bCs/>
          <w:color w:val="000000"/>
        </w:rPr>
      </w:pPr>
      <w:r>
        <w:rPr>
          <w:rFonts w:hint="default" w:ascii="Times New Roman" w:hAnsi="Times New Roman" w:cs="Times New Roman"/>
          <w:b/>
          <w:bCs/>
          <w:color w:val="000000"/>
          <w:rtl w:val="0"/>
        </w:rPr>
        <w:t>Duration: 90 min                                                                                                 Total Marks: 50</w:t>
      </w:r>
    </w:p>
    <w:p w14:paraId="289AC0D6">
      <w:pPr>
        <w:spacing w:line="360" w:lineRule="auto"/>
        <w:rPr>
          <w:rFonts w:hint="default" w:ascii="Times New Roman" w:hAnsi="Times New Roman" w:eastAsia="Arial" w:cs="Times New Roman"/>
        </w:rPr>
      </w:pPr>
      <w:r>
        <w:rPr>
          <w:rFonts w:hint="default" w:ascii="Times New Roman" w:hAnsi="Times New Roman" w:cs="Times New Roman"/>
          <w:sz w:val="22"/>
          <w:szCs w:val="22"/>
        </w:rPr>
        <mc:AlternateContent>
          <mc:Choice Requires="wps">
            <w:drawing>
              <wp:inline distT="0" distB="0" distL="114300" distR="114300">
                <wp:extent cx="6502400" cy="57785"/>
                <wp:effectExtent l="6350" t="6350" r="13970" b="12065"/>
                <wp:docPr id="1" name="Rectangle 1"/>
                <wp:cNvGraphicFramePr/>
                <a:graphic xmlns:a="http://schemas.openxmlformats.org/drawingml/2006/main">
                  <a:graphicData uri="http://schemas.microsoft.com/office/word/2010/wordprocessingShape">
                    <wps:wsp>
                      <wps:cNvSpPr/>
                      <wps:spPr>
                        <a:xfrm>
                          <a:off x="2101150" y="3757141"/>
                          <a:ext cx="6489700" cy="45719"/>
                        </a:xfrm>
                        <a:prstGeom prst="rect">
                          <a:avLst/>
                        </a:prstGeom>
                        <a:noFill/>
                        <a:ln w="12700" cap="flat" cmpd="sng">
                          <a:solidFill>
                            <a:srgbClr val="000000"/>
                          </a:solidFill>
                          <a:prstDash val="solid"/>
                          <a:round/>
                          <a:headEnd type="none" w="sm" len="sm"/>
                          <a:tailEnd type="none" w="sm" len="sm"/>
                        </a:ln>
                      </wps:spPr>
                      <wps:txbx>
                        <w:txbxContent>
                          <w:p w14:paraId="6F59B7CF">
                            <w:pPr>
                              <w:spacing w:before="0" w:after="0" w:line="240" w:lineRule="auto"/>
                              <w:ind w:left="0" w:right="0" w:firstLine="0"/>
                              <w:jc w:val="left"/>
                            </w:pPr>
                          </w:p>
                        </w:txbxContent>
                      </wps:txbx>
                      <wps:bodyPr spcFirstLastPara="1" wrap="square" lIns="91425" tIns="91425" rIns="91425" bIns="91425" anchor="ctr" anchorCtr="0">
                        <a:noAutofit/>
                      </wps:bodyPr>
                    </wps:wsp>
                  </a:graphicData>
                </a:graphic>
              </wp:inline>
            </w:drawing>
          </mc:Choice>
          <mc:Fallback>
            <w:pict>
              <v:rect id="_x0000_s1026" o:spid="_x0000_s1026" o:spt="1" style="height:4.55pt;width:512pt;v-text-anchor:middle;" filled="f" stroked="t" coordsize="21600,21600" o:gfxdata="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EGa4/3TAAAABAEAAA8AAAAAAAAAAQAgAAAAIgAAAGRycy9kb3ducmV2Lnht&#10;bFBLAQIUABQAAAAIAIdO4kDkOopuNwIAAIsEAAAOAAAAAAAAAAEAIAAAACIBAABkcnMvZTJvRG9j&#10;LnhtbFBLBQYAAAAABgAGAFkBAADLBQ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6F59B7CF">
                      <w:pPr>
                        <w:spacing w:before="0" w:after="0" w:line="240" w:lineRule="auto"/>
                        <w:ind w:left="0" w:right="0" w:firstLine="0"/>
                        <w:jc w:val="left"/>
                      </w:pPr>
                    </w:p>
                  </w:txbxContent>
                </v:textbox>
                <w10:wrap type="none"/>
                <w10:anchorlock/>
              </v:rect>
            </w:pict>
          </mc:Fallback>
        </mc:AlternateContent>
      </w:r>
    </w:p>
    <w:p w14:paraId="483B8DFA">
      <w:pPr>
        <w:spacing w:line="360" w:lineRule="auto"/>
        <w:ind w:left="1440" w:firstLine="720"/>
        <w:jc w:val="both"/>
        <w:rPr>
          <w:rFonts w:hint="default" w:ascii="Times New Roman" w:hAnsi="Times New Roman" w:eastAsia="Arial" w:cs="Times New Roman"/>
        </w:rPr>
      </w:pPr>
    </w:p>
    <w:p w14:paraId="1834DD57">
      <w:pPr>
        <w:spacing w:line="360" w:lineRule="auto"/>
        <w:jc w:val="center"/>
        <w:rPr>
          <w:rFonts w:hint="default" w:ascii="Times New Roman" w:hAnsi="Times New Roman" w:cs="Times New Roman"/>
          <w:b/>
          <w:bCs/>
          <w:sz w:val="36"/>
          <w:szCs w:val="36"/>
        </w:rPr>
      </w:pPr>
      <w:r>
        <w:rPr>
          <w:rFonts w:hint="default" w:ascii="Times New Roman" w:hAnsi="Times New Roman" w:cs="Times New Roman"/>
          <w:b/>
          <w:bCs/>
          <w:sz w:val="32"/>
          <w:szCs w:val="32"/>
          <w:rtl w:val="0"/>
        </w:rPr>
        <w:t>Report Analysis</w:t>
      </w:r>
    </w:p>
    <w:p w14:paraId="716F8EF6">
      <w:pPr>
        <w:spacing w:line="360" w:lineRule="auto"/>
        <w:rPr>
          <w:rFonts w:hint="default" w:ascii="Times New Roman" w:hAnsi="Times New Roman" w:cs="Times New Roman"/>
          <w:b/>
          <w:bCs/>
        </w:rPr>
      </w:pPr>
      <w:r>
        <w:rPr>
          <w:rFonts w:hint="default" w:ascii="Times New Roman" w:hAnsi="Times New Roman" w:cs="Times New Roman"/>
          <w:b/>
          <w:bCs/>
          <w:rtl w:val="0"/>
        </w:rPr>
        <w:t xml:space="preserve">                                                                            Questions</w:t>
      </w:r>
    </w:p>
    <w:p w14:paraId="39D1553E">
      <w:pPr>
        <w:spacing w:line="360" w:lineRule="auto"/>
        <w:rPr>
          <w:rFonts w:hint="default" w:ascii="Times New Roman" w:hAnsi="Times New Roman" w:cs="Times New Roman"/>
          <w:b/>
          <w:bCs/>
        </w:rPr>
      </w:pPr>
      <w:r>
        <w:rPr>
          <w:rFonts w:hint="default" w:ascii="Times New Roman" w:hAnsi="Times New Roman" w:cs="Times New Roman"/>
          <w:b/>
          <w:bCs/>
          <w:rtl w:val="0"/>
        </w:rPr>
        <w:t xml:space="preserve">                                                                                  </w:t>
      </w:r>
    </w:p>
    <w:p w14:paraId="5CA2A2E9">
      <w:pPr>
        <w:spacing w:line="360" w:lineRule="auto"/>
        <w:rPr>
          <w:rFonts w:hint="default" w:ascii="Times New Roman" w:hAnsi="Times New Roman" w:cs="Times New Roman"/>
        </w:rPr>
      </w:pPr>
    </w:p>
    <w:p w14:paraId="699D58C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both"/>
        <w:rPr>
          <w:rFonts w:hint="default" w:ascii="Times New Roman" w:hAnsi="Times New Roman" w:eastAsia="Times New Roman" w:cs="Times New Roman"/>
          <w:b/>
          <w:bCs/>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 security analyst performed a network scan on the target 192.168.1.10 using the Nmap tool. The report identified several open ports, including HTTP (80), SSH (22), and MySQL (3306), along with the operating system and service versions. Analyze the report and explain the security risks associated with the identified services. Discuss how an attacker could exploit these services and recommend suitable security measures to protect the target system.</w:t>
      </w: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 (20 Marks)</w:t>
      </w:r>
    </w:p>
    <w:p w14:paraId="5837F9D0">
      <w:pPr>
        <w:spacing w:line="360" w:lineRule="auto"/>
        <w:jc w:val="both"/>
        <w:rPr>
          <w:rFonts w:hint="default" w:ascii="Times New Roman" w:hAnsi="Times New Roman" w:cs="Times New Roman"/>
          <w:b/>
          <w:bCs/>
        </w:rPr>
      </w:pPr>
    </w:p>
    <w:p w14:paraId="12FF6C9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 phishing awareness campaign was conducted for employees of ABC Technologies Pvt. Ltd. using the GoPhish tool. The report indicates that 40% of employees clicked the phishing link, 20% entered their login credentials, and several users downloaded a malicious attachment. Analyze the report and identify the security weaknesses demonstrated by the employees. Recommend suitable user awareness programs, email security controls, and organizational policies to reduce the risk of successful social engineering attacks.(</w:t>
      </w: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rPr>
        <w:t>20 Mark).</w:t>
      </w:r>
    </w:p>
    <w:p w14:paraId="4534FA1D">
      <w:pPr>
        <w:spacing w:line="360" w:lineRule="auto"/>
        <w:jc w:val="both"/>
        <w:rPr>
          <w:rFonts w:hint="default" w:ascii="Times New Roman" w:hAnsi="Times New Roman" w:cs="Times New Roman"/>
        </w:rPr>
      </w:pPr>
    </w:p>
    <w:p w14:paraId="3C1C7DC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both"/>
        <w:rPr>
          <w:rFonts w:hint="default" w:ascii="Times New Roman" w:hAnsi="Times New Roman" w:eastAsia="Times New Roman" w:cs="Times New Roman"/>
          <w:b/>
          <w:bCs/>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 DNS assessment report generated using the Dig tool shows that the organization's DNS server permits a successful DNS Zone Transfer (AXFR), exposing internal hostnames, mail servers, and DNS records. Analyze the report and explain the security implications of the exposed information. Discuss how attackers could exploit these findings and recommend best practices to secure the DNS infrastructure..</w:t>
      </w: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rPr>
        <w:t>(10 Marks)</w:t>
      </w:r>
    </w:p>
    <w:p w14:paraId="7DD5E91A">
      <w:pPr>
        <w:spacing w:line="360" w:lineRule="auto"/>
        <w:rPr>
          <w:rFonts w:hint="default" w:ascii="Times New Roman" w:hAnsi="Times New Roman" w:cs="Times New Roman"/>
        </w:rPr>
      </w:pPr>
    </w:p>
    <w:p w14:paraId="1B45AD4E">
      <w:pPr>
        <w:spacing w:line="360" w:lineRule="auto"/>
        <w:rPr>
          <w:rFonts w:hint="default" w:ascii="Times New Roman" w:hAnsi="Times New Roman" w:cs="Times New Roman"/>
        </w:rPr>
      </w:pPr>
    </w:p>
    <w:p w14:paraId="27FCD9F6">
      <w:pPr>
        <w:spacing w:line="360" w:lineRule="auto"/>
        <w:rPr>
          <w:rFonts w:hint="default" w:ascii="Times New Roman" w:hAnsi="Times New Roman" w:cs="Times New Roman"/>
        </w:rPr>
      </w:pPr>
      <w:r>
        <w:rPr>
          <w:rFonts w:hint="default" w:ascii="Times New Roman" w:hAnsi="Times New Roman" w:cs="Times New Roman"/>
          <w:b/>
          <w:bCs/>
          <w:i/>
          <w:iCs/>
          <w:rtl w:val="0"/>
        </w:rPr>
        <w:t>Code of Conduct:</w:t>
      </w:r>
    </w:p>
    <w:p w14:paraId="3AFB2437">
      <w:pPr>
        <w:spacing w:line="360" w:lineRule="auto"/>
        <w:rPr>
          <w:rFonts w:hint="default" w:ascii="Times New Roman" w:hAnsi="Times New Roman" w:cs="Times New Roman"/>
        </w:rPr>
      </w:pPr>
    </w:p>
    <w:p w14:paraId="0A6C54F5">
      <w:pPr>
        <w:spacing w:line="360" w:lineRule="auto"/>
        <w:jc w:val="both"/>
        <w:rPr>
          <w:rFonts w:hint="default" w:ascii="Times New Roman" w:hAnsi="Times New Roman" w:cs="Times New Roman"/>
        </w:rPr>
      </w:pPr>
      <w:r>
        <w:rPr>
          <w:rFonts w:hint="default" w:ascii="Times New Roman" w:hAnsi="Times New Roman" w:cs="Times New Roman"/>
          <w:i/>
          <w:iCs/>
          <w:rtl w:val="0"/>
        </w:rPr>
        <w:t xml:space="preserve">I </w:t>
      </w:r>
      <w:r>
        <w:rPr>
          <w:rFonts w:hint="default" w:ascii="Times New Roman" w:hAnsi="Times New Roman" w:cs="Times New Roman"/>
          <w:b/>
          <w:bCs/>
          <w:i/>
          <w:iCs/>
          <w:u w:val="single"/>
          <w:rtl w:val="0"/>
          <w:lang w:val="en-US"/>
        </w:rPr>
        <w:t>SANJANA 1924260017</w:t>
      </w:r>
      <w:r>
        <w:rPr>
          <w:rFonts w:hint="default" w:ascii="Times New Roman" w:hAnsi="Times New Roman" w:cs="Times New Roman"/>
          <w:i/>
          <w:iCs/>
          <w:rtl w:val="0"/>
        </w:rPr>
        <w:t xml:space="preserve"> (Name / Reg No) certify that this submission is my original work and that I have adhered to the guidelines specified for this assessment.</w:t>
      </w:r>
    </w:p>
    <w:p w14:paraId="0F816272">
      <w:pPr>
        <w:spacing w:line="360" w:lineRule="auto"/>
        <w:jc w:val="both"/>
        <w:rPr>
          <w:rFonts w:hint="default" w:ascii="Times New Roman" w:hAnsi="Times New Roman" w:cs="Times New Roman"/>
        </w:rPr>
      </w:pPr>
      <w:r>
        <w:rPr>
          <w:rFonts w:hint="default" w:ascii="Times New Roman" w:hAnsi="Times New Roman" w:cs="Times New Roman"/>
          <w:i/>
          <w:iCs/>
          <w:rtl w:val="0"/>
        </w:rPr>
        <w:t>I understand that any violation of academic integrity rules will result in disciplinary action.</w:t>
      </w:r>
    </w:p>
    <w:p w14:paraId="06A32D6C">
      <w:pPr>
        <w:spacing w:line="360" w:lineRule="auto"/>
        <w:rPr>
          <w:rFonts w:hint="default" w:ascii="Times New Roman" w:hAnsi="Times New Roman" w:cs="Times New Roman"/>
        </w:rPr>
      </w:pPr>
    </w:p>
    <w:p w14:paraId="22664990">
      <w:pPr>
        <w:spacing w:line="360" w:lineRule="auto"/>
        <w:rPr>
          <w:rFonts w:hint="default" w:ascii="Times New Roman" w:hAnsi="Times New Roman" w:cs="Times New Roman"/>
          <w:lang w:val="en-US"/>
        </w:rPr>
      </w:pPr>
      <w:r>
        <w:rPr>
          <w:rFonts w:hint="default" w:ascii="Times New Roman" w:hAnsi="Times New Roman" w:cs="Times New Roman"/>
          <w:b/>
          <w:bCs/>
          <w:i/>
          <w:iCs/>
          <w:rtl w:val="0"/>
        </w:rPr>
        <w:t>Signature of the student:</w:t>
      </w:r>
    </w:p>
    <w:p w14:paraId="27C3F2CF">
      <w:pPr>
        <w:spacing w:line="360" w:lineRule="auto"/>
        <w:rPr>
          <w:rFonts w:hint="default" w:ascii="Times New Roman" w:hAnsi="Times New Roman" w:cs="Times New Roman"/>
        </w:rPr>
      </w:pPr>
      <w:r>
        <w:rPr>
          <w:rFonts w:hint="default" w:ascii="Times New Roman" w:hAnsi="Times New Roman" w:cs="Times New Roman"/>
          <w:lang w:val="en-US"/>
        </w:rPr>
        <w:drawing>
          <wp:inline distT="0" distB="0" distL="114300" distR="114300">
            <wp:extent cx="667385" cy="531495"/>
            <wp:effectExtent l="0" t="0" r="3175" b="1905"/>
            <wp:docPr id="3" name="Picture 3" descr="Screenshot 2026-10-15 193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10-15 193007"/>
                    <pic:cNvPicPr>
                      <a:picLocks noChangeAspect="1"/>
                    </pic:cNvPicPr>
                  </pic:nvPicPr>
                  <pic:blipFill>
                    <a:blip r:embed="rId6"/>
                    <a:stretch>
                      <a:fillRect/>
                    </a:stretch>
                  </pic:blipFill>
                  <pic:spPr>
                    <a:xfrm>
                      <a:off x="0" y="0"/>
                      <a:ext cx="667385" cy="531495"/>
                    </a:xfrm>
                    <a:prstGeom prst="rect">
                      <a:avLst/>
                    </a:prstGeom>
                  </pic:spPr>
                </pic:pic>
              </a:graphicData>
            </a:graphic>
          </wp:inline>
        </w:drawing>
      </w:r>
      <w:bookmarkStart w:id="1" w:name="_GoBack"/>
      <w:bookmarkEnd w:id="1"/>
    </w:p>
    <w:p w14:paraId="26A053FC">
      <w:pPr>
        <w:spacing w:line="360" w:lineRule="auto"/>
        <w:rPr>
          <w:rFonts w:hint="default" w:ascii="Times New Roman" w:hAnsi="Times New Roman" w:cs="Times New Roman"/>
        </w:rPr>
      </w:pPr>
    </w:p>
    <w:p w14:paraId="1158DA19">
      <w:pPr>
        <w:spacing w:line="360" w:lineRule="auto"/>
        <w:rPr>
          <w:rFonts w:hint="default" w:ascii="Times New Roman" w:hAnsi="Times New Roman" w:eastAsia="Arial" w:cs="Times New Roman"/>
          <w:color w:val="000000"/>
        </w:rPr>
      </w:pPr>
      <w:r>
        <w:rPr>
          <w:rFonts w:hint="default" w:ascii="Times New Roman" w:hAnsi="Times New Roman" w:eastAsia="Arial" w:cs="Times New Roman"/>
          <w:b/>
          <w:bCs/>
          <w:color w:val="000000"/>
          <w:rtl w:val="0"/>
        </w:rPr>
        <w:t>RUBRICS FOR CALCULATION</w:t>
      </w:r>
    </w:p>
    <w:p w14:paraId="59742E6A">
      <w:pPr>
        <w:pBdr>
          <w:top w:val="none" w:color="000000" w:sz="0" w:space="0"/>
          <w:left w:val="none" w:color="000000" w:sz="0" w:space="0"/>
          <w:bottom w:val="none" w:color="000000" w:sz="0" w:space="0"/>
          <w:right w:val="none" w:color="000000" w:sz="0" w:space="0"/>
          <w:between w:val="none" w:color="000000" w:sz="0" w:space="0"/>
        </w:pBdr>
        <w:spacing w:line="360" w:lineRule="auto"/>
        <w:jc w:val="both"/>
        <w:rPr>
          <w:rFonts w:hint="default" w:ascii="Times New Roman" w:hAnsi="Times New Roman" w:eastAsia="Arial" w:cs="Times New Roman"/>
          <w:color w:val="000000"/>
        </w:rPr>
      </w:pPr>
    </w:p>
    <w:tbl>
      <w:tblPr>
        <w:tblStyle w:val="13"/>
        <w:tblW w:w="10179" w:type="dxa"/>
        <w:tblInd w:w="0" w:type="dxa"/>
        <w:tblLayout w:type="fixed"/>
        <w:tblCellMar>
          <w:top w:w="15" w:type="dxa"/>
          <w:left w:w="15" w:type="dxa"/>
          <w:bottom w:w="15" w:type="dxa"/>
          <w:right w:w="15" w:type="dxa"/>
        </w:tblCellMar>
      </w:tblPr>
      <w:tblGrid>
        <w:gridCol w:w="1560"/>
        <w:gridCol w:w="1311"/>
        <w:gridCol w:w="1983"/>
        <w:gridCol w:w="1798"/>
        <w:gridCol w:w="1765"/>
        <w:gridCol w:w="1762"/>
      </w:tblGrid>
      <w:tr w14:paraId="0ECBC1C0">
        <w:tblPrEx>
          <w:tblCellMar>
            <w:top w:w="15" w:type="dxa"/>
            <w:left w:w="15" w:type="dxa"/>
            <w:bottom w:w="15" w:type="dxa"/>
            <w:right w:w="15" w:type="dxa"/>
          </w:tblCellMar>
        </w:tblPrEx>
        <w:trPr>
          <w:trHeight w:val="757" w:hRule="atLeast"/>
        </w:trPr>
        <w:tc>
          <w:tcPr>
            <w:gridSpan w:val="6"/>
            <w:tcBorders>
              <w:top w:val="nil"/>
              <w:left w:val="nil"/>
              <w:bottom w:val="nil"/>
              <w:right w:val="nil"/>
            </w:tcBorders>
            <w:tcMar>
              <w:top w:w="0" w:type="dxa"/>
              <w:left w:w="108" w:type="dxa"/>
              <w:bottom w:w="0" w:type="dxa"/>
              <w:right w:w="108" w:type="dxa"/>
            </w:tcMar>
            <w:vAlign w:val="center"/>
          </w:tcPr>
          <w:p w14:paraId="141515D0">
            <w:pPr>
              <w:spacing w:line="360" w:lineRule="auto"/>
              <w:jc w:val="center"/>
              <w:rPr>
                <w:rFonts w:hint="default" w:ascii="Times New Roman" w:hAnsi="Times New Roman" w:eastAsia="Google Sans" w:cs="Times New Roman"/>
                <w:b/>
                <w:bCs/>
                <w:color w:val="222222"/>
              </w:rPr>
            </w:pPr>
            <w:r>
              <w:rPr>
                <w:rFonts w:hint="default" w:ascii="Times New Roman" w:hAnsi="Times New Roman" w:eastAsia="Google Sans" w:cs="Times New Roman"/>
                <w:b/>
                <w:bCs/>
                <w:color w:val="222222"/>
                <w:rtl w:val="0"/>
              </w:rPr>
              <w:t>Report Analysis</w:t>
            </w:r>
          </w:p>
        </w:tc>
      </w:tr>
      <w:tr w14:paraId="2DE5C9FD">
        <w:tblPrEx>
          <w:tblCellMar>
            <w:top w:w="15" w:type="dxa"/>
            <w:left w:w="15" w:type="dxa"/>
            <w:bottom w:w="15" w:type="dxa"/>
            <w:right w:w="15" w:type="dxa"/>
          </w:tblCellMar>
        </w:tblPrEx>
        <w:trPr>
          <w:trHeight w:val="529" w:hRule="atLeast"/>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A5C682B">
            <w:pPr>
              <w:spacing w:line="360" w:lineRule="auto"/>
              <w:jc w:val="center"/>
              <w:rPr>
                <w:rFonts w:hint="default" w:ascii="Times New Roman" w:hAnsi="Times New Roman" w:eastAsia="Arial" w:cs="Times New Roman"/>
                <w:b/>
                <w:bCs/>
                <w:color w:val="000000"/>
                <w:sz w:val="20"/>
                <w:szCs w:val="20"/>
              </w:rPr>
            </w:pPr>
            <w:r>
              <w:rPr>
                <w:rFonts w:hint="default" w:ascii="Times New Roman" w:hAnsi="Times New Roman" w:eastAsia="Arial" w:cs="Times New Roman"/>
                <w:b/>
                <w:bCs/>
                <w:color w:val="000000"/>
                <w:sz w:val="20"/>
                <w:szCs w:val="20"/>
                <w:rtl w:val="0"/>
              </w:rPr>
              <w:t>Criteria</w:t>
            </w:r>
          </w:p>
        </w:tc>
        <w:tc>
          <w:tcPr>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14:paraId="4B8EDCCF">
            <w:pPr>
              <w:spacing w:line="360" w:lineRule="auto"/>
              <w:jc w:val="center"/>
              <w:rPr>
                <w:rFonts w:hint="default" w:ascii="Times New Roman" w:hAnsi="Times New Roman" w:eastAsia="Arial" w:cs="Times New Roman"/>
                <w:b/>
                <w:bCs/>
                <w:color w:val="000000"/>
                <w:sz w:val="20"/>
                <w:szCs w:val="20"/>
              </w:rPr>
            </w:pPr>
            <w:r>
              <w:rPr>
                <w:rFonts w:hint="default" w:ascii="Times New Roman" w:hAnsi="Times New Roman" w:eastAsia="Arial" w:cs="Times New Roman"/>
                <w:b/>
                <w:bCs/>
                <w:color w:val="000000"/>
                <w:sz w:val="20"/>
                <w:szCs w:val="20"/>
                <w:rtl w:val="0"/>
              </w:rPr>
              <w:t>Weightage (%)</w:t>
            </w:r>
          </w:p>
        </w:tc>
        <w:tc>
          <w:tcPr>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14:paraId="2ACD77CE">
            <w:pPr>
              <w:spacing w:line="360" w:lineRule="auto"/>
              <w:jc w:val="center"/>
              <w:rPr>
                <w:rFonts w:hint="default" w:ascii="Times New Roman" w:hAnsi="Times New Roman" w:eastAsia="Arial" w:cs="Times New Roman"/>
                <w:b/>
                <w:bCs/>
                <w:color w:val="000000"/>
                <w:sz w:val="20"/>
                <w:szCs w:val="20"/>
              </w:rPr>
            </w:pPr>
            <w:r>
              <w:rPr>
                <w:rFonts w:hint="default" w:ascii="Times New Roman" w:hAnsi="Times New Roman" w:eastAsia="Arial" w:cs="Times New Roman"/>
                <w:b/>
                <w:bCs/>
                <w:color w:val="000000"/>
                <w:sz w:val="20"/>
                <w:szCs w:val="20"/>
                <w:rtl w:val="0"/>
              </w:rPr>
              <w:t>Level 4 (Exemplary)</w:t>
            </w:r>
          </w:p>
        </w:tc>
        <w:tc>
          <w:tcPr>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14:paraId="3A6568F1">
            <w:pPr>
              <w:spacing w:line="360" w:lineRule="auto"/>
              <w:jc w:val="center"/>
              <w:rPr>
                <w:rFonts w:hint="default" w:ascii="Times New Roman" w:hAnsi="Times New Roman" w:eastAsia="Arial" w:cs="Times New Roman"/>
                <w:b/>
                <w:bCs/>
                <w:color w:val="000000"/>
                <w:sz w:val="20"/>
                <w:szCs w:val="20"/>
              </w:rPr>
            </w:pPr>
            <w:r>
              <w:rPr>
                <w:rFonts w:hint="default" w:ascii="Times New Roman" w:hAnsi="Times New Roman" w:eastAsia="Arial" w:cs="Times New Roman"/>
                <w:b/>
                <w:bCs/>
                <w:color w:val="000000"/>
                <w:sz w:val="20"/>
                <w:szCs w:val="20"/>
                <w:rtl w:val="0"/>
              </w:rPr>
              <w:t>Level 3 (Proficient)</w:t>
            </w:r>
          </w:p>
        </w:tc>
        <w:tc>
          <w:tcPr>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14:paraId="17E9BB1A">
            <w:pPr>
              <w:spacing w:line="360" w:lineRule="auto"/>
              <w:jc w:val="center"/>
              <w:rPr>
                <w:rFonts w:hint="default" w:ascii="Times New Roman" w:hAnsi="Times New Roman" w:eastAsia="Arial" w:cs="Times New Roman"/>
                <w:b/>
                <w:bCs/>
                <w:color w:val="000000"/>
                <w:sz w:val="20"/>
                <w:szCs w:val="20"/>
              </w:rPr>
            </w:pPr>
            <w:r>
              <w:rPr>
                <w:rFonts w:hint="default" w:ascii="Times New Roman" w:hAnsi="Times New Roman" w:eastAsia="Arial" w:cs="Times New Roman"/>
                <w:b/>
                <w:bCs/>
                <w:color w:val="000000"/>
                <w:sz w:val="20"/>
                <w:szCs w:val="20"/>
                <w:rtl w:val="0"/>
              </w:rPr>
              <w:t>Level 2 (Developing)</w:t>
            </w:r>
          </w:p>
        </w:tc>
        <w:tc>
          <w:tcPr>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14:paraId="7DE98EAC">
            <w:pPr>
              <w:spacing w:line="360" w:lineRule="auto"/>
              <w:jc w:val="center"/>
              <w:rPr>
                <w:rFonts w:hint="default" w:ascii="Times New Roman" w:hAnsi="Times New Roman" w:eastAsia="Arial" w:cs="Times New Roman"/>
                <w:b/>
                <w:bCs/>
                <w:color w:val="000000"/>
                <w:sz w:val="20"/>
                <w:szCs w:val="20"/>
              </w:rPr>
            </w:pPr>
            <w:r>
              <w:rPr>
                <w:rFonts w:hint="default" w:ascii="Times New Roman" w:hAnsi="Times New Roman" w:eastAsia="Arial" w:cs="Times New Roman"/>
                <w:b/>
                <w:bCs/>
                <w:color w:val="000000"/>
                <w:sz w:val="20"/>
                <w:szCs w:val="20"/>
                <w:rtl w:val="0"/>
              </w:rPr>
              <w:t>Level 1 (Beginning)</w:t>
            </w:r>
          </w:p>
        </w:tc>
      </w:tr>
      <w:tr w14:paraId="5C4E0C04">
        <w:tblPrEx>
          <w:tblCellMar>
            <w:top w:w="15" w:type="dxa"/>
            <w:left w:w="15" w:type="dxa"/>
            <w:bottom w:w="15" w:type="dxa"/>
            <w:right w:w="15" w:type="dxa"/>
          </w:tblCellMar>
        </w:tblPrEx>
        <w:trPr>
          <w:trHeight w:val="832" w:hRule="atLeast"/>
        </w:trPr>
        <w:tc>
          <w:tcPr>
            <w:tcBorders>
              <w:top w:val="nil"/>
              <w:left w:val="single" w:color="000000" w:sz="4" w:space="0"/>
              <w:bottom w:val="single" w:color="000000" w:sz="4" w:space="0"/>
              <w:right w:val="single" w:color="000000" w:sz="4" w:space="0"/>
            </w:tcBorders>
            <w:tcMar>
              <w:top w:w="0" w:type="dxa"/>
              <w:left w:w="108" w:type="dxa"/>
              <w:bottom w:w="0" w:type="dxa"/>
              <w:right w:w="108" w:type="dxa"/>
            </w:tcMar>
            <w:vAlign w:val="center"/>
          </w:tcPr>
          <w:p w14:paraId="70A8EC19">
            <w:pPr>
              <w:spacing w:line="360" w:lineRule="auto"/>
              <w:jc w:val="center"/>
              <w:rPr>
                <w:rFonts w:hint="default" w:ascii="Times New Roman" w:hAnsi="Times New Roman" w:eastAsia="Arial" w:cs="Times New Roman"/>
                <w:color w:val="000000"/>
                <w:sz w:val="20"/>
                <w:szCs w:val="20"/>
              </w:rPr>
            </w:pPr>
            <w:r>
              <w:rPr>
                <w:rFonts w:hint="default" w:ascii="Times New Roman" w:hAnsi="Times New Roman" w:eastAsia="Arial" w:cs="Times New Roman"/>
                <w:color w:val="000000"/>
                <w:sz w:val="20"/>
                <w:szCs w:val="20"/>
                <w:rtl w:val="0"/>
              </w:rPr>
              <w:t>Report Analysis and Interpretation</w:t>
            </w:r>
          </w:p>
        </w:tc>
        <w:tc>
          <w:tcPr>
            <w:tcBorders>
              <w:top w:val="nil"/>
              <w:left w:val="nil"/>
              <w:bottom w:val="single" w:color="000000" w:sz="4" w:space="0"/>
              <w:right w:val="single" w:color="000000" w:sz="4" w:space="0"/>
            </w:tcBorders>
            <w:tcMar>
              <w:top w:w="0" w:type="dxa"/>
              <w:left w:w="108" w:type="dxa"/>
              <w:bottom w:w="0" w:type="dxa"/>
              <w:right w:w="108" w:type="dxa"/>
            </w:tcMar>
          </w:tcPr>
          <w:p w14:paraId="05B1ECB1">
            <w:pPr>
              <w:spacing w:line="360" w:lineRule="auto"/>
              <w:jc w:val="center"/>
              <w:rPr>
                <w:rFonts w:hint="default" w:ascii="Times New Roman" w:hAnsi="Times New Roman" w:eastAsia="Arial" w:cs="Times New Roman"/>
                <w:color w:val="000000"/>
                <w:sz w:val="20"/>
                <w:szCs w:val="20"/>
              </w:rPr>
            </w:pPr>
            <w:r>
              <w:rPr>
                <w:rFonts w:hint="default" w:ascii="Times New Roman" w:hAnsi="Times New Roman" w:cs="Times New Roman"/>
                <w:rtl w:val="0"/>
              </w:rPr>
              <w:t>25%</w:t>
            </w:r>
          </w:p>
        </w:tc>
        <w:tc>
          <w:tcPr>
            <w:tcBorders>
              <w:top w:val="nil"/>
              <w:left w:val="nil"/>
              <w:bottom w:val="single" w:color="000000" w:sz="4" w:space="0"/>
              <w:right w:val="single" w:color="000000" w:sz="4" w:space="0"/>
            </w:tcBorders>
            <w:tcMar>
              <w:top w:w="0" w:type="dxa"/>
              <w:left w:w="108" w:type="dxa"/>
              <w:bottom w:w="0" w:type="dxa"/>
              <w:right w:w="108" w:type="dxa"/>
            </w:tcMar>
          </w:tcPr>
          <w:p w14:paraId="44A37F78">
            <w:pPr>
              <w:spacing w:line="360" w:lineRule="auto"/>
              <w:jc w:val="center"/>
              <w:rPr>
                <w:rFonts w:hint="default" w:ascii="Times New Roman" w:hAnsi="Times New Roman" w:eastAsia="Arial" w:cs="Times New Roman"/>
                <w:color w:val="000000"/>
                <w:sz w:val="20"/>
                <w:szCs w:val="20"/>
              </w:rPr>
            </w:pPr>
            <w:r>
              <w:rPr>
                <w:rFonts w:hint="default" w:ascii="Times New Roman" w:hAnsi="Times New Roman" w:cs="Times New Roman"/>
                <w:rtl w:val="0"/>
              </w:rPr>
              <w:t>Accurately interprets the security report, identifies all key findings, and explains their significance with excellent technical understanding.</w:t>
            </w:r>
          </w:p>
        </w:tc>
        <w:tc>
          <w:tcPr>
            <w:tcBorders>
              <w:top w:val="nil"/>
              <w:left w:val="nil"/>
              <w:bottom w:val="single" w:color="000000" w:sz="4" w:space="0"/>
              <w:right w:val="single" w:color="000000" w:sz="4" w:space="0"/>
            </w:tcBorders>
            <w:tcMar>
              <w:top w:w="0" w:type="dxa"/>
              <w:left w:w="108" w:type="dxa"/>
              <w:bottom w:w="0" w:type="dxa"/>
              <w:right w:w="108" w:type="dxa"/>
            </w:tcMar>
          </w:tcPr>
          <w:p w14:paraId="2FA67DAF">
            <w:pPr>
              <w:spacing w:line="360" w:lineRule="auto"/>
              <w:jc w:val="center"/>
              <w:rPr>
                <w:rFonts w:hint="default" w:ascii="Times New Roman" w:hAnsi="Times New Roman" w:eastAsia="Arial" w:cs="Times New Roman"/>
                <w:color w:val="000000"/>
                <w:sz w:val="20"/>
                <w:szCs w:val="20"/>
              </w:rPr>
            </w:pPr>
            <w:r>
              <w:rPr>
                <w:rFonts w:hint="default" w:ascii="Times New Roman" w:hAnsi="Times New Roman" w:cs="Times New Roman"/>
                <w:rtl w:val="0"/>
              </w:rPr>
              <w:t>Correctly interprets most findings with minor omissions or inaccuracies.</w:t>
            </w:r>
          </w:p>
        </w:tc>
        <w:tc>
          <w:tcPr>
            <w:tcBorders>
              <w:top w:val="nil"/>
              <w:left w:val="nil"/>
              <w:bottom w:val="single" w:color="000000" w:sz="4" w:space="0"/>
              <w:right w:val="single" w:color="000000" w:sz="4" w:space="0"/>
            </w:tcBorders>
            <w:tcMar>
              <w:top w:w="0" w:type="dxa"/>
              <w:left w:w="108" w:type="dxa"/>
              <w:bottom w:w="0" w:type="dxa"/>
              <w:right w:w="108" w:type="dxa"/>
            </w:tcMar>
          </w:tcPr>
          <w:p w14:paraId="396BDBE2">
            <w:pPr>
              <w:spacing w:line="360" w:lineRule="auto"/>
              <w:jc w:val="center"/>
              <w:rPr>
                <w:rFonts w:hint="default" w:ascii="Times New Roman" w:hAnsi="Times New Roman" w:eastAsia="Arial" w:cs="Times New Roman"/>
                <w:color w:val="000000"/>
                <w:sz w:val="20"/>
                <w:szCs w:val="20"/>
              </w:rPr>
            </w:pPr>
            <w:r>
              <w:rPr>
                <w:rFonts w:hint="default" w:ascii="Times New Roman" w:hAnsi="Times New Roman" w:cs="Times New Roman"/>
                <w:rtl w:val="0"/>
              </w:rPr>
              <w:t>Identifies only some findings and provides limited interpretation.</w:t>
            </w:r>
          </w:p>
        </w:tc>
        <w:tc>
          <w:tcPr>
            <w:tcBorders>
              <w:top w:val="nil"/>
              <w:left w:val="nil"/>
              <w:bottom w:val="single" w:color="000000" w:sz="4" w:space="0"/>
              <w:right w:val="single" w:color="000000" w:sz="4" w:space="0"/>
            </w:tcBorders>
            <w:tcMar>
              <w:top w:w="0" w:type="dxa"/>
              <w:left w:w="108" w:type="dxa"/>
              <w:bottom w:w="0" w:type="dxa"/>
              <w:right w:w="108" w:type="dxa"/>
            </w:tcMar>
          </w:tcPr>
          <w:p w14:paraId="0B8F1D37">
            <w:pPr>
              <w:spacing w:line="360" w:lineRule="auto"/>
              <w:jc w:val="center"/>
              <w:rPr>
                <w:rFonts w:hint="default" w:ascii="Times New Roman" w:hAnsi="Times New Roman" w:eastAsia="Arial" w:cs="Times New Roman"/>
                <w:color w:val="000000"/>
                <w:sz w:val="20"/>
                <w:szCs w:val="20"/>
              </w:rPr>
            </w:pPr>
            <w:r>
              <w:rPr>
                <w:rFonts w:hint="default" w:ascii="Times New Roman" w:hAnsi="Times New Roman" w:cs="Times New Roman"/>
                <w:rtl w:val="0"/>
              </w:rPr>
              <w:t>Unable to interpret the report or identify key findings.</w:t>
            </w:r>
          </w:p>
        </w:tc>
      </w:tr>
      <w:tr w14:paraId="47C7A877">
        <w:tblPrEx>
          <w:tblCellMar>
            <w:top w:w="15" w:type="dxa"/>
            <w:left w:w="15" w:type="dxa"/>
            <w:bottom w:w="15" w:type="dxa"/>
            <w:right w:w="15" w:type="dxa"/>
          </w:tblCellMar>
        </w:tblPrEx>
        <w:trPr>
          <w:trHeight w:val="832" w:hRule="atLeast"/>
        </w:trPr>
        <w:tc>
          <w:tcPr>
            <w:tcBorders>
              <w:top w:val="nil"/>
              <w:left w:val="single" w:color="000000" w:sz="4" w:space="0"/>
              <w:bottom w:val="single" w:color="000000" w:sz="4" w:space="0"/>
              <w:right w:val="single" w:color="000000" w:sz="4" w:space="0"/>
            </w:tcBorders>
            <w:tcMar>
              <w:top w:w="0" w:type="dxa"/>
              <w:left w:w="108" w:type="dxa"/>
              <w:bottom w:w="0" w:type="dxa"/>
              <w:right w:w="108" w:type="dxa"/>
            </w:tcMar>
          </w:tcPr>
          <w:p w14:paraId="3E09C5D3">
            <w:pPr>
              <w:spacing w:line="360" w:lineRule="auto"/>
              <w:jc w:val="center"/>
              <w:rPr>
                <w:rFonts w:hint="default" w:ascii="Times New Roman" w:hAnsi="Times New Roman" w:eastAsia="Arial" w:cs="Times New Roman"/>
                <w:color w:val="000000"/>
                <w:sz w:val="20"/>
                <w:szCs w:val="20"/>
              </w:rPr>
            </w:pPr>
            <w:r>
              <w:rPr>
                <w:rFonts w:hint="default" w:ascii="Times New Roman" w:hAnsi="Times New Roman" w:cs="Times New Roman"/>
                <w:rtl w:val="0"/>
              </w:rPr>
              <w:t>Identification of Security Risks and Vulnerabilities</w:t>
            </w:r>
          </w:p>
        </w:tc>
        <w:tc>
          <w:tcPr>
            <w:tcBorders>
              <w:top w:val="nil"/>
              <w:left w:val="nil"/>
              <w:bottom w:val="single" w:color="000000" w:sz="4" w:space="0"/>
              <w:right w:val="single" w:color="000000" w:sz="4" w:space="0"/>
            </w:tcBorders>
            <w:tcMar>
              <w:top w:w="0" w:type="dxa"/>
              <w:left w:w="108" w:type="dxa"/>
              <w:bottom w:w="0" w:type="dxa"/>
              <w:right w:w="108" w:type="dxa"/>
            </w:tcMar>
          </w:tcPr>
          <w:p w14:paraId="523DBA2D">
            <w:pPr>
              <w:spacing w:line="360" w:lineRule="auto"/>
              <w:jc w:val="center"/>
              <w:rPr>
                <w:rFonts w:hint="default" w:ascii="Times New Roman" w:hAnsi="Times New Roman" w:eastAsia="Arial" w:cs="Times New Roman"/>
                <w:color w:val="000000"/>
                <w:sz w:val="20"/>
                <w:szCs w:val="20"/>
              </w:rPr>
            </w:pPr>
            <w:r>
              <w:rPr>
                <w:rFonts w:hint="default" w:ascii="Times New Roman" w:hAnsi="Times New Roman" w:cs="Times New Roman"/>
                <w:rtl w:val="0"/>
              </w:rPr>
              <w:t>25%</w:t>
            </w:r>
          </w:p>
        </w:tc>
        <w:tc>
          <w:tcPr>
            <w:tcBorders>
              <w:top w:val="nil"/>
              <w:left w:val="nil"/>
              <w:bottom w:val="single" w:color="000000" w:sz="4" w:space="0"/>
              <w:right w:val="single" w:color="000000" w:sz="4" w:space="0"/>
            </w:tcBorders>
            <w:tcMar>
              <w:top w:w="0" w:type="dxa"/>
              <w:left w:w="108" w:type="dxa"/>
              <w:bottom w:w="0" w:type="dxa"/>
              <w:right w:w="108" w:type="dxa"/>
            </w:tcMar>
          </w:tcPr>
          <w:p w14:paraId="292862E7">
            <w:pPr>
              <w:spacing w:line="360" w:lineRule="auto"/>
              <w:jc w:val="center"/>
              <w:rPr>
                <w:rFonts w:hint="default" w:ascii="Times New Roman" w:hAnsi="Times New Roman" w:eastAsia="Arial" w:cs="Times New Roman"/>
                <w:color w:val="000000"/>
                <w:sz w:val="20"/>
                <w:szCs w:val="20"/>
              </w:rPr>
            </w:pPr>
            <w:r>
              <w:rPr>
                <w:rFonts w:hint="default" w:ascii="Times New Roman" w:hAnsi="Times New Roman" w:cs="Times New Roman"/>
                <w:rtl w:val="0"/>
              </w:rPr>
              <w:t>Correctly identifies all security risks, vulnerabilities, and possible attack vectors with clear technical justification.</w:t>
            </w:r>
          </w:p>
        </w:tc>
        <w:tc>
          <w:tcPr>
            <w:tcBorders>
              <w:top w:val="nil"/>
              <w:left w:val="nil"/>
              <w:bottom w:val="single" w:color="000000" w:sz="4" w:space="0"/>
              <w:right w:val="single" w:color="000000" w:sz="4" w:space="0"/>
            </w:tcBorders>
            <w:tcMar>
              <w:top w:w="0" w:type="dxa"/>
              <w:left w:w="108" w:type="dxa"/>
              <w:bottom w:w="0" w:type="dxa"/>
              <w:right w:w="108" w:type="dxa"/>
            </w:tcMar>
          </w:tcPr>
          <w:p w14:paraId="377AFA3C">
            <w:pPr>
              <w:spacing w:line="360" w:lineRule="auto"/>
              <w:jc w:val="center"/>
              <w:rPr>
                <w:rFonts w:hint="default" w:ascii="Times New Roman" w:hAnsi="Times New Roman" w:eastAsia="Arial" w:cs="Times New Roman"/>
                <w:color w:val="000000"/>
                <w:sz w:val="20"/>
                <w:szCs w:val="20"/>
              </w:rPr>
            </w:pPr>
            <w:r>
              <w:rPr>
                <w:rFonts w:hint="default" w:ascii="Times New Roman" w:hAnsi="Times New Roman" w:cs="Times New Roman"/>
                <w:rtl w:val="0"/>
              </w:rPr>
              <w:t>Identifies most risks and vulnerabilities with minor errors.</w:t>
            </w:r>
          </w:p>
        </w:tc>
        <w:tc>
          <w:tcPr>
            <w:tcBorders>
              <w:top w:val="nil"/>
              <w:left w:val="nil"/>
              <w:bottom w:val="single" w:color="000000" w:sz="4" w:space="0"/>
              <w:right w:val="single" w:color="000000" w:sz="4" w:space="0"/>
            </w:tcBorders>
            <w:tcMar>
              <w:top w:w="0" w:type="dxa"/>
              <w:left w:w="108" w:type="dxa"/>
              <w:bottom w:w="0" w:type="dxa"/>
              <w:right w:w="108" w:type="dxa"/>
            </w:tcMar>
          </w:tcPr>
          <w:p w14:paraId="58AD907F">
            <w:pPr>
              <w:spacing w:line="360" w:lineRule="auto"/>
              <w:jc w:val="center"/>
              <w:rPr>
                <w:rFonts w:hint="default" w:ascii="Times New Roman" w:hAnsi="Times New Roman" w:eastAsia="Arial" w:cs="Times New Roman"/>
                <w:color w:val="000000"/>
                <w:sz w:val="20"/>
                <w:szCs w:val="20"/>
              </w:rPr>
            </w:pPr>
            <w:r>
              <w:rPr>
                <w:rFonts w:hint="default" w:ascii="Times New Roman" w:hAnsi="Times New Roman" w:cs="Times New Roman"/>
                <w:rtl w:val="0"/>
              </w:rPr>
              <w:t>Identifies only a few risks with limited technical explanation.</w:t>
            </w:r>
          </w:p>
        </w:tc>
        <w:tc>
          <w:tcPr>
            <w:tcBorders>
              <w:top w:val="nil"/>
              <w:left w:val="nil"/>
              <w:bottom w:val="single" w:color="000000" w:sz="4" w:space="0"/>
              <w:right w:val="single" w:color="000000" w:sz="4" w:space="0"/>
            </w:tcBorders>
            <w:tcMar>
              <w:top w:w="0" w:type="dxa"/>
              <w:left w:w="108" w:type="dxa"/>
              <w:bottom w:w="0" w:type="dxa"/>
              <w:right w:w="108" w:type="dxa"/>
            </w:tcMar>
          </w:tcPr>
          <w:p w14:paraId="79383B51">
            <w:pPr>
              <w:spacing w:line="360" w:lineRule="auto"/>
              <w:jc w:val="center"/>
              <w:rPr>
                <w:rFonts w:hint="default" w:ascii="Times New Roman" w:hAnsi="Times New Roman" w:eastAsia="Arial" w:cs="Times New Roman"/>
                <w:color w:val="000000"/>
                <w:sz w:val="20"/>
                <w:szCs w:val="20"/>
              </w:rPr>
            </w:pPr>
            <w:r>
              <w:rPr>
                <w:rFonts w:hint="default" w:ascii="Times New Roman" w:hAnsi="Times New Roman" w:cs="Times New Roman"/>
                <w:rtl w:val="0"/>
              </w:rPr>
              <w:t>Fails to identify major risks or vulnerabilities.</w:t>
            </w:r>
          </w:p>
        </w:tc>
      </w:tr>
      <w:tr w14:paraId="1628EAA4">
        <w:tblPrEx>
          <w:tblCellMar>
            <w:top w:w="15" w:type="dxa"/>
            <w:left w:w="15" w:type="dxa"/>
            <w:bottom w:w="15" w:type="dxa"/>
            <w:right w:w="15" w:type="dxa"/>
          </w:tblCellMar>
        </w:tblPrEx>
        <w:trPr>
          <w:trHeight w:val="832" w:hRule="atLeast"/>
        </w:trPr>
        <w:tc>
          <w:tcPr>
            <w:tcBorders>
              <w:top w:val="nil"/>
              <w:left w:val="single" w:color="000000" w:sz="4" w:space="0"/>
              <w:bottom w:val="single" w:color="000000" w:sz="4" w:space="0"/>
              <w:right w:val="single" w:color="000000" w:sz="4" w:space="0"/>
            </w:tcBorders>
            <w:tcMar>
              <w:top w:w="0" w:type="dxa"/>
              <w:left w:w="108" w:type="dxa"/>
              <w:bottom w:w="0" w:type="dxa"/>
              <w:right w:w="108" w:type="dxa"/>
            </w:tcMar>
          </w:tcPr>
          <w:p w14:paraId="75720A96">
            <w:pPr>
              <w:spacing w:line="360" w:lineRule="auto"/>
              <w:jc w:val="center"/>
              <w:rPr>
                <w:rFonts w:hint="default" w:ascii="Times New Roman" w:hAnsi="Times New Roman" w:eastAsia="Arial" w:cs="Times New Roman"/>
                <w:color w:val="000000"/>
                <w:sz w:val="20"/>
                <w:szCs w:val="20"/>
              </w:rPr>
            </w:pPr>
            <w:r>
              <w:rPr>
                <w:rFonts w:hint="default" w:ascii="Times New Roman" w:hAnsi="Times New Roman" w:cs="Times New Roman"/>
                <w:rtl w:val="0"/>
              </w:rPr>
              <w:t>Application of Cybersecurity Concepts and Countermeasures</w:t>
            </w:r>
          </w:p>
        </w:tc>
        <w:tc>
          <w:tcPr>
            <w:tcBorders>
              <w:top w:val="nil"/>
              <w:left w:val="nil"/>
              <w:bottom w:val="single" w:color="000000" w:sz="4" w:space="0"/>
              <w:right w:val="single" w:color="000000" w:sz="4" w:space="0"/>
            </w:tcBorders>
            <w:tcMar>
              <w:top w:w="0" w:type="dxa"/>
              <w:left w:w="108" w:type="dxa"/>
              <w:bottom w:w="0" w:type="dxa"/>
              <w:right w:w="108" w:type="dxa"/>
            </w:tcMar>
          </w:tcPr>
          <w:p w14:paraId="293DBD4C">
            <w:pPr>
              <w:spacing w:line="360" w:lineRule="auto"/>
              <w:jc w:val="center"/>
              <w:rPr>
                <w:rFonts w:hint="default" w:ascii="Times New Roman" w:hAnsi="Times New Roman" w:eastAsia="Arial" w:cs="Times New Roman"/>
                <w:color w:val="000000"/>
                <w:sz w:val="20"/>
                <w:szCs w:val="20"/>
              </w:rPr>
            </w:pPr>
            <w:r>
              <w:rPr>
                <w:rFonts w:hint="default" w:ascii="Times New Roman" w:hAnsi="Times New Roman" w:cs="Times New Roman"/>
                <w:rtl w:val="0"/>
              </w:rPr>
              <w:t>30%</w:t>
            </w:r>
          </w:p>
        </w:tc>
        <w:tc>
          <w:tcPr>
            <w:tcBorders>
              <w:top w:val="nil"/>
              <w:left w:val="nil"/>
              <w:bottom w:val="single" w:color="000000" w:sz="4" w:space="0"/>
              <w:right w:val="single" w:color="000000" w:sz="4" w:space="0"/>
            </w:tcBorders>
            <w:tcMar>
              <w:top w:w="0" w:type="dxa"/>
              <w:left w:w="108" w:type="dxa"/>
              <w:bottom w:w="0" w:type="dxa"/>
              <w:right w:w="108" w:type="dxa"/>
            </w:tcMar>
          </w:tcPr>
          <w:p w14:paraId="2368411E">
            <w:pPr>
              <w:spacing w:line="360" w:lineRule="auto"/>
              <w:jc w:val="center"/>
              <w:rPr>
                <w:rFonts w:hint="default" w:ascii="Times New Roman" w:hAnsi="Times New Roman" w:eastAsia="Arial" w:cs="Times New Roman"/>
                <w:color w:val="000000"/>
                <w:sz w:val="20"/>
                <w:szCs w:val="20"/>
              </w:rPr>
            </w:pPr>
            <w:r>
              <w:rPr>
                <w:rFonts w:hint="default" w:ascii="Times New Roman" w:hAnsi="Times New Roman" w:cs="Times New Roman"/>
                <w:rtl w:val="0"/>
              </w:rPr>
              <w:t>Applies appropriate ethical hacking concepts and recommends comprehensive, practical, and technically sound countermeasures.</w:t>
            </w:r>
          </w:p>
        </w:tc>
        <w:tc>
          <w:tcPr>
            <w:tcBorders>
              <w:top w:val="nil"/>
              <w:left w:val="nil"/>
              <w:bottom w:val="single" w:color="000000" w:sz="4" w:space="0"/>
              <w:right w:val="single" w:color="000000" w:sz="4" w:space="0"/>
            </w:tcBorders>
            <w:tcMar>
              <w:top w:w="0" w:type="dxa"/>
              <w:left w:w="108" w:type="dxa"/>
              <w:bottom w:w="0" w:type="dxa"/>
              <w:right w:w="108" w:type="dxa"/>
            </w:tcMar>
          </w:tcPr>
          <w:p w14:paraId="7E1A296E">
            <w:pPr>
              <w:spacing w:line="360" w:lineRule="auto"/>
              <w:jc w:val="center"/>
              <w:rPr>
                <w:rFonts w:hint="default" w:ascii="Times New Roman" w:hAnsi="Times New Roman" w:eastAsia="Arial" w:cs="Times New Roman"/>
                <w:color w:val="000000"/>
                <w:sz w:val="20"/>
                <w:szCs w:val="20"/>
              </w:rPr>
            </w:pPr>
            <w:r>
              <w:rPr>
                <w:rFonts w:hint="default" w:ascii="Times New Roman" w:hAnsi="Times New Roman" w:cs="Times New Roman"/>
                <w:rtl w:val="0"/>
              </w:rPr>
              <w:t>Recommends suitable countermeasures with minor technical gaps.</w:t>
            </w:r>
          </w:p>
        </w:tc>
        <w:tc>
          <w:tcPr>
            <w:tcBorders>
              <w:top w:val="nil"/>
              <w:left w:val="nil"/>
              <w:bottom w:val="single" w:color="000000" w:sz="4" w:space="0"/>
              <w:right w:val="single" w:color="000000" w:sz="4" w:space="0"/>
            </w:tcBorders>
            <w:tcMar>
              <w:top w:w="0" w:type="dxa"/>
              <w:left w:w="108" w:type="dxa"/>
              <w:bottom w:w="0" w:type="dxa"/>
              <w:right w:w="108" w:type="dxa"/>
            </w:tcMar>
          </w:tcPr>
          <w:p w14:paraId="08E0B233">
            <w:pPr>
              <w:spacing w:line="360" w:lineRule="auto"/>
              <w:jc w:val="center"/>
              <w:rPr>
                <w:rFonts w:hint="default" w:ascii="Times New Roman" w:hAnsi="Times New Roman" w:eastAsia="Arial" w:cs="Times New Roman"/>
                <w:color w:val="000000"/>
                <w:sz w:val="20"/>
                <w:szCs w:val="20"/>
              </w:rPr>
            </w:pPr>
            <w:r>
              <w:rPr>
                <w:rFonts w:hint="default" w:ascii="Times New Roman" w:hAnsi="Times New Roman" w:cs="Times New Roman"/>
                <w:rtl w:val="0"/>
              </w:rPr>
              <w:t>Provides limited or partially appropriate recommendations.</w:t>
            </w:r>
          </w:p>
        </w:tc>
        <w:tc>
          <w:tcPr>
            <w:tcBorders>
              <w:top w:val="nil"/>
              <w:left w:val="nil"/>
              <w:bottom w:val="single" w:color="000000" w:sz="4" w:space="0"/>
              <w:right w:val="single" w:color="000000" w:sz="4" w:space="0"/>
            </w:tcBorders>
            <w:tcMar>
              <w:top w:w="0" w:type="dxa"/>
              <w:left w:w="108" w:type="dxa"/>
              <w:bottom w:w="0" w:type="dxa"/>
              <w:right w:w="108" w:type="dxa"/>
            </w:tcMar>
          </w:tcPr>
          <w:p w14:paraId="7A9D2A47">
            <w:pPr>
              <w:spacing w:line="360" w:lineRule="auto"/>
              <w:jc w:val="center"/>
              <w:rPr>
                <w:rFonts w:hint="default" w:ascii="Times New Roman" w:hAnsi="Times New Roman" w:eastAsia="Arial" w:cs="Times New Roman"/>
                <w:color w:val="000000"/>
                <w:sz w:val="20"/>
                <w:szCs w:val="20"/>
              </w:rPr>
            </w:pPr>
            <w:r>
              <w:rPr>
                <w:rFonts w:hint="default" w:ascii="Times New Roman" w:hAnsi="Times New Roman" w:cs="Times New Roman"/>
                <w:rtl w:val="0"/>
              </w:rPr>
              <w:t>Recommendations are inappropriate, incomplete, or missing.</w:t>
            </w:r>
          </w:p>
        </w:tc>
      </w:tr>
      <w:tr w14:paraId="6D2768B0">
        <w:tblPrEx>
          <w:tblCellMar>
            <w:top w:w="15" w:type="dxa"/>
            <w:left w:w="15" w:type="dxa"/>
            <w:bottom w:w="15" w:type="dxa"/>
            <w:right w:w="15" w:type="dxa"/>
          </w:tblCellMar>
        </w:tblPrEx>
        <w:trPr>
          <w:trHeight w:val="832" w:hRule="atLeast"/>
        </w:trPr>
        <w:tc>
          <w:tcPr>
            <w:tcBorders>
              <w:top w:val="nil"/>
              <w:left w:val="single" w:color="000000" w:sz="4" w:space="0"/>
              <w:bottom w:val="single" w:color="000000" w:sz="4" w:space="0"/>
              <w:right w:val="single" w:color="000000" w:sz="4" w:space="0"/>
            </w:tcBorders>
            <w:tcMar>
              <w:top w:w="0" w:type="dxa"/>
              <w:left w:w="108" w:type="dxa"/>
              <w:bottom w:w="0" w:type="dxa"/>
              <w:right w:w="108" w:type="dxa"/>
            </w:tcMar>
          </w:tcPr>
          <w:p w14:paraId="747A7F64">
            <w:pPr>
              <w:spacing w:line="360" w:lineRule="auto"/>
              <w:jc w:val="center"/>
              <w:rPr>
                <w:rFonts w:hint="default" w:ascii="Times New Roman" w:hAnsi="Times New Roman" w:eastAsia="Arial" w:cs="Times New Roman"/>
                <w:color w:val="000000"/>
                <w:sz w:val="20"/>
                <w:szCs w:val="20"/>
              </w:rPr>
            </w:pPr>
            <w:r>
              <w:rPr>
                <w:rFonts w:hint="default" w:ascii="Times New Roman" w:hAnsi="Times New Roman" w:cs="Times New Roman"/>
                <w:rtl w:val="0"/>
              </w:rPr>
              <w:t>Technical Communication and Documentation</w:t>
            </w:r>
          </w:p>
        </w:tc>
        <w:tc>
          <w:tcPr>
            <w:tcBorders>
              <w:top w:val="nil"/>
              <w:left w:val="nil"/>
              <w:bottom w:val="single" w:color="000000" w:sz="4" w:space="0"/>
              <w:right w:val="single" w:color="000000" w:sz="4" w:space="0"/>
            </w:tcBorders>
            <w:tcMar>
              <w:top w:w="0" w:type="dxa"/>
              <w:left w:w="108" w:type="dxa"/>
              <w:bottom w:w="0" w:type="dxa"/>
              <w:right w:w="108" w:type="dxa"/>
            </w:tcMar>
          </w:tcPr>
          <w:p w14:paraId="4BBF67A9">
            <w:pPr>
              <w:spacing w:line="360" w:lineRule="auto"/>
              <w:jc w:val="center"/>
              <w:rPr>
                <w:rFonts w:hint="default" w:ascii="Times New Roman" w:hAnsi="Times New Roman" w:eastAsia="Arial" w:cs="Times New Roman"/>
                <w:color w:val="000000"/>
                <w:sz w:val="20"/>
                <w:szCs w:val="20"/>
              </w:rPr>
            </w:pPr>
            <w:r>
              <w:rPr>
                <w:rFonts w:hint="default" w:ascii="Times New Roman" w:hAnsi="Times New Roman" w:cs="Times New Roman"/>
                <w:rtl w:val="0"/>
              </w:rPr>
              <w:t>20%</w:t>
            </w:r>
          </w:p>
        </w:tc>
        <w:tc>
          <w:tcPr>
            <w:tcBorders>
              <w:top w:val="nil"/>
              <w:left w:val="nil"/>
              <w:bottom w:val="single" w:color="000000" w:sz="4" w:space="0"/>
              <w:right w:val="single" w:color="000000" w:sz="4" w:space="0"/>
            </w:tcBorders>
            <w:tcMar>
              <w:top w:w="0" w:type="dxa"/>
              <w:left w:w="108" w:type="dxa"/>
              <w:bottom w:w="0" w:type="dxa"/>
              <w:right w:w="108" w:type="dxa"/>
            </w:tcMar>
          </w:tcPr>
          <w:p w14:paraId="0965AC4F">
            <w:pPr>
              <w:spacing w:line="360" w:lineRule="auto"/>
              <w:jc w:val="center"/>
              <w:rPr>
                <w:rFonts w:hint="default" w:ascii="Times New Roman" w:hAnsi="Times New Roman" w:eastAsia="Arial" w:cs="Times New Roman"/>
                <w:color w:val="000000"/>
                <w:sz w:val="20"/>
                <w:szCs w:val="20"/>
              </w:rPr>
            </w:pPr>
            <w:r>
              <w:rPr>
                <w:rFonts w:hint="default" w:ascii="Times New Roman" w:hAnsi="Times New Roman" w:cs="Times New Roman"/>
                <w:rtl w:val="0"/>
              </w:rPr>
              <w:t>Response is well-organized, technically accurate, clearly presented, and uses appropriate cybersecurity terminology throughout.</w:t>
            </w:r>
          </w:p>
        </w:tc>
        <w:tc>
          <w:tcPr>
            <w:tcBorders>
              <w:top w:val="nil"/>
              <w:left w:val="nil"/>
              <w:bottom w:val="single" w:color="000000" w:sz="4" w:space="0"/>
              <w:right w:val="single" w:color="000000" w:sz="4" w:space="0"/>
            </w:tcBorders>
            <w:tcMar>
              <w:top w:w="0" w:type="dxa"/>
              <w:left w:w="108" w:type="dxa"/>
              <w:bottom w:w="0" w:type="dxa"/>
              <w:right w:w="108" w:type="dxa"/>
            </w:tcMar>
          </w:tcPr>
          <w:p w14:paraId="426B0E71">
            <w:pPr>
              <w:spacing w:line="360" w:lineRule="auto"/>
              <w:jc w:val="center"/>
              <w:rPr>
                <w:rFonts w:hint="default" w:ascii="Times New Roman" w:hAnsi="Times New Roman" w:eastAsia="Arial" w:cs="Times New Roman"/>
                <w:color w:val="000000"/>
                <w:sz w:val="20"/>
                <w:szCs w:val="20"/>
              </w:rPr>
            </w:pPr>
            <w:r>
              <w:rPr>
                <w:rFonts w:hint="default" w:ascii="Times New Roman" w:hAnsi="Times New Roman" w:cs="Times New Roman"/>
                <w:rtl w:val="0"/>
              </w:rPr>
              <w:t>Response is organized and understandable with minor documentation or presentation issues.</w:t>
            </w:r>
          </w:p>
        </w:tc>
        <w:tc>
          <w:tcPr>
            <w:tcBorders>
              <w:top w:val="nil"/>
              <w:left w:val="nil"/>
              <w:bottom w:val="single" w:color="000000" w:sz="4" w:space="0"/>
              <w:right w:val="single" w:color="000000" w:sz="4" w:space="0"/>
            </w:tcBorders>
            <w:tcMar>
              <w:top w:w="0" w:type="dxa"/>
              <w:left w:w="108" w:type="dxa"/>
              <w:bottom w:w="0" w:type="dxa"/>
              <w:right w:w="108" w:type="dxa"/>
            </w:tcMar>
          </w:tcPr>
          <w:p w14:paraId="3DFF71DA">
            <w:pPr>
              <w:spacing w:line="360" w:lineRule="auto"/>
              <w:jc w:val="center"/>
              <w:rPr>
                <w:rFonts w:hint="default" w:ascii="Times New Roman" w:hAnsi="Times New Roman" w:eastAsia="Arial" w:cs="Times New Roman"/>
                <w:color w:val="000000"/>
                <w:sz w:val="20"/>
                <w:szCs w:val="20"/>
              </w:rPr>
            </w:pPr>
            <w:r>
              <w:rPr>
                <w:rFonts w:hint="default" w:ascii="Times New Roman" w:hAnsi="Times New Roman" w:cs="Times New Roman"/>
                <w:rtl w:val="0"/>
              </w:rPr>
              <w:t>Response lacks clarity, organization, or contains several technical inaccuracies.</w:t>
            </w:r>
          </w:p>
        </w:tc>
        <w:tc>
          <w:tcPr>
            <w:tcBorders>
              <w:top w:val="nil"/>
              <w:left w:val="nil"/>
              <w:bottom w:val="single" w:color="000000" w:sz="4" w:space="0"/>
              <w:right w:val="single" w:color="000000" w:sz="4" w:space="0"/>
            </w:tcBorders>
            <w:tcMar>
              <w:top w:w="0" w:type="dxa"/>
              <w:left w:w="108" w:type="dxa"/>
              <w:bottom w:w="0" w:type="dxa"/>
              <w:right w:w="108" w:type="dxa"/>
            </w:tcMar>
          </w:tcPr>
          <w:p w14:paraId="0C0AD70E">
            <w:pPr>
              <w:spacing w:line="360" w:lineRule="auto"/>
              <w:jc w:val="center"/>
              <w:rPr>
                <w:rFonts w:hint="default" w:ascii="Times New Roman" w:hAnsi="Times New Roman" w:eastAsia="Arial" w:cs="Times New Roman"/>
                <w:color w:val="000000"/>
                <w:sz w:val="20"/>
                <w:szCs w:val="20"/>
              </w:rPr>
            </w:pPr>
            <w:r>
              <w:rPr>
                <w:rFonts w:hint="default" w:ascii="Times New Roman" w:hAnsi="Times New Roman" w:cs="Times New Roman"/>
                <w:rtl w:val="0"/>
              </w:rPr>
              <w:t>Response is poorly organized, incomplete, and difficult to understand.</w:t>
            </w:r>
          </w:p>
        </w:tc>
      </w:tr>
    </w:tbl>
    <w:p w14:paraId="05B2D041">
      <w:pPr>
        <w:spacing w:line="360" w:lineRule="auto"/>
        <w:rPr>
          <w:rFonts w:hint="default" w:ascii="Times New Roman" w:hAnsi="Times New Roman" w:eastAsia="Arial" w:cs="Times New Roman"/>
          <w:b/>
          <w:bCs/>
          <w:color w:val="000000"/>
        </w:rPr>
      </w:pPr>
    </w:p>
    <w:p w14:paraId="1712BF3E">
      <w:pPr>
        <w:spacing w:line="360" w:lineRule="auto"/>
        <w:rPr>
          <w:rFonts w:hint="default" w:ascii="Times New Roman" w:hAnsi="Times New Roman" w:cs="Times New Roman"/>
        </w:rPr>
        <w:sectPr>
          <w:footerReference r:id="rId3" w:type="default"/>
          <w:pgSz w:w="11909" w:h="16834"/>
          <w:pgMar w:top="720" w:right="720" w:bottom="720" w:left="720" w:header="720" w:footer="720" w:gutter="0"/>
          <w:pgNumType w:start="1"/>
          <w:cols w:space="720" w:num="1"/>
        </w:sectPr>
      </w:pPr>
    </w:p>
    <w:p w14:paraId="003D2A9F">
      <w:pPr>
        <w:pStyle w:val="2"/>
        <w:spacing w:before="240" w:after="120" w:line="360" w:lineRule="auto"/>
        <w:rPr>
          <w:rFonts w:hint="default" w:ascii="Times New Roman" w:hAnsi="Times New Roman" w:cs="Times New Roman"/>
        </w:rPr>
      </w:pPr>
      <w:r>
        <w:rPr>
          <w:rFonts w:hint="default" w:ascii="Times New Roman" w:hAnsi="Times New Roman" w:eastAsia="Times New Roman" w:cs="Times New Roman"/>
          <w:b/>
          <w:sz w:val="32"/>
        </w:rPr>
        <w:t>CO2 ASSESSMENT TOOL 1 – REPORT ANALYSIS</w:t>
      </w:r>
    </w:p>
    <w:p w14:paraId="6850568D">
      <w:pPr>
        <w:spacing w:after="120" w:line="360" w:lineRule="auto"/>
        <w:jc w:val="center"/>
        <w:rPr>
          <w:rFonts w:hint="default" w:ascii="Times New Roman" w:hAnsi="Times New Roman" w:cs="Times New Roman"/>
        </w:rPr>
      </w:pPr>
      <w:r>
        <w:rPr>
          <w:rFonts w:hint="default" w:ascii="Times New Roman" w:hAnsi="Times New Roman" w:eastAsia="Times New Roman" w:cs="Times New Roman"/>
          <w:b/>
          <w:sz w:val="28"/>
        </w:rPr>
        <w:t>Ethical Hacking | Detailed Report and Security Analysis</w:t>
      </w:r>
    </w:p>
    <w:p w14:paraId="16DCC7CE">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This report expands the three questions supplied in the assessment sheet. It retains the original assessment instructions and rubric above, then provides a continuous discussion of the findings, the tools used to produce or validate them, the security risks, and suitable defensive controls. All testing described here must be performed only on systems for which written permission has been granted.</w:t>
      </w:r>
    </w:p>
    <w:p w14:paraId="3CB50AC2">
      <w:pPr>
        <w:pStyle w:val="2"/>
        <w:spacing w:before="240" w:after="120" w:line="360" w:lineRule="auto"/>
        <w:rPr>
          <w:rFonts w:hint="default" w:ascii="Times New Roman" w:hAnsi="Times New Roman" w:cs="Times New Roman"/>
        </w:rPr>
      </w:pPr>
      <w:r>
        <w:rPr>
          <w:rFonts w:hint="default" w:ascii="Times New Roman" w:hAnsi="Times New Roman" w:eastAsia="Times New Roman" w:cs="Times New Roman"/>
          <w:b/>
          <w:sz w:val="32"/>
        </w:rPr>
        <w:t>CONTENTS</w:t>
      </w:r>
    </w:p>
    <w:p w14:paraId="79021474">
      <w:pPr>
        <w:spacing w:after="60" w:line="360" w:lineRule="auto"/>
        <w:rPr>
          <w:rFonts w:hint="default" w:ascii="Times New Roman" w:hAnsi="Times New Roman" w:cs="Times New Roman"/>
        </w:rPr>
      </w:pPr>
      <w:r>
        <w:rPr>
          <w:rFonts w:hint="default" w:ascii="Times New Roman" w:hAnsi="Times New Roman" w:eastAsia="Times New Roman" w:cs="Times New Roman"/>
          <w:sz w:val="24"/>
        </w:rPr>
        <w:t>Introduction and objectives</w:t>
      </w:r>
    </w:p>
    <w:p w14:paraId="012EB491">
      <w:pPr>
        <w:spacing w:after="60" w:line="360" w:lineRule="auto"/>
        <w:rPr>
          <w:rFonts w:hint="default" w:ascii="Times New Roman" w:hAnsi="Times New Roman" w:cs="Times New Roman"/>
        </w:rPr>
      </w:pPr>
      <w:r>
        <w:rPr>
          <w:rFonts w:hint="default" w:ascii="Times New Roman" w:hAnsi="Times New Roman" w:eastAsia="Times New Roman" w:cs="Times New Roman"/>
          <w:sz w:val="24"/>
        </w:rPr>
        <w:t>Question 1 – Analysis of the Nmap network scan</w:t>
      </w:r>
    </w:p>
    <w:p w14:paraId="51D87CEE">
      <w:pPr>
        <w:spacing w:after="60" w:line="360" w:lineRule="auto"/>
        <w:rPr>
          <w:rFonts w:hint="default" w:ascii="Times New Roman" w:hAnsi="Times New Roman" w:cs="Times New Roman"/>
        </w:rPr>
      </w:pPr>
      <w:r>
        <w:rPr>
          <w:rFonts w:hint="default" w:ascii="Times New Roman" w:hAnsi="Times New Roman" w:eastAsia="Times New Roman" w:cs="Times New Roman"/>
          <w:sz w:val="24"/>
        </w:rPr>
        <w:t>Nmap tool overview and responsible use</w:t>
      </w:r>
    </w:p>
    <w:p w14:paraId="202D1AFA">
      <w:pPr>
        <w:spacing w:after="60" w:line="360" w:lineRule="auto"/>
        <w:rPr>
          <w:rFonts w:hint="default" w:ascii="Times New Roman" w:hAnsi="Times New Roman" w:cs="Times New Roman"/>
        </w:rPr>
      </w:pPr>
      <w:r>
        <w:rPr>
          <w:rFonts w:hint="default" w:ascii="Times New Roman" w:hAnsi="Times New Roman" w:eastAsia="Times New Roman" w:cs="Times New Roman"/>
          <w:sz w:val="24"/>
        </w:rPr>
        <w:t>Interpretation of HTTP, SSH, and MySQL findings</w:t>
      </w:r>
    </w:p>
    <w:p w14:paraId="0C2F4072">
      <w:pPr>
        <w:spacing w:after="60" w:line="360" w:lineRule="auto"/>
        <w:rPr>
          <w:rFonts w:hint="default" w:ascii="Times New Roman" w:hAnsi="Times New Roman" w:cs="Times New Roman"/>
        </w:rPr>
      </w:pPr>
      <w:r>
        <w:rPr>
          <w:rFonts w:hint="default" w:ascii="Times New Roman" w:hAnsi="Times New Roman" w:eastAsia="Times New Roman" w:cs="Times New Roman"/>
          <w:sz w:val="24"/>
        </w:rPr>
        <w:t>Possible attack paths and layered protection</w:t>
      </w:r>
    </w:p>
    <w:p w14:paraId="2A4ADF78">
      <w:pPr>
        <w:spacing w:after="60" w:line="360" w:lineRule="auto"/>
        <w:rPr>
          <w:rFonts w:hint="default" w:ascii="Times New Roman" w:hAnsi="Times New Roman" w:cs="Times New Roman"/>
        </w:rPr>
      </w:pPr>
      <w:r>
        <w:rPr>
          <w:rFonts w:hint="default" w:ascii="Times New Roman" w:hAnsi="Times New Roman" w:eastAsia="Times New Roman" w:cs="Times New Roman"/>
          <w:sz w:val="24"/>
        </w:rPr>
        <w:t>Question 2 – Analysis of the GoPhish phishing campaign</w:t>
      </w:r>
    </w:p>
    <w:p w14:paraId="36AF677B">
      <w:pPr>
        <w:spacing w:after="60" w:line="360" w:lineRule="auto"/>
        <w:rPr>
          <w:rFonts w:hint="default" w:ascii="Times New Roman" w:hAnsi="Times New Roman" w:cs="Times New Roman"/>
        </w:rPr>
      </w:pPr>
      <w:r>
        <w:rPr>
          <w:rFonts w:hint="default" w:ascii="Times New Roman" w:hAnsi="Times New Roman" w:eastAsia="Times New Roman" w:cs="Times New Roman"/>
          <w:sz w:val="24"/>
        </w:rPr>
        <w:t>GoPhish tool overview and campaign interpretation</w:t>
      </w:r>
    </w:p>
    <w:p w14:paraId="598578E3">
      <w:pPr>
        <w:spacing w:after="60" w:line="360" w:lineRule="auto"/>
        <w:rPr>
          <w:rFonts w:hint="default" w:ascii="Times New Roman" w:hAnsi="Times New Roman" w:cs="Times New Roman"/>
        </w:rPr>
      </w:pPr>
      <w:r>
        <w:rPr>
          <w:rFonts w:hint="default" w:ascii="Times New Roman" w:hAnsi="Times New Roman" w:eastAsia="Times New Roman" w:cs="Times New Roman"/>
          <w:sz w:val="24"/>
        </w:rPr>
        <w:t>Employee weaknesses, email controls, awareness, and policy</w:t>
      </w:r>
    </w:p>
    <w:p w14:paraId="6085D24A">
      <w:pPr>
        <w:spacing w:after="60" w:line="360" w:lineRule="auto"/>
        <w:rPr>
          <w:rFonts w:hint="default" w:ascii="Times New Roman" w:hAnsi="Times New Roman" w:cs="Times New Roman"/>
        </w:rPr>
      </w:pPr>
      <w:r>
        <w:rPr>
          <w:rFonts w:hint="default" w:ascii="Times New Roman" w:hAnsi="Times New Roman" w:eastAsia="Times New Roman" w:cs="Times New Roman"/>
          <w:sz w:val="24"/>
        </w:rPr>
        <w:t>Question 3 – DNS zone transfer assessment using Dig</w:t>
      </w:r>
    </w:p>
    <w:p w14:paraId="2E97375D">
      <w:pPr>
        <w:spacing w:after="60" w:line="360" w:lineRule="auto"/>
        <w:rPr>
          <w:rFonts w:hint="default" w:ascii="Times New Roman" w:hAnsi="Times New Roman" w:cs="Times New Roman"/>
        </w:rPr>
      </w:pPr>
      <w:r>
        <w:rPr>
          <w:rFonts w:hint="default" w:ascii="Times New Roman" w:hAnsi="Times New Roman" w:eastAsia="Times New Roman" w:cs="Times New Roman"/>
          <w:sz w:val="24"/>
        </w:rPr>
        <w:t>DNS exposure, risk scenarios, and defensive configuration</w:t>
      </w:r>
    </w:p>
    <w:p w14:paraId="0B5FAE68">
      <w:pPr>
        <w:spacing w:after="60" w:line="360" w:lineRule="auto"/>
        <w:rPr>
          <w:rFonts w:hint="default" w:ascii="Times New Roman" w:hAnsi="Times New Roman" w:cs="Times New Roman"/>
        </w:rPr>
      </w:pPr>
      <w:r>
        <w:rPr>
          <w:rFonts w:hint="default" w:ascii="Times New Roman" w:hAnsi="Times New Roman" w:eastAsia="Times New Roman" w:cs="Times New Roman"/>
          <w:sz w:val="24"/>
        </w:rPr>
        <w:t>Integrated security improvement plan</w:t>
      </w:r>
    </w:p>
    <w:p w14:paraId="1784E62F">
      <w:pPr>
        <w:spacing w:after="60" w:line="360" w:lineRule="auto"/>
        <w:rPr>
          <w:rFonts w:hint="default" w:ascii="Times New Roman" w:hAnsi="Times New Roman" w:cs="Times New Roman"/>
        </w:rPr>
      </w:pPr>
      <w:r>
        <w:rPr>
          <w:rFonts w:hint="default" w:ascii="Times New Roman" w:hAnsi="Times New Roman" w:eastAsia="Times New Roman" w:cs="Times New Roman"/>
          <w:sz w:val="24"/>
        </w:rPr>
        <w:t>Conclusion</w:t>
      </w:r>
    </w:p>
    <w:p w14:paraId="6C3401CA">
      <w:pPr>
        <w:spacing w:after="60" w:line="360" w:lineRule="auto"/>
        <w:rPr>
          <w:rFonts w:hint="default" w:ascii="Times New Roman" w:hAnsi="Times New Roman" w:cs="Times New Roman"/>
        </w:rPr>
      </w:pPr>
      <w:r>
        <w:rPr>
          <w:rFonts w:hint="default" w:ascii="Times New Roman" w:hAnsi="Times New Roman" w:eastAsia="Times New Roman" w:cs="Times New Roman"/>
          <w:sz w:val="24"/>
        </w:rPr>
        <w:t>Glossary and references</w:t>
      </w:r>
    </w:p>
    <w:p w14:paraId="727EDC45">
      <w:pPr>
        <w:pStyle w:val="2"/>
        <w:spacing w:before="240" w:after="120" w:line="360" w:lineRule="auto"/>
        <w:rPr>
          <w:rFonts w:hint="default" w:ascii="Times New Roman" w:hAnsi="Times New Roman" w:cs="Times New Roman"/>
        </w:rPr>
      </w:pPr>
      <w:r>
        <w:rPr>
          <w:rFonts w:hint="default" w:ascii="Times New Roman" w:hAnsi="Times New Roman" w:eastAsia="Times New Roman" w:cs="Times New Roman"/>
          <w:b/>
          <w:sz w:val="32"/>
        </w:rPr>
        <w:t>1. INTRODUCTION AND OBJECTIVES</w:t>
      </w:r>
    </w:p>
    <w:p w14:paraId="0BD77929">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Ethical hacking is the authorized and systematic assessment of computer systems, networks, applications, and people-related security processes. Its purpose is to identify weaknesses before malicious actors can use them. Ethical hacking must be performed within a clearly approved scope, with suitable safeguards, documented results, and responsible reporting. A tool finding is not automatically proof that a system has been compromised; it is evidence that should be checked, interpreted, and prioritized.</w:t>
      </w:r>
    </w:p>
    <w:p w14:paraId="539DF4EE">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The assessment covers three common areas of information gathering and security testing. The first is network service discovery using Nmap. The second is employee susceptibility to social engineering, measured through a controlled phishing-awareness exercise with GoPhish. The third is DNS configuration analysis using Dig, where a successful DNS zone transfer may expose information about an organization's domain infrastructure.</w:t>
      </w:r>
    </w:p>
    <w:p w14:paraId="39DD8855">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These areas are connected. A network scan can reveal which services are reachable. A phishing exercise can reveal whether staff are likely to disclose credentials or open unsafe files. DNS assessment can reveal hostnames and records that help an organization understand what information its infrastructure publishes. Together, the results support a broader security review rather than three isolated technical tasks.</w:t>
      </w:r>
    </w:p>
    <w:p w14:paraId="45FA87AE">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The aim of this report is to interpret the stated results, explain the security significance, describe realistic risk scenarios at a high level, and recommend practical safeguards. The report does not assume that every open port is vulnerable or that every employee who clicks a simulated link has been compromised. Conclusions should be based on evidence, configuration checks, and business context.</w:t>
      </w:r>
    </w:p>
    <w:p w14:paraId="2756F13D">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The main objectives are to identify the services and information exposed by the example findings; explain confidentiality, integrity, and availability risks; understand the purpose and limitations of Nmap, GoPhish, and Dig; recommend preventive, detective, and corrective controls; and show how authorized testing can lead to measurable security improvements.</w:t>
      </w:r>
    </w:p>
    <w:p w14:paraId="20F989A9">
      <w:pPr>
        <w:pStyle w:val="2"/>
        <w:spacing w:before="240" w:after="120" w:line="360" w:lineRule="auto"/>
        <w:rPr>
          <w:rFonts w:hint="default" w:ascii="Times New Roman" w:hAnsi="Times New Roman" w:cs="Times New Roman"/>
        </w:rPr>
      </w:pPr>
      <w:r>
        <w:rPr>
          <w:rFonts w:hint="default" w:ascii="Times New Roman" w:hAnsi="Times New Roman" w:eastAsia="Times New Roman" w:cs="Times New Roman"/>
          <w:b/>
          <w:sz w:val="32"/>
        </w:rPr>
        <w:t>2. QUESTION 1 – ANALYSIS OF THE NMAP NETWORK SCAN</w:t>
      </w:r>
    </w:p>
    <w:p w14:paraId="03316C4D">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Question summary: A security analyst scans the target 192.168.1.10 using Nmap. The report identifies HTTP on port 80, SSH on port 22, and MySQL on port 3306, along with operating-system and service-version information. The task is to analyze the risks, explain possible exploitation in a responsible report, and recommend protection.</w:t>
      </w:r>
    </w:p>
    <w:p w14:paraId="70CCF103">
      <w:pPr>
        <w:pStyle w:val="3"/>
        <w:spacing w:before="240" w:after="120" w:line="360" w:lineRule="auto"/>
        <w:rPr>
          <w:rFonts w:hint="default" w:ascii="Times New Roman" w:hAnsi="Times New Roman" w:cs="Times New Roman"/>
        </w:rPr>
      </w:pPr>
      <w:r>
        <w:rPr>
          <w:rFonts w:hint="default" w:ascii="Times New Roman" w:hAnsi="Times New Roman" w:eastAsia="Times New Roman" w:cs="Times New Roman"/>
          <w:b/>
          <w:sz w:val="26"/>
        </w:rPr>
        <w:t>2.1 Meaning of the scan results</w:t>
      </w:r>
    </w:p>
    <w:p w14:paraId="366F700B">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The address 192.168.1.10 is in a private IPv4 address range commonly used inside local networks. It is not, by itself, an Internet-routable public address. The scan result therefore describes a host reachable from the scanner's network position, subject to routing and firewall rules. The exact exposure depends on where the scan was launched: a service reachable from an internal workstation may not be reachable from the Internet, and the reverse can also be true when network boundaries differ.</w:t>
      </w:r>
    </w:p>
    <w:p w14:paraId="7EE945B6">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An open port generally means that a service is listening and the scanner can establish the relevant network connection. It does not prove that the service is misconfigured, outdated, or exploitable. The analyst should identify the business owner, intended purpose, authentication requirements, software version, patch status, and network access rules for each service.</w:t>
      </w:r>
    </w:p>
    <w:p w14:paraId="3FD62105">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Service and version detection can help an administrator identify software that needs patching. However, banners may be hidden, customized, or inaccurate, and backported security fixes may not be reflected in a simple version string. Version information should therefore be confirmed against package records, vendor advisories, and authorized configuration review before a vulnerability is declared.</w:t>
      </w:r>
    </w:p>
    <w:p w14:paraId="7AEF69BD">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Operating-system fingerprinting is also an estimate. Network paths, filtering devices, virtualization, and custom TCP/IP behavior can affect the result. The operating-system result is useful for triage but should not be treated as definitive evidence without confirmation.</w:t>
      </w:r>
    </w:p>
    <w:p w14:paraId="19452768">
      <w:pPr>
        <w:pStyle w:val="3"/>
        <w:spacing w:before="240" w:after="120" w:line="360" w:lineRule="auto"/>
        <w:rPr>
          <w:rFonts w:hint="default" w:ascii="Times New Roman" w:hAnsi="Times New Roman" w:cs="Times New Roman"/>
        </w:rPr>
      </w:pPr>
      <w:r>
        <w:rPr>
          <w:rFonts w:hint="default" w:ascii="Times New Roman" w:hAnsi="Times New Roman" w:eastAsia="Times New Roman" w:cs="Times New Roman"/>
          <w:b/>
          <w:sz w:val="26"/>
        </w:rPr>
        <w:t>2.2 Nmap tool overview and responsible use</w:t>
      </w:r>
    </w:p>
    <w:p w14:paraId="0C089C8A">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Nmap, short for Network Mapper, is a network discovery and security auditing tool. Administrators and authorized testers use it to identify hosts, determine which TCP or UDP ports are reachable, detect services, and gather clues about the operating system. The tool helps build an inventory of network exposure and verify whether firewall rules match the intended design.</w:t>
      </w:r>
    </w:p>
    <w:p w14:paraId="18C4B3A4">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Nmap findings must be interpreted carefully. A port may be open because a required application is running, while a closed port may still be relevant to the network design. A filtered result often means that a firewall or other device prevents the scanner from determining whether the port is open. Scanning can also create logs and, in poorly designed environments, can affect fragile services. Written authorization, a defined target list, a safe scan window, and an agreed rate of testing are essential.</w:t>
      </w:r>
    </w:p>
    <w:p w14:paraId="10F2FA35">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For this scenario, the key tool output is the presence of ports 80, 22, and 3306, plus service and operating-system clues. The appropriate next step is not to attack the host. It is to validate whether the services are expected, inspect their configuration through approved administrative access, compare versions with vendor security guidance, and document the reachable network paths.</w:t>
      </w:r>
    </w:p>
    <w:p w14:paraId="340BDB0D">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A useful scan report records the date and time, scanner location, target scope, Nmap version, scan options, observed port state, service identification, uncertainty, and recommended action. Screenshots or saved output may be attached to the internal report, while sensitive details should be shared only with authorized stakeholders.</w:t>
      </w:r>
    </w:p>
    <w:p w14:paraId="4701A6A3">
      <w:pPr>
        <w:pStyle w:val="3"/>
        <w:spacing w:before="240" w:after="120" w:line="360" w:lineRule="auto"/>
        <w:rPr>
          <w:rFonts w:hint="default" w:ascii="Times New Roman" w:hAnsi="Times New Roman" w:cs="Times New Roman"/>
        </w:rPr>
      </w:pPr>
      <w:r>
        <w:rPr>
          <w:rFonts w:hint="default" w:ascii="Times New Roman" w:hAnsi="Times New Roman" w:eastAsia="Times New Roman" w:cs="Times New Roman"/>
          <w:b/>
          <w:sz w:val="26"/>
        </w:rPr>
        <w:t>2.3 HTTP service on port 80</w:t>
      </w:r>
    </w:p>
    <w:p w14:paraId="6EB2ADC3">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Port 80 is conventionally used for HTTP, the protocol used to transfer web content. Its presence suggests that a web server or web application is listening. HTTP traffic is not encrypted by default, so information sent over an unprotected connection may be exposed to parties able to observe the network path. This is especially important if the application accepts login credentials, session cookies, personal information, or administrative actions over plain HTTP.</w:t>
      </w:r>
    </w:p>
    <w:p w14:paraId="5C1C26E1">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The presence of HTTP does not prove that sensitive data is being sent in clear text. Some servers use port 80 only to redirect visitors to HTTPS, and the application may enforce secure transport elsewhere. The analyst should verify that all sensitive pages and APIs require HTTPS, that redirects are consistent, and that secure cookies and appropriate transport-security settings are used.</w:t>
      </w:r>
    </w:p>
    <w:p w14:paraId="39A52036">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Potential risks include outdated web-server software, vulnerable application components, weak authentication, excessive information in error pages, directory listing, unsafe file uploads, and incorrect access controls. Attackers may also look for common application weaknesses such as injection, cross-site scripting, insecure direct object references, or exposed administrative pages. These are examples of risk categories, not claims that any of them exist on this host.</w:t>
      </w:r>
    </w:p>
    <w:p w14:paraId="2AF76F09">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If an attacker can exploit a web-application weakness, possible consequences include unauthorized access to data, modification of records, theft of session information, or disruption of the service. The impact depends on the application's permissions, the sensitivity of its data, and whether the web process is isolated from other systems.</w:t>
      </w:r>
    </w:p>
    <w:p w14:paraId="562F7221">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Recommended controls include enabling HTTPS with a valid certificate, redirecting HTTP to HTTPS, disabling unnecessary web features, removing default pages and sample applications, applying security updates, and using secure application-development practices. The organization should also use a web application firewall where appropriate, centralized logging, regular backups, least-privilege service accounts, and routine vulnerability assessment.</w:t>
      </w:r>
    </w:p>
    <w:p w14:paraId="2B3B8D81">
      <w:pPr>
        <w:pStyle w:val="3"/>
        <w:spacing w:before="240" w:after="120" w:line="360" w:lineRule="auto"/>
        <w:rPr>
          <w:rFonts w:hint="default" w:ascii="Times New Roman" w:hAnsi="Times New Roman" w:cs="Times New Roman"/>
        </w:rPr>
      </w:pPr>
      <w:r>
        <w:rPr>
          <w:rFonts w:hint="default" w:ascii="Times New Roman" w:hAnsi="Times New Roman" w:eastAsia="Times New Roman" w:cs="Times New Roman"/>
          <w:b/>
          <w:sz w:val="26"/>
        </w:rPr>
        <w:t>2.4 SSH service on port 22</w:t>
      </w:r>
    </w:p>
    <w:p w14:paraId="7C85DD6E">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SSH, or Secure Shell, provides encrypted remote administration and secure command-line access. Port 22 is its conventional TCP port. SSH is often necessary for system administrators, but it is a powerful service because a successful login may provide access to a command shell or file-transfer functions.</w:t>
      </w:r>
    </w:p>
    <w:p w14:paraId="2DCD0070">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The main risks are weak or reused passwords, exposed accounts, missing multi-factor authentication where supported, excessive login privileges, outdated SSH implementations, and poor key management. Password-based services may be targeted by repeated login attempts. A stolen private key can also allow access if it is not protected with suitable permissions and, where practical, a passphrase or managed key system.</w:t>
      </w:r>
    </w:p>
    <w:p w14:paraId="1B0938C0">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If a remote account is compromised, the attacker may be able to read or alter files, install unauthorized software, access other systems using the same credentials, or interrupt operations. The result depends on the privileges of the account and the network access available to it. An exposed SSH port alone is not proof of a weak password or successful intrusion.</w:t>
      </w:r>
    </w:p>
    <w:p w14:paraId="0093DC5E">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The organization should restrict SSH access to approved management networks or a VPN, disable direct remote login for privileged accounts when possible, prefer key-based authentication managed securely, enforce strong authentication and multi-factor authentication where supported, and remove unused accounts. Administrators should patch the SSH server, log authentication events, alert on unusual failures or logins, and review authorized keys periodically.</w:t>
      </w:r>
    </w:p>
    <w:p w14:paraId="470FDC02">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Changing SSH from its default port may reduce some background scanning noise, but it is not a substitute for authentication, patching, network restrictions, or monitoring. Security depends on strong controls rather than obscuring the service.</w:t>
      </w:r>
    </w:p>
    <w:p w14:paraId="6732707A">
      <w:pPr>
        <w:pStyle w:val="3"/>
        <w:spacing w:before="240" w:after="120" w:line="360" w:lineRule="auto"/>
        <w:rPr>
          <w:rFonts w:hint="default" w:ascii="Times New Roman" w:hAnsi="Times New Roman" w:cs="Times New Roman"/>
        </w:rPr>
      </w:pPr>
      <w:r>
        <w:rPr>
          <w:rFonts w:hint="default" w:ascii="Times New Roman" w:hAnsi="Times New Roman" w:eastAsia="Times New Roman" w:cs="Times New Roman"/>
          <w:b/>
          <w:sz w:val="26"/>
        </w:rPr>
        <w:t>2.5 MySQL service on port 3306</w:t>
      </w:r>
    </w:p>
    <w:p w14:paraId="1F6A5750">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MySQL commonly uses TCP port 3306 for database connections. A database listener can be necessary for an application server or approved administrator, but direct database access should normally be limited to systems that need it. If a database is reachable from broad internal segments or untrusted networks, the attack surface increases.</w:t>
      </w:r>
    </w:p>
    <w:p w14:paraId="4BF6C8E5">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Important risks include weak database passwords, default or unused accounts, excessive privileges, unnecessary remote access, unpatched database software, unsafe application queries, unencrypted connections, and exposure of sensitive data in backups or logs. An application that builds SQL queries by joining untrusted input directly into a query may be vulnerable to SQL injection. The scan result does not establish that injection is present; source-code review and controlled testing would be needed.</w:t>
      </w:r>
    </w:p>
    <w:p w14:paraId="1C3B0B90">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A database compromise can have a high impact because the database may contain customer records, staff information, business transactions, authentication data, or other confidential material. Unauthorized changes can affect data integrity, while deletion or encryption of records can affect availability. Even read-only access can create a serious privacy and compliance incident.</w:t>
      </w:r>
    </w:p>
    <w:p w14:paraId="219C7ABA">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The preferred design is to bind the database listener only to the required interface and allow connections only from authorized application servers or management hosts. A network firewall should deny unnecessary inbound access. Database accounts should follow least privilege, with separate accounts for applications, administration, backup, and monitoring. Remote administration should use a protected management path.</w:t>
      </w:r>
    </w:p>
    <w:p w14:paraId="41CD4911">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Additional safeguards include applying supported security updates, removing anonymous or unused accounts, disabling unnecessary features, requiring strong authentication, using TLS for database connections when traffic crosses networks, protecting secrets outside source code, auditing privileged actions, and testing backup restoration. Database backups should be encrypted and access-controlled, because backups can be as sensitive as the live database.</w:t>
      </w:r>
    </w:p>
    <w:p w14:paraId="0B1657D8">
      <w:pPr>
        <w:pStyle w:val="3"/>
        <w:spacing w:before="240" w:after="120" w:line="360" w:lineRule="auto"/>
        <w:rPr>
          <w:rFonts w:hint="default" w:ascii="Times New Roman" w:hAnsi="Times New Roman" w:cs="Times New Roman"/>
        </w:rPr>
      </w:pPr>
      <w:r>
        <w:rPr>
          <w:rFonts w:hint="default" w:ascii="Times New Roman" w:hAnsi="Times New Roman" w:eastAsia="Times New Roman" w:cs="Times New Roman"/>
          <w:b/>
          <w:sz w:val="26"/>
        </w:rPr>
        <w:t>2.6 Why service versions and operating-system information matter</w:t>
      </w:r>
    </w:p>
    <w:p w14:paraId="3096EF59">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Service-version details can help defenders match installed software to vendor security advisories. If a version is no longer supported, it may not receive security fixes. If a known vulnerability applies, the organization should determine whether the affected component is actually installed, whether the vulnerable feature is enabled, and whether compensating controls reduce exposure.</w:t>
      </w:r>
    </w:p>
    <w:p w14:paraId="029AE152">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Operating-system information supports asset inventory and patch planning. Different systems have different update processes and hardening requirements. An inaccurate fingerprint can lead to the wrong remediation, so the analyst should verify the operating system through approved asset-management records or authenticated administrative checks.</w:t>
      </w:r>
    </w:p>
    <w:p w14:paraId="0308255C">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A disciplined analyst avoids making exaggerated statements such as 'the host is hacked' merely because a port is open. The report should distinguish observations, validated vulnerabilities, plausible risks, and confirmed incidents. This improves trust and helps the organization prioritize work correctly.</w:t>
      </w:r>
    </w:p>
    <w:p w14:paraId="055D3E9B">
      <w:pPr>
        <w:pStyle w:val="3"/>
        <w:spacing w:before="240" w:after="120" w:line="360" w:lineRule="auto"/>
        <w:rPr>
          <w:rFonts w:hint="default" w:ascii="Times New Roman" w:hAnsi="Times New Roman" w:cs="Times New Roman"/>
        </w:rPr>
      </w:pPr>
      <w:r>
        <w:rPr>
          <w:rFonts w:hint="default" w:ascii="Times New Roman" w:hAnsi="Times New Roman" w:eastAsia="Times New Roman" w:cs="Times New Roman"/>
          <w:b/>
          <w:sz w:val="26"/>
        </w:rPr>
        <w:t>2.7 Possible attack paths and defensive interpretation</w:t>
      </w:r>
    </w:p>
    <w:p w14:paraId="0B5EB1AD">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An attacker generally needs a reachable service, a weakness or misconfiguration, and a way to use that weakness to achieve an objective. The three services can create different paths, but the scan alone does not show that any path will succeed. The following examples explain the risk in a non-operational way and pair each risk with a defensive response.</w:t>
      </w:r>
    </w:p>
    <w:p w14:paraId="40515C12">
      <w:pPr>
        <w:spacing w:after="60" w:line="360" w:lineRule="auto"/>
        <w:rPr>
          <w:rFonts w:hint="default" w:ascii="Times New Roman" w:hAnsi="Times New Roman" w:cs="Times New Roman"/>
        </w:rPr>
      </w:pPr>
      <w:r>
        <w:rPr>
          <w:rFonts w:hint="default" w:ascii="Times New Roman" w:hAnsi="Times New Roman" w:eastAsia="Times New Roman" w:cs="Times New Roman"/>
          <w:sz w:val="24"/>
        </w:rPr>
        <w:t>Web application path: a publicly or internally reachable web service may contain an unpatched component or weak access control. The defensive response is patch management, secure development, HTTPS enforcement, access-control testing, and application logging.</w:t>
      </w:r>
    </w:p>
    <w:p w14:paraId="244BE4A6">
      <w:pPr>
        <w:spacing w:after="60" w:line="360" w:lineRule="auto"/>
        <w:rPr>
          <w:rFonts w:hint="default" w:ascii="Times New Roman" w:hAnsi="Times New Roman" w:cs="Times New Roman"/>
        </w:rPr>
      </w:pPr>
      <w:r>
        <w:rPr>
          <w:rFonts w:hint="default" w:ascii="Times New Roman" w:hAnsi="Times New Roman" w:eastAsia="Times New Roman" w:cs="Times New Roman"/>
          <w:sz w:val="24"/>
        </w:rPr>
        <w:t>Remote administration path: an exposed SSH service may accept weak or compromised credentials. The defensive response is network restriction, strong authentication, multi-factor authentication where available, key protection, account review, and alerting.</w:t>
      </w:r>
    </w:p>
    <w:p w14:paraId="6F566154">
      <w:pPr>
        <w:spacing w:after="60" w:line="360" w:lineRule="auto"/>
        <w:rPr>
          <w:rFonts w:hint="default" w:ascii="Times New Roman" w:hAnsi="Times New Roman" w:cs="Times New Roman"/>
        </w:rPr>
      </w:pPr>
      <w:r>
        <w:rPr>
          <w:rFonts w:hint="default" w:ascii="Times New Roman" w:hAnsi="Times New Roman" w:eastAsia="Times New Roman" w:cs="Times New Roman"/>
          <w:sz w:val="24"/>
        </w:rPr>
        <w:t>Database path: a reachable MySQL listener may allow more clients than necessary or contain overprivileged accounts. The defensive response is network segmentation, restrictive firewall rules, least-privilege database roles, secure secrets, patching, and auditing.</w:t>
      </w:r>
    </w:p>
    <w:p w14:paraId="6EADFC6F">
      <w:pPr>
        <w:spacing w:after="60" w:line="360" w:lineRule="auto"/>
        <w:rPr>
          <w:rFonts w:hint="default" w:ascii="Times New Roman" w:hAnsi="Times New Roman" w:cs="Times New Roman"/>
        </w:rPr>
      </w:pPr>
      <w:r>
        <w:rPr>
          <w:rFonts w:hint="default" w:ascii="Times New Roman" w:hAnsi="Times New Roman" w:eastAsia="Times New Roman" w:cs="Times New Roman"/>
          <w:sz w:val="24"/>
        </w:rPr>
        <w:t>Chained risk: a weakness in a web application may expose database credentials or allow an application account to perform excessive database actions. Separate service accounts, restricted permissions, secret management, and network segmentation help limit the consequences.</w:t>
      </w:r>
    </w:p>
    <w:p w14:paraId="4B31CDBF">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A responsible assessment does not attempt unauthorized exploitation. Where proof is needed, the tester should use a safe, agreed validation method, avoid accessing real personal data, stop if instability occurs, and record the minimum evidence necessary to demonstrate the issue.</w:t>
      </w:r>
    </w:p>
    <w:p w14:paraId="24E4B164">
      <w:pPr>
        <w:pStyle w:val="3"/>
        <w:spacing w:before="240" w:after="120" w:line="360" w:lineRule="auto"/>
        <w:rPr>
          <w:rFonts w:hint="default" w:ascii="Times New Roman" w:hAnsi="Times New Roman" w:cs="Times New Roman"/>
        </w:rPr>
      </w:pPr>
      <w:r>
        <w:rPr>
          <w:rFonts w:hint="default" w:ascii="Times New Roman" w:hAnsi="Times New Roman" w:eastAsia="Times New Roman" w:cs="Times New Roman"/>
          <w:b/>
          <w:sz w:val="26"/>
        </w:rPr>
        <w:t>2.8 Recommended protection plan for the scanned host</w:t>
      </w:r>
    </w:p>
    <w:p w14:paraId="18773490">
      <w:pPr>
        <w:spacing w:after="60" w:line="360" w:lineRule="auto"/>
        <w:rPr>
          <w:rFonts w:hint="default" w:ascii="Times New Roman" w:hAnsi="Times New Roman" w:cs="Times New Roman"/>
        </w:rPr>
      </w:pPr>
      <w:r>
        <w:rPr>
          <w:rFonts w:hint="default" w:ascii="Times New Roman" w:hAnsi="Times New Roman" w:eastAsia="Times New Roman" w:cs="Times New Roman"/>
          <w:sz w:val="24"/>
        </w:rPr>
        <w:t>Confirm ownership and business purpose for the host and for each listening service.</w:t>
      </w:r>
    </w:p>
    <w:p w14:paraId="654DEA80">
      <w:pPr>
        <w:spacing w:after="60" w:line="360" w:lineRule="auto"/>
        <w:rPr>
          <w:rFonts w:hint="default" w:ascii="Times New Roman" w:hAnsi="Times New Roman" w:cs="Times New Roman"/>
        </w:rPr>
      </w:pPr>
      <w:r>
        <w:rPr>
          <w:rFonts w:hint="default" w:ascii="Times New Roman" w:hAnsi="Times New Roman" w:eastAsia="Times New Roman" w:cs="Times New Roman"/>
          <w:sz w:val="24"/>
        </w:rPr>
        <w:t>Compare the observed ports with the approved network and application design; close or filter services that are not required.</w:t>
      </w:r>
    </w:p>
    <w:p w14:paraId="4221A7CB">
      <w:pPr>
        <w:spacing w:after="60" w:line="360" w:lineRule="auto"/>
        <w:rPr>
          <w:rFonts w:hint="default" w:ascii="Times New Roman" w:hAnsi="Times New Roman" w:cs="Times New Roman"/>
        </w:rPr>
      </w:pPr>
      <w:r>
        <w:rPr>
          <w:rFonts w:hint="default" w:ascii="Times New Roman" w:hAnsi="Times New Roman" w:eastAsia="Times New Roman" w:cs="Times New Roman"/>
          <w:sz w:val="24"/>
        </w:rPr>
        <w:t>Restrict HTTP and application access to the intended audiences, and ensure sensitive communication uses HTTPS.</w:t>
      </w:r>
    </w:p>
    <w:p w14:paraId="2386BBF7">
      <w:pPr>
        <w:spacing w:after="60" w:line="360" w:lineRule="auto"/>
        <w:rPr>
          <w:rFonts w:hint="default" w:ascii="Times New Roman" w:hAnsi="Times New Roman" w:cs="Times New Roman"/>
        </w:rPr>
      </w:pPr>
      <w:r>
        <w:rPr>
          <w:rFonts w:hint="default" w:ascii="Times New Roman" w:hAnsi="Times New Roman" w:eastAsia="Times New Roman" w:cs="Times New Roman"/>
          <w:sz w:val="24"/>
        </w:rPr>
        <w:t>Patch the operating system, web server, SSH implementation, database engine, libraries, and application components through a tested change process.</w:t>
      </w:r>
    </w:p>
    <w:p w14:paraId="24AF94D3">
      <w:pPr>
        <w:spacing w:after="60" w:line="360" w:lineRule="auto"/>
        <w:rPr>
          <w:rFonts w:hint="default" w:ascii="Times New Roman" w:hAnsi="Times New Roman" w:cs="Times New Roman"/>
        </w:rPr>
      </w:pPr>
      <w:r>
        <w:rPr>
          <w:rFonts w:hint="default" w:ascii="Times New Roman" w:hAnsi="Times New Roman" w:eastAsia="Times New Roman" w:cs="Times New Roman"/>
          <w:sz w:val="24"/>
        </w:rPr>
        <w:t>Restrict SSH to an approved management network or VPN and enforce strong authentication and least privilege.</w:t>
      </w:r>
    </w:p>
    <w:p w14:paraId="36C7C056">
      <w:pPr>
        <w:spacing w:after="60" w:line="360" w:lineRule="auto"/>
        <w:rPr>
          <w:rFonts w:hint="default" w:ascii="Times New Roman" w:hAnsi="Times New Roman" w:cs="Times New Roman"/>
        </w:rPr>
      </w:pPr>
      <w:r>
        <w:rPr>
          <w:rFonts w:hint="default" w:ascii="Times New Roman" w:hAnsi="Times New Roman" w:eastAsia="Times New Roman" w:cs="Times New Roman"/>
          <w:sz w:val="24"/>
        </w:rPr>
        <w:t>Restrict MySQL to authorized application and administration hosts; remove unused accounts and review database privileges.</w:t>
      </w:r>
    </w:p>
    <w:p w14:paraId="08DB8A9E">
      <w:pPr>
        <w:spacing w:after="60" w:line="360" w:lineRule="auto"/>
        <w:rPr>
          <w:rFonts w:hint="default" w:ascii="Times New Roman" w:hAnsi="Times New Roman" w:cs="Times New Roman"/>
        </w:rPr>
      </w:pPr>
      <w:r>
        <w:rPr>
          <w:rFonts w:hint="default" w:ascii="Times New Roman" w:hAnsi="Times New Roman" w:eastAsia="Times New Roman" w:cs="Times New Roman"/>
          <w:sz w:val="24"/>
        </w:rPr>
        <w:t>Use host firewalls and network firewalls to apply deny-by-default rules where practical.</w:t>
      </w:r>
    </w:p>
    <w:p w14:paraId="0F941FA4">
      <w:pPr>
        <w:spacing w:after="60" w:line="360" w:lineRule="auto"/>
        <w:rPr>
          <w:rFonts w:hint="default" w:ascii="Times New Roman" w:hAnsi="Times New Roman" w:cs="Times New Roman"/>
        </w:rPr>
      </w:pPr>
      <w:r>
        <w:rPr>
          <w:rFonts w:hint="default" w:ascii="Times New Roman" w:hAnsi="Times New Roman" w:eastAsia="Times New Roman" w:cs="Times New Roman"/>
          <w:sz w:val="24"/>
        </w:rPr>
        <w:t>Centralize web, SSH, database, and system logs; monitor authentication failures, unusual source addresses, privilege changes, and unexpected service restarts.</w:t>
      </w:r>
    </w:p>
    <w:p w14:paraId="254A51BF">
      <w:pPr>
        <w:spacing w:after="60" w:line="360" w:lineRule="auto"/>
        <w:rPr>
          <w:rFonts w:hint="default" w:ascii="Times New Roman" w:hAnsi="Times New Roman" w:cs="Times New Roman"/>
        </w:rPr>
      </w:pPr>
      <w:r>
        <w:rPr>
          <w:rFonts w:hint="default" w:ascii="Times New Roman" w:hAnsi="Times New Roman" w:eastAsia="Times New Roman" w:cs="Times New Roman"/>
          <w:sz w:val="24"/>
        </w:rPr>
        <w:t>Back up important data regularly, encrypt and protect backup copies, and test restoration procedures.</w:t>
      </w:r>
    </w:p>
    <w:p w14:paraId="6E26A2E6">
      <w:pPr>
        <w:spacing w:after="60" w:line="360" w:lineRule="auto"/>
        <w:rPr>
          <w:rFonts w:hint="default" w:ascii="Times New Roman" w:hAnsi="Times New Roman" w:cs="Times New Roman"/>
        </w:rPr>
      </w:pPr>
      <w:r>
        <w:rPr>
          <w:rFonts w:hint="default" w:ascii="Times New Roman" w:hAnsi="Times New Roman" w:eastAsia="Times New Roman" w:cs="Times New Roman"/>
          <w:sz w:val="24"/>
        </w:rPr>
        <w:t>Rescan after remediation and document which findings were closed, accepted with justification, or require further work.</w:t>
      </w:r>
    </w:p>
    <w:p w14:paraId="238E41CC">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The most important conclusion for Question 1 is that the three open ports represent services that need business justification and secure configuration. HTTP, SSH, and MySQL are common legitimate services, but each must be exposed only as widely as required. Version information should guide verification and patching, not be treated as conclusive proof of exploitability.</w:t>
      </w:r>
    </w:p>
    <w:p w14:paraId="075955EA">
      <w:pPr>
        <w:pStyle w:val="2"/>
        <w:spacing w:before="240" w:after="120" w:line="360" w:lineRule="auto"/>
        <w:rPr>
          <w:rFonts w:hint="default" w:ascii="Times New Roman" w:hAnsi="Times New Roman" w:cs="Times New Roman"/>
        </w:rPr>
      </w:pPr>
      <w:r>
        <w:rPr>
          <w:rFonts w:hint="default" w:ascii="Times New Roman" w:hAnsi="Times New Roman" w:eastAsia="Times New Roman" w:cs="Times New Roman"/>
          <w:b/>
          <w:sz w:val="32"/>
        </w:rPr>
        <w:t>3. QUESTION 2 – ANALYSIS OF THE GOPHISH PHISHING CAMPAIGN</w:t>
      </w:r>
    </w:p>
    <w:p w14:paraId="53E10D4D">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Question summary: ABC Technologies Pvt. Ltd. conducts a phishing-awareness campaign using GoPhish. The report indicates that 40% of employees clicked the phishing link, 20% entered login credentials, and several users downloaded a malicious attachment. The task is to identify weaknesses and recommend awareness programs, email controls, and organizational policies.</w:t>
      </w:r>
    </w:p>
    <w:p w14:paraId="33DF1791">
      <w:pPr>
        <w:pStyle w:val="3"/>
        <w:spacing w:before="240" w:after="120" w:line="360" w:lineRule="auto"/>
        <w:rPr>
          <w:rFonts w:hint="default" w:ascii="Times New Roman" w:hAnsi="Times New Roman" w:cs="Times New Roman"/>
        </w:rPr>
      </w:pPr>
      <w:r>
        <w:rPr>
          <w:rFonts w:hint="default" w:ascii="Times New Roman" w:hAnsi="Times New Roman" w:eastAsia="Times New Roman" w:cs="Times New Roman"/>
          <w:b/>
          <w:sz w:val="26"/>
        </w:rPr>
        <w:t>3.1 Interpreting the campaign figures</w:t>
      </w:r>
    </w:p>
    <w:p w14:paraId="6AA2DB18">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The result that 40% of employees clicked the link indicates that a substantial portion of the tested group interacted with the simulated message. This may suggest that the message appeared believable, that employees were busy, or that users did not consistently inspect the sender, link destination, and context before acting. A click does not automatically mean a device was infected or that a user was careless; the campaign design and the working environment also affect results.</w:t>
      </w:r>
    </w:p>
    <w:p w14:paraId="11DB61B6">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The finding that 20% entered credentials is especially important because credential disclosure can enable account takeover if the exercise captures or records that behavior. In a real attack, stolen credentials may be used to access email, cloud applications, internal systems, or business data. The report should not store real passwords in clear text. A safe simulation should record only the minimum event needed to measure behavior, such as whether a form was submitted, and should use dummy collection pages.</w:t>
      </w:r>
    </w:p>
    <w:p w14:paraId="272F7C07">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The statement that several users downloaded a malicious attachment indicates that attachment handling and endpoint protection deserve attention. In a real incident, a malicious attachment could attempt to run unsafe code, exploit an application weakness, or trick the user into enabling risky content. The simulation should use harmless training files and must not distribute actual malware.</w:t>
      </w:r>
    </w:p>
    <w:p w14:paraId="3D5F1AAD">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The three measurements are related but distinct. Click rate measures interaction with the link; credential-submission rate measures a higher-risk action; attachment-download rate measures another risky behavior. The organization should define the denominator clearly, for example whether the percentage is based on all recipients, delivered messages, or users who opened the email. Clear denominators are necessary for fair comparison between campaigns.</w:t>
      </w:r>
    </w:p>
    <w:p w14:paraId="3F692826">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A single exercise is a snapshot rather than a complete judgment of an organization's security culture. Results can be influenced by job role, workload, message relevance, prior training, and the difficulty of the simulation. The best use of the report is to identify patterns and improve safeguards, not to shame individual employees.</w:t>
      </w:r>
    </w:p>
    <w:p w14:paraId="5F885C02">
      <w:pPr>
        <w:pStyle w:val="3"/>
        <w:spacing w:before="240" w:after="120" w:line="360" w:lineRule="auto"/>
        <w:rPr>
          <w:rFonts w:hint="default" w:ascii="Times New Roman" w:hAnsi="Times New Roman" w:cs="Times New Roman"/>
        </w:rPr>
      </w:pPr>
      <w:r>
        <w:rPr>
          <w:rFonts w:hint="default" w:ascii="Times New Roman" w:hAnsi="Times New Roman" w:eastAsia="Times New Roman" w:cs="Times New Roman"/>
          <w:b/>
          <w:sz w:val="26"/>
        </w:rPr>
        <w:t>3.2 GoPhish tool overview and safe use</w:t>
      </w:r>
    </w:p>
    <w:p w14:paraId="6EEA44A3">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GoPhish is an open-source framework used by authorized security teams to conduct phishing simulations and security-awareness assessments. It can help organize a campaign, create a training landing page, send approved test messages, and record events such as message delivery, link clicks, or form interaction. It can provide measurable information about how people respond to simulated social-engineering attempts.</w:t>
      </w:r>
    </w:p>
    <w:p w14:paraId="6826CA3C">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A GoPhish campaign should be approved by the organization before it begins. The scope should identify the departments or test group, permitted dates, approved sender infrastructure, data that may be collected, privacy protections, and the people who will receive the final report. The exercise should not impersonate sensitive personal relationships or create unnecessary distress. Senior management, IT, human resources, and privacy or legal stakeholders should agree on the purpose and safeguards.</w:t>
      </w:r>
    </w:p>
    <w:p w14:paraId="043A6AAD">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The training page should not collect actual passwords. If the objective is to measure whether an employee would submit a credential, the page can record the event without storing the secret itself, then immediately explain the warning signs and provide short training. Campaign data should be retained only as long as needed and access should be restricted.</w:t>
      </w:r>
    </w:p>
    <w:p w14:paraId="6648C729">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GoPhish is a measurement and training tool, not a complete email-security solution. It does not replace secure email gateways, multi-factor authentication, endpoint protection, incident response, or a culture in which staff can report suspicious messages without fear. The tool's results should be combined with technical controls and employee feedback.</w:t>
      </w:r>
    </w:p>
    <w:p w14:paraId="0B2EEDA5">
      <w:pPr>
        <w:pStyle w:val="3"/>
        <w:spacing w:before="240" w:after="120" w:line="360" w:lineRule="auto"/>
        <w:rPr>
          <w:rFonts w:hint="default" w:ascii="Times New Roman" w:hAnsi="Times New Roman" w:cs="Times New Roman"/>
        </w:rPr>
      </w:pPr>
      <w:r>
        <w:rPr>
          <w:rFonts w:hint="default" w:ascii="Times New Roman" w:hAnsi="Times New Roman" w:eastAsia="Times New Roman" w:cs="Times New Roman"/>
          <w:b/>
          <w:sz w:val="26"/>
        </w:rPr>
        <w:t>3.3 Security weaknesses demonstrated by the results</w:t>
      </w:r>
    </w:p>
    <w:p w14:paraId="05EBF7E2">
      <w:pPr>
        <w:pStyle w:val="4"/>
        <w:spacing w:before="240" w:after="120" w:line="360" w:lineRule="auto"/>
        <w:rPr>
          <w:rFonts w:hint="default" w:ascii="Times New Roman" w:hAnsi="Times New Roman" w:cs="Times New Roman"/>
        </w:rPr>
      </w:pPr>
      <w:r>
        <w:rPr>
          <w:rFonts w:hint="default" w:ascii="Times New Roman" w:hAnsi="Times New Roman" w:eastAsia="Times New Roman" w:cs="Times New Roman"/>
          <w:b/>
          <w:sz w:val="26"/>
        </w:rPr>
        <w:t>A. Link inspection and sender verification</w:t>
      </w:r>
    </w:p>
    <w:p w14:paraId="15938B95">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The click rate suggests that some employees may not consistently verify the sender's identity or inspect a link before opening it. A message may use a familiar display name while the underlying address belongs to an unrelated domain. Link text can also appear trustworthy while directing the recipient elsewhere. Employees should learn to pause, check the full sender address when necessary, examine the destination carefully, and verify unexpected requests through a separate trusted channel.</w:t>
      </w:r>
    </w:p>
    <w:p w14:paraId="442CAFA3">
      <w:pPr>
        <w:pStyle w:val="4"/>
        <w:spacing w:before="240" w:after="120" w:line="360" w:lineRule="auto"/>
        <w:rPr>
          <w:rFonts w:hint="default" w:ascii="Times New Roman" w:hAnsi="Times New Roman" w:cs="Times New Roman"/>
        </w:rPr>
      </w:pPr>
      <w:r>
        <w:rPr>
          <w:rFonts w:hint="default" w:ascii="Times New Roman" w:hAnsi="Times New Roman" w:eastAsia="Times New Roman" w:cs="Times New Roman"/>
          <w:b/>
          <w:sz w:val="26"/>
        </w:rPr>
        <w:t>B. Credential disclosure</w:t>
      </w:r>
    </w:p>
    <w:p w14:paraId="3B7D2FD9">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The credential-submission rate suggests that some employees may trust a page because it resembles a known login screen or because the message creates urgency. A legitimate service should not ask users to reveal passwords through an unexpected email link. Staff should navigate to services through a known bookmark or official application, and should report messages that request passwords, authentication codes, or approval of unexpected sign-in prompts.</w:t>
      </w:r>
    </w:p>
    <w:p w14:paraId="79E45988">
      <w:pPr>
        <w:pStyle w:val="4"/>
        <w:spacing w:before="240" w:after="120" w:line="360" w:lineRule="auto"/>
        <w:rPr>
          <w:rFonts w:hint="default" w:ascii="Times New Roman" w:hAnsi="Times New Roman" w:cs="Times New Roman"/>
        </w:rPr>
      </w:pPr>
      <w:r>
        <w:rPr>
          <w:rFonts w:hint="default" w:ascii="Times New Roman" w:hAnsi="Times New Roman" w:eastAsia="Times New Roman" w:cs="Times New Roman"/>
          <w:b/>
          <w:sz w:val="26"/>
        </w:rPr>
        <w:t>C. Unsafe attachment handling</w:t>
      </w:r>
    </w:p>
    <w:p w14:paraId="550077FD">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Downloading an attachment without validating its source can expose an organization to malicious documents, scripts, archives, or files that exploit vulnerable software. Employees should be cautious about unexpected invoices, delivery notices, password-protected archives, or urgent documents. Technical controls should inspect attachments, block dangerous file types where justified, and open suspicious files in controlled environments rather than relying only on user judgment.</w:t>
      </w:r>
    </w:p>
    <w:p w14:paraId="716B0A66">
      <w:pPr>
        <w:pStyle w:val="4"/>
        <w:spacing w:before="240" w:after="120" w:line="360" w:lineRule="auto"/>
        <w:rPr>
          <w:rFonts w:hint="default" w:ascii="Times New Roman" w:hAnsi="Times New Roman" w:cs="Times New Roman"/>
        </w:rPr>
      </w:pPr>
      <w:r>
        <w:rPr>
          <w:rFonts w:hint="default" w:ascii="Times New Roman" w:hAnsi="Times New Roman" w:eastAsia="Times New Roman" w:cs="Times New Roman"/>
          <w:b/>
          <w:sz w:val="26"/>
        </w:rPr>
        <w:t>D. Reporting and escalation</w:t>
      </w:r>
    </w:p>
    <w:p w14:paraId="24653FE7">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The assessment does not state how many employees reported the simulated message. Reporting rate is a useful metric because an employee who recognizes a suspicious email and reports it can help protect colleagues. The organization should make reporting easy through a mail-client button or a clearly publicized security address. Staff should receive feedback quickly so they know whether the report was useful.</w:t>
      </w:r>
    </w:p>
    <w:p w14:paraId="3B0546B0">
      <w:pPr>
        <w:pStyle w:val="4"/>
        <w:spacing w:before="240" w:after="120" w:line="360" w:lineRule="auto"/>
        <w:rPr>
          <w:rFonts w:hint="default" w:ascii="Times New Roman" w:hAnsi="Times New Roman" w:cs="Times New Roman"/>
        </w:rPr>
      </w:pPr>
      <w:r>
        <w:rPr>
          <w:rFonts w:hint="default" w:ascii="Times New Roman" w:hAnsi="Times New Roman" w:eastAsia="Times New Roman" w:cs="Times New Roman"/>
          <w:b/>
          <w:sz w:val="26"/>
        </w:rPr>
        <w:t>E. Organizational and process factors</w:t>
      </w:r>
    </w:p>
    <w:p w14:paraId="5EB58581">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A high interaction rate can reflect process weaknesses as well as individual behavior. Employees may receive too many messages, work under constant time pressure, or be unsure how to verify a request from a senior person. Attackers often exploit urgency, authority, fear, curiosity, or a promise of reward. Managers should establish clear verification procedures for payments, payroll changes, password resets, confidential document requests, and other high-impact actions.</w:t>
      </w:r>
    </w:p>
    <w:p w14:paraId="19BDAC29">
      <w:pPr>
        <w:pStyle w:val="3"/>
        <w:spacing w:before="240" w:after="120" w:line="360" w:lineRule="auto"/>
        <w:rPr>
          <w:rFonts w:hint="default" w:ascii="Times New Roman" w:hAnsi="Times New Roman" w:cs="Times New Roman"/>
        </w:rPr>
      </w:pPr>
      <w:r>
        <w:rPr>
          <w:rFonts w:hint="default" w:ascii="Times New Roman" w:hAnsi="Times New Roman" w:eastAsia="Times New Roman" w:cs="Times New Roman"/>
          <w:b/>
          <w:sz w:val="26"/>
        </w:rPr>
        <w:t>3.4 User-awareness programs</w:t>
      </w:r>
    </w:p>
    <w:p w14:paraId="7111C1B1">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Awareness training should be short, practical, repeated, and relevant to the work employees perform. A one-time presentation is unlikely to create lasting habits. Training can use examples of suspicious sender addresses, unexpected attachments, unusual login requests, mismatched links, urgency language, and requests to bypass normal procedures. Employees should be shown how to report a message and what happens after reporting.</w:t>
      </w:r>
    </w:p>
    <w:p w14:paraId="0367E341">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New employees should receive basic security training during onboarding. Existing employees should receive periodic refreshers and role-specific training. Finance teams may need extra practice with payment diversion and invoice fraud. Human-resources staff may need examples involving employee records. IT administrators should receive advanced training on account security, authentication prompts, and incident escalation.</w:t>
      </w:r>
    </w:p>
    <w:p w14:paraId="4E39335C">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Simulations should be followed by immediate, supportive education. If an employee clicks, the page can explain the clues that were present and offer a short lesson. The objective is behavior change, not embarrassment. Results should be aggregated where possible, and managers should avoid public rankings that discourage reporting or damage trust.</w:t>
      </w:r>
    </w:p>
    <w:p w14:paraId="04C50605">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The organization should measure improvement across several campaigns rather than relying on one percentage. Useful metrics include click rate, credential-submission rate, attachment interaction, reporting rate, time to report, repeat behavior after training, and completion of assigned lessons. Metrics should be interpreted alongside employee feedback and the changing difficulty of each exercise.</w:t>
      </w:r>
    </w:p>
    <w:p w14:paraId="365C651A">
      <w:pPr>
        <w:pStyle w:val="3"/>
        <w:spacing w:before="240" w:after="120" w:line="360" w:lineRule="auto"/>
        <w:rPr>
          <w:rFonts w:hint="default" w:ascii="Times New Roman" w:hAnsi="Times New Roman" w:cs="Times New Roman"/>
        </w:rPr>
      </w:pPr>
      <w:r>
        <w:rPr>
          <w:rFonts w:hint="default" w:ascii="Times New Roman" w:hAnsi="Times New Roman" w:eastAsia="Times New Roman" w:cs="Times New Roman"/>
          <w:b/>
          <w:sz w:val="26"/>
        </w:rPr>
        <w:t>3.5 Email security controls</w:t>
      </w:r>
    </w:p>
    <w:p w14:paraId="6D806F4F">
      <w:pPr>
        <w:spacing w:after="60" w:line="360" w:lineRule="auto"/>
        <w:rPr>
          <w:rFonts w:hint="default" w:ascii="Times New Roman" w:hAnsi="Times New Roman" w:cs="Times New Roman"/>
        </w:rPr>
      </w:pPr>
      <w:r>
        <w:rPr>
          <w:rFonts w:hint="default" w:ascii="Times New Roman" w:hAnsi="Times New Roman" w:eastAsia="Times New Roman" w:cs="Times New Roman"/>
          <w:sz w:val="24"/>
        </w:rPr>
        <w:t>Configure SPF, DKIM, and DMARC for organizational email domains. These mechanisms help receiving systems evaluate whether mail is authorized and whether messages align with the domain's identity. They reduce some forms of spoofing but do not stop every phishing message.</w:t>
      </w:r>
    </w:p>
    <w:p w14:paraId="6ED29B73">
      <w:pPr>
        <w:spacing w:after="60" w:line="360" w:lineRule="auto"/>
        <w:rPr>
          <w:rFonts w:hint="default" w:ascii="Times New Roman" w:hAnsi="Times New Roman" w:cs="Times New Roman"/>
        </w:rPr>
      </w:pPr>
      <w:r>
        <w:rPr>
          <w:rFonts w:hint="default" w:ascii="Times New Roman" w:hAnsi="Times New Roman" w:eastAsia="Times New Roman" w:cs="Times New Roman"/>
          <w:sz w:val="24"/>
        </w:rPr>
        <w:t>Use a secure email gateway or cloud email protection to filter known malicious senders, suspicious URLs, spam, and dangerous attachments. Keep detection rules and threat intelligence updated.</w:t>
      </w:r>
    </w:p>
    <w:p w14:paraId="1B27478C">
      <w:pPr>
        <w:spacing w:after="60" w:line="360" w:lineRule="auto"/>
        <w:rPr>
          <w:rFonts w:hint="default" w:ascii="Times New Roman" w:hAnsi="Times New Roman" w:cs="Times New Roman"/>
        </w:rPr>
      </w:pPr>
      <w:r>
        <w:rPr>
          <w:rFonts w:hint="default" w:ascii="Times New Roman" w:hAnsi="Times New Roman" w:eastAsia="Times New Roman" w:cs="Times New Roman"/>
          <w:sz w:val="24"/>
        </w:rPr>
        <w:t>Use URL reputation and time-of-click protection where available, while recognizing that newly created or compromised websites may not yet be classified as malicious.</w:t>
      </w:r>
    </w:p>
    <w:p w14:paraId="51871231">
      <w:pPr>
        <w:spacing w:after="60" w:line="360" w:lineRule="auto"/>
        <w:rPr>
          <w:rFonts w:hint="default" w:ascii="Times New Roman" w:hAnsi="Times New Roman" w:cs="Times New Roman"/>
        </w:rPr>
      </w:pPr>
      <w:r>
        <w:rPr>
          <w:rFonts w:hint="default" w:ascii="Times New Roman" w:hAnsi="Times New Roman" w:eastAsia="Times New Roman" w:cs="Times New Roman"/>
          <w:sz w:val="24"/>
        </w:rPr>
        <w:t>Scan attachments and block file types that are unnecessary for business. Use sandboxing or detonation services for suspicious files when available, and keep document readers and operating systems patched.</w:t>
      </w:r>
    </w:p>
    <w:p w14:paraId="4155CA90">
      <w:pPr>
        <w:spacing w:after="60" w:line="360" w:lineRule="auto"/>
        <w:rPr>
          <w:rFonts w:hint="default" w:ascii="Times New Roman" w:hAnsi="Times New Roman" w:cs="Times New Roman"/>
        </w:rPr>
      </w:pPr>
      <w:r>
        <w:rPr>
          <w:rFonts w:hint="default" w:ascii="Times New Roman" w:hAnsi="Times New Roman" w:eastAsia="Times New Roman" w:cs="Times New Roman"/>
          <w:sz w:val="24"/>
        </w:rPr>
        <w:t>Display external-sender warnings where useful, and configure email clients to reduce unsafe automatic content loading. Warnings should be meaningful rather than so frequent that employees ignore them.</w:t>
      </w:r>
    </w:p>
    <w:p w14:paraId="07DA5CDE">
      <w:pPr>
        <w:spacing w:after="60" w:line="360" w:lineRule="auto"/>
        <w:rPr>
          <w:rFonts w:hint="default" w:ascii="Times New Roman" w:hAnsi="Times New Roman" w:cs="Times New Roman"/>
        </w:rPr>
      </w:pPr>
      <w:r>
        <w:rPr>
          <w:rFonts w:hint="default" w:ascii="Times New Roman" w:hAnsi="Times New Roman" w:eastAsia="Times New Roman" w:cs="Times New Roman"/>
          <w:sz w:val="24"/>
        </w:rPr>
        <w:t>Enable multi-factor authentication for email and other critical accounts. Prefer phishing-resistant methods where supported, and do not treat MFA as a reason to ignore suspicious login prompts.</w:t>
      </w:r>
    </w:p>
    <w:p w14:paraId="4AA21746">
      <w:pPr>
        <w:spacing w:after="60" w:line="360" w:lineRule="auto"/>
        <w:rPr>
          <w:rFonts w:hint="default" w:ascii="Times New Roman" w:hAnsi="Times New Roman" w:cs="Times New Roman"/>
        </w:rPr>
      </w:pPr>
      <w:r>
        <w:rPr>
          <w:rFonts w:hint="default" w:ascii="Times New Roman" w:hAnsi="Times New Roman" w:eastAsia="Times New Roman" w:cs="Times New Roman"/>
          <w:sz w:val="24"/>
        </w:rPr>
        <w:t>Apply least privilege to mailboxes and cloud accounts. Review forwarding rules, delegated access, app permissions, and unusual sign-in activity, because compromised accounts may be used to continue phishing internally.</w:t>
      </w:r>
    </w:p>
    <w:p w14:paraId="2DA5A799">
      <w:pPr>
        <w:spacing w:after="60" w:line="360" w:lineRule="auto"/>
        <w:rPr>
          <w:rFonts w:hint="default" w:ascii="Times New Roman" w:hAnsi="Times New Roman" w:cs="Times New Roman"/>
        </w:rPr>
      </w:pPr>
      <w:r>
        <w:rPr>
          <w:rFonts w:hint="default" w:ascii="Times New Roman" w:hAnsi="Times New Roman" w:eastAsia="Times New Roman" w:cs="Times New Roman"/>
          <w:sz w:val="24"/>
        </w:rPr>
        <w:t>Provide a simple report-phishing function and ensure the security team monitors it. Reported messages should be triaged quickly and, when appropriate, removed from other inboxes.</w:t>
      </w:r>
    </w:p>
    <w:p w14:paraId="0B269CFD">
      <w:pPr>
        <w:pStyle w:val="3"/>
        <w:spacing w:before="240" w:after="120" w:line="360" w:lineRule="auto"/>
        <w:rPr>
          <w:rFonts w:hint="default" w:ascii="Times New Roman" w:hAnsi="Times New Roman" w:cs="Times New Roman"/>
        </w:rPr>
      </w:pPr>
      <w:r>
        <w:rPr>
          <w:rFonts w:hint="default" w:ascii="Times New Roman" w:hAnsi="Times New Roman" w:eastAsia="Times New Roman" w:cs="Times New Roman"/>
          <w:b/>
          <w:sz w:val="26"/>
        </w:rPr>
        <w:t>3.6 Organizational policies and response procedures</w:t>
      </w:r>
    </w:p>
    <w:p w14:paraId="4E5B313C">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An acceptable-use and email-security policy should explain how staff handle unexpected links, attachments, credentials, and confidential information. The policy should state that employees must never share passwords or one-time codes in response to an email request and should verify sensitive requests through an independent channel.</w:t>
      </w:r>
    </w:p>
    <w:p w14:paraId="16356763">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A payment and account-change policy should require out-of-band verification for changes to bank details, payroll information, supplier accounts, or other high-impact records. A request should not be approved solely because it appears to come from a senior manager or a known business partner.</w:t>
      </w:r>
    </w:p>
    <w:p w14:paraId="4AC530C6">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The incident-response procedure should tell employees what to do if they click a suspicious link, submit credentials, or open a questionable file. Staff should report the event promptly and provide the original message if possible. The security team can then assess the event, revoke sessions, reset credentials when appropriate, isolate a device if there is evidence of compromise, and preserve relevant logs.</w:t>
      </w:r>
    </w:p>
    <w:p w14:paraId="636832B6">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The policy should protect employees who report mistakes in good faith. A blame-focused environment can delay reporting, allowing an incident to spread. Accountability is still necessary for deliberate policy violations, but routine training exercises should emphasize learning and prevention.</w:t>
      </w:r>
    </w:p>
    <w:p w14:paraId="3B65D266">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Campaign governance should include written authorization, defined scope, privacy review, data minimization, secure storage, limited access, retention limits, and a process for communicating results. The organization should avoid collecting real credentials or deploying actual malicious payloads in an awareness exercise.</w:t>
      </w:r>
    </w:p>
    <w:p w14:paraId="25FFB077">
      <w:pPr>
        <w:pStyle w:val="3"/>
        <w:spacing w:before="240" w:after="120" w:line="360" w:lineRule="auto"/>
        <w:rPr>
          <w:rFonts w:hint="default" w:ascii="Times New Roman" w:hAnsi="Times New Roman" w:cs="Times New Roman"/>
        </w:rPr>
      </w:pPr>
      <w:r>
        <w:rPr>
          <w:rFonts w:hint="default" w:ascii="Times New Roman" w:hAnsi="Times New Roman" w:eastAsia="Times New Roman" w:cs="Times New Roman"/>
          <w:b/>
          <w:sz w:val="26"/>
        </w:rPr>
        <w:t>3.7 Suggested improvement plan for ABC Technologies</w:t>
      </w:r>
    </w:p>
    <w:p w14:paraId="714FD0E5">
      <w:pPr>
        <w:spacing w:after="60" w:line="360" w:lineRule="auto"/>
        <w:rPr>
          <w:rFonts w:hint="default" w:ascii="Times New Roman" w:hAnsi="Times New Roman" w:cs="Times New Roman"/>
        </w:rPr>
      </w:pPr>
      <w:r>
        <w:rPr>
          <w:rFonts w:hint="default" w:ascii="Times New Roman" w:hAnsi="Times New Roman" w:eastAsia="Times New Roman" w:cs="Times New Roman"/>
          <w:sz w:val="24"/>
        </w:rPr>
        <w:t>Review the campaign setup and confirm that the percentages use a clearly defined denominator.</w:t>
      </w:r>
    </w:p>
    <w:p w14:paraId="618A17B1">
      <w:pPr>
        <w:spacing w:after="60" w:line="360" w:lineRule="auto"/>
        <w:rPr>
          <w:rFonts w:hint="default" w:ascii="Times New Roman" w:hAnsi="Times New Roman" w:cs="Times New Roman"/>
        </w:rPr>
      </w:pPr>
      <w:r>
        <w:rPr>
          <w:rFonts w:hint="default" w:ascii="Times New Roman" w:hAnsi="Times New Roman" w:eastAsia="Times New Roman" w:cs="Times New Roman"/>
          <w:sz w:val="24"/>
        </w:rPr>
        <w:t>Provide immediate, supportive micro-training to employees who interacted with the simulation, without publicly naming or shaming them.</w:t>
      </w:r>
    </w:p>
    <w:p w14:paraId="45D3B5EA">
      <w:pPr>
        <w:spacing w:after="60" w:line="360" w:lineRule="auto"/>
        <w:rPr>
          <w:rFonts w:hint="default" w:ascii="Times New Roman" w:hAnsi="Times New Roman" w:cs="Times New Roman"/>
        </w:rPr>
      </w:pPr>
      <w:r>
        <w:rPr>
          <w:rFonts w:hint="default" w:ascii="Times New Roman" w:hAnsi="Times New Roman" w:eastAsia="Times New Roman" w:cs="Times New Roman"/>
          <w:sz w:val="24"/>
        </w:rPr>
        <w:t>Run a company-wide refresher covering sender verification, link inspection, suspicious attachments, credential requests, and reporting.</w:t>
      </w:r>
    </w:p>
    <w:p w14:paraId="74D07E31">
      <w:pPr>
        <w:spacing w:after="60" w:line="360" w:lineRule="auto"/>
        <w:rPr>
          <w:rFonts w:hint="default" w:ascii="Times New Roman" w:hAnsi="Times New Roman" w:cs="Times New Roman"/>
        </w:rPr>
      </w:pPr>
      <w:r>
        <w:rPr>
          <w:rFonts w:hint="default" w:ascii="Times New Roman" w:hAnsi="Times New Roman" w:eastAsia="Times New Roman" w:cs="Times New Roman"/>
          <w:sz w:val="24"/>
        </w:rPr>
        <w:t>Enable or improve SPF, DKIM, and DMARC and review secure email gateway policies.</w:t>
      </w:r>
    </w:p>
    <w:p w14:paraId="16D1D392">
      <w:pPr>
        <w:spacing w:after="60" w:line="360" w:lineRule="auto"/>
        <w:rPr>
          <w:rFonts w:hint="default" w:ascii="Times New Roman" w:hAnsi="Times New Roman" w:cs="Times New Roman"/>
        </w:rPr>
      </w:pPr>
      <w:r>
        <w:rPr>
          <w:rFonts w:hint="default" w:ascii="Times New Roman" w:hAnsi="Times New Roman" w:eastAsia="Times New Roman" w:cs="Times New Roman"/>
          <w:sz w:val="24"/>
        </w:rPr>
        <w:t>Ensure MFA is enabled for email and critical applications; prioritize phishing-resistant options where practical.</w:t>
      </w:r>
    </w:p>
    <w:p w14:paraId="7E2E3D87">
      <w:pPr>
        <w:spacing w:after="60" w:line="360" w:lineRule="auto"/>
        <w:rPr>
          <w:rFonts w:hint="default" w:ascii="Times New Roman" w:hAnsi="Times New Roman" w:cs="Times New Roman"/>
        </w:rPr>
      </w:pPr>
      <w:r>
        <w:rPr>
          <w:rFonts w:hint="default" w:ascii="Times New Roman" w:hAnsi="Times New Roman" w:eastAsia="Times New Roman" w:cs="Times New Roman"/>
          <w:sz w:val="24"/>
        </w:rPr>
        <w:t>Create a clear report-phishing process and acknowledge employee reports quickly.</w:t>
      </w:r>
    </w:p>
    <w:p w14:paraId="2D506B71">
      <w:pPr>
        <w:spacing w:after="60" w:line="360" w:lineRule="auto"/>
        <w:rPr>
          <w:rFonts w:hint="default" w:ascii="Times New Roman" w:hAnsi="Times New Roman" w:cs="Times New Roman"/>
        </w:rPr>
      </w:pPr>
      <w:r>
        <w:rPr>
          <w:rFonts w:hint="default" w:ascii="Times New Roman" w:hAnsi="Times New Roman" w:eastAsia="Times New Roman" w:cs="Times New Roman"/>
          <w:sz w:val="24"/>
        </w:rPr>
        <w:t>Add out-of-band verification for payment, payroll, supplier, and account-change requests.</w:t>
      </w:r>
    </w:p>
    <w:p w14:paraId="08A9F655">
      <w:pPr>
        <w:spacing w:after="60" w:line="360" w:lineRule="auto"/>
        <w:rPr>
          <w:rFonts w:hint="default" w:ascii="Times New Roman" w:hAnsi="Times New Roman" w:cs="Times New Roman"/>
        </w:rPr>
      </w:pPr>
      <w:r>
        <w:rPr>
          <w:rFonts w:hint="default" w:ascii="Times New Roman" w:hAnsi="Times New Roman" w:eastAsia="Times New Roman" w:cs="Times New Roman"/>
          <w:sz w:val="24"/>
        </w:rPr>
        <w:t>Use harmless, approved simulations at reasonable intervals and vary the lessons tested.</w:t>
      </w:r>
    </w:p>
    <w:p w14:paraId="27A69B71">
      <w:pPr>
        <w:spacing w:after="60" w:line="360" w:lineRule="auto"/>
        <w:rPr>
          <w:rFonts w:hint="default" w:ascii="Times New Roman" w:hAnsi="Times New Roman" w:cs="Times New Roman"/>
        </w:rPr>
      </w:pPr>
      <w:r>
        <w:rPr>
          <w:rFonts w:hint="default" w:ascii="Times New Roman" w:hAnsi="Times New Roman" w:eastAsia="Times New Roman" w:cs="Times New Roman"/>
          <w:sz w:val="24"/>
        </w:rPr>
        <w:t>Track click, credential-submission, attachment-interaction, and reporting rates over time, using aggregated results where appropriate.</w:t>
      </w:r>
    </w:p>
    <w:p w14:paraId="3C276A68">
      <w:pPr>
        <w:spacing w:after="60" w:line="360" w:lineRule="auto"/>
        <w:rPr>
          <w:rFonts w:hint="default" w:ascii="Times New Roman" w:hAnsi="Times New Roman" w:cs="Times New Roman"/>
        </w:rPr>
      </w:pPr>
      <w:r>
        <w:rPr>
          <w:rFonts w:hint="default" w:ascii="Times New Roman" w:hAnsi="Times New Roman" w:eastAsia="Times New Roman" w:cs="Times New Roman"/>
          <w:sz w:val="24"/>
        </w:rPr>
        <w:t>Review whether the technical controls blocked or flagged the test messages as expected and adjust them based on evidence.</w:t>
      </w:r>
    </w:p>
    <w:p w14:paraId="04E2BB05">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The main conclusion for Question 2 is that the campaign reveals opportunities to strengthen both human awareness and technical protection. Employee education is necessary, but it must be supported by email filtering, MFA, safe reporting, verification procedures, and an environment that encourages quick disclosure of mistakes.</w:t>
      </w:r>
    </w:p>
    <w:p w14:paraId="2A8C27B3">
      <w:pPr>
        <w:pStyle w:val="2"/>
        <w:spacing w:before="240" w:after="120" w:line="360" w:lineRule="auto"/>
        <w:rPr>
          <w:rFonts w:hint="default" w:ascii="Times New Roman" w:hAnsi="Times New Roman" w:cs="Times New Roman"/>
        </w:rPr>
      </w:pPr>
      <w:r>
        <w:rPr>
          <w:rFonts w:hint="default" w:ascii="Times New Roman" w:hAnsi="Times New Roman" w:eastAsia="Times New Roman" w:cs="Times New Roman"/>
          <w:b/>
          <w:sz w:val="32"/>
        </w:rPr>
        <w:t>4. QUESTION 3 – DNS ZONE TRANSFER ASSESSMENT USING DIG</w:t>
      </w:r>
    </w:p>
    <w:p w14:paraId="7EDD10CC">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Question summary: A DNS assessment using Dig shows that the organization's DNS server permits a successful DNS Zone Transfer (AXFR), exposing internal hostnames, mail servers, and DNS records. The task is to analyze the security implications, explain possible misuse at a high level, and recommend best practices.</w:t>
      </w:r>
    </w:p>
    <w:p w14:paraId="5DB7CFF4">
      <w:pPr>
        <w:pStyle w:val="3"/>
        <w:spacing w:before="240" w:after="120" w:line="360" w:lineRule="auto"/>
        <w:rPr>
          <w:rFonts w:hint="default" w:ascii="Times New Roman" w:hAnsi="Times New Roman" w:cs="Times New Roman"/>
        </w:rPr>
      </w:pPr>
      <w:r>
        <w:rPr>
          <w:rFonts w:hint="default" w:ascii="Times New Roman" w:hAnsi="Times New Roman" w:eastAsia="Times New Roman" w:cs="Times New Roman"/>
          <w:b/>
          <w:sz w:val="26"/>
        </w:rPr>
        <w:t>4.1 DNS and zone transfers</w:t>
      </w:r>
    </w:p>
    <w:p w14:paraId="5DEFC104">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The Domain Name System (DNS) translates domain names into information used by computers, including IP addresses and mail-routing details. DNS records help users reach websites and help mail systems deliver messages. Common record types include A and AAAA records for IPv4 and IPv6 addresses, MX records for mail exchangers, NS records for authoritative name servers, CNAME records for aliases, and TXT records for text-based configuration and verification.</w:t>
      </w:r>
    </w:p>
    <w:p w14:paraId="2758C874">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A DNS zone is an administrative portion of the DNS namespace for which a set of authoritative records is maintained. A zone transfer copies zone data from one DNS server to another, commonly to keep secondary authoritative servers synchronized. AXFR is the DNS query type associated with a full zone transfer. Zone transfers are legitimate when configured between authorized primary and secondary servers.</w:t>
      </w:r>
    </w:p>
    <w:p w14:paraId="430A2710">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The security concern in this scenario is not that DNS exists or that all DNS records must be secret. The concern is that the server permits a full transfer to an unauthorized requester. If a public or otherwise untrusted party can obtain a complete zone, the data may reveal hostnames, mail systems, naming conventions, subdomains, and service roles that were not intended to be broadly disclosed.</w:t>
      </w:r>
    </w:p>
    <w:p w14:paraId="7E9F1730">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Dig is a command-line DNS lookup utility commonly used to query DNS servers and inspect responses. It can help administrators validate record data and diagnose DNS behavior. A Dig result is evidence of the server's response from the test location and time; it should be documented with the queried name, server, query type, and response. A controlled assessment should only query domains and servers within the approved scope.</w:t>
      </w:r>
    </w:p>
    <w:p w14:paraId="1CC8B6E3">
      <w:pPr>
        <w:pStyle w:val="3"/>
        <w:spacing w:before="240" w:after="120" w:line="360" w:lineRule="auto"/>
        <w:rPr>
          <w:rFonts w:hint="default" w:ascii="Times New Roman" w:hAnsi="Times New Roman" w:cs="Times New Roman"/>
        </w:rPr>
      </w:pPr>
      <w:r>
        <w:rPr>
          <w:rFonts w:hint="default" w:ascii="Times New Roman" w:hAnsi="Times New Roman" w:eastAsia="Times New Roman" w:cs="Times New Roman"/>
          <w:b/>
          <w:sz w:val="26"/>
        </w:rPr>
        <w:t>4.2 Dig tool overview and role in assessment</w:t>
      </w:r>
    </w:p>
    <w:p w14:paraId="69C8D5BC">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Dig stands for Domain Information Groper. It is used to request DNS information and display details about the answer, authority, and additional sections. It can help troubleshoot name resolution, verify records after a configuration change, and investigate whether a server answers a particular query type.</w:t>
      </w:r>
    </w:p>
    <w:p w14:paraId="4BC8C736">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For a zone-transfer assessment, an authorized tester checks whether the authoritative DNS server will provide a full zone transfer to a requester that is not an approved secondary server. If the transfer succeeds, the result should be treated as a configuration issue requiring investigation. The test should not be repeated excessively, and the resulting records should be protected because they may contain operationally sensitive information.</w:t>
      </w:r>
    </w:p>
    <w:p w14:paraId="12BD65F2">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The tool itself does not determine whether every returned hostname is confidential or whether an attacker can reach the associated host. The analyst must classify the records, compare them with the intended public DNS design, and determine which names are internal-only, obsolete, sensitive, or intentionally public. DNS results should be correlated with asset inventory and firewall configuration.</w:t>
      </w:r>
    </w:p>
    <w:p w14:paraId="749171BF">
      <w:pPr>
        <w:pStyle w:val="3"/>
        <w:spacing w:before="240" w:after="120" w:line="360" w:lineRule="auto"/>
        <w:rPr>
          <w:rFonts w:hint="default" w:ascii="Times New Roman" w:hAnsi="Times New Roman" w:cs="Times New Roman"/>
        </w:rPr>
      </w:pPr>
      <w:r>
        <w:rPr>
          <w:rFonts w:hint="default" w:ascii="Times New Roman" w:hAnsi="Times New Roman" w:eastAsia="Times New Roman" w:cs="Times New Roman"/>
          <w:b/>
          <w:sz w:val="26"/>
        </w:rPr>
        <w:t>4.3 Security implications of exposed DNS records</w:t>
      </w:r>
    </w:p>
    <w:p w14:paraId="3B24A565">
      <w:pPr>
        <w:pStyle w:val="4"/>
        <w:spacing w:before="240" w:after="120" w:line="360" w:lineRule="auto"/>
        <w:rPr>
          <w:rFonts w:hint="default" w:ascii="Times New Roman" w:hAnsi="Times New Roman" w:cs="Times New Roman"/>
        </w:rPr>
      </w:pPr>
      <w:r>
        <w:rPr>
          <w:rFonts w:hint="default" w:ascii="Times New Roman" w:hAnsi="Times New Roman" w:eastAsia="Times New Roman" w:cs="Times New Roman"/>
          <w:b/>
          <w:sz w:val="26"/>
        </w:rPr>
        <w:t>A. Internal hostnames and system roles</w:t>
      </w:r>
    </w:p>
    <w:p w14:paraId="1ADA528F">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Hostnames can reveal naming conventions and system purpose. Names may suggest that a host supports development, testing, backups, administration, authentication, or business applications. Even without direct access, such clues can help an attacker prioritize targets or craft believable social-engineering messages. The organization should avoid placing unnecessary sensitive details in public names and should separate internal naming from public authoritative zones.</w:t>
      </w:r>
    </w:p>
    <w:p w14:paraId="16D815A7">
      <w:pPr>
        <w:pStyle w:val="4"/>
        <w:spacing w:before="240" w:after="120" w:line="360" w:lineRule="auto"/>
        <w:rPr>
          <w:rFonts w:hint="default" w:ascii="Times New Roman" w:hAnsi="Times New Roman" w:cs="Times New Roman"/>
        </w:rPr>
      </w:pPr>
      <w:r>
        <w:rPr>
          <w:rFonts w:hint="default" w:ascii="Times New Roman" w:hAnsi="Times New Roman" w:eastAsia="Times New Roman" w:cs="Times New Roman"/>
          <w:b/>
          <w:sz w:val="26"/>
        </w:rPr>
        <w:t>B. Mail-server information</w:t>
      </w:r>
    </w:p>
    <w:p w14:paraId="7B7A4FE6">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MX records identify the mail systems responsible for receiving email for a domain. These records are often intentionally public because email must be delivered, so their presence alone is not a vulnerability. However, a complete zone may reveal additional mail-related hosts, legacy systems, or internal naming patterns. Defenders should review mail exposure, maintain secure configurations, and remove obsolete records.</w:t>
      </w:r>
    </w:p>
    <w:p w14:paraId="5D3C6E16">
      <w:pPr>
        <w:pStyle w:val="4"/>
        <w:spacing w:before="240" w:after="120" w:line="360" w:lineRule="auto"/>
        <w:rPr>
          <w:rFonts w:hint="default" w:ascii="Times New Roman" w:hAnsi="Times New Roman" w:cs="Times New Roman"/>
        </w:rPr>
      </w:pPr>
      <w:r>
        <w:rPr>
          <w:rFonts w:hint="default" w:ascii="Times New Roman" w:hAnsi="Times New Roman" w:eastAsia="Times New Roman" w:cs="Times New Roman"/>
          <w:b/>
          <w:sz w:val="26"/>
        </w:rPr>
        <w:t>C. Subdomains and service inventory</w:t>
      </w:r>
    </w:p>
    <w:p w14:paraId="6FDC6CCE">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A full zone can reveal subdomains that are not easily discovered through ordinary public lookups. Some records may identify portals, test environments, remote access gateways, or older applications. These names can expand an attacker's understanding of the organization's infrastructure. The organization should ensure that every published record is approved and that exposed services have appropriate authentication, patching, and network restrictions.</w:t>
      </w:r>
    </w:p>
    <w:p w14:paraId="7C9D9287">
      <w:pPr>
        <w:pStyle w:val="4"/>
        <w:spacing w:before="240" w:after="120" w:line="360" w:lineRule="auto"/>
        <w:rPr>
          <w:rFonts w:hint="default" w:ascii="Times New Roman" w:hAnsi="Times New Roman" w:cs="Times New Roman"/>
        </w:rPr>
      </w:pPr>
      <w:r>
        <w:rPr>
          <w:rFonts w:hint="default" w:ascii="Times New Roman" w:hAnsi="Times New Roman" w:eastAsia="Times New Roman" w:cs="Times New Roman"/>
          <w:b/>
          <w:sz w:val="26"/>
        </w:rPr>
        <w:t>D. Technology and organizational clues</w:t>
      </w:r>
    </w:p>
    <w:p w14:paraId="2B5A6393">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Record names and patterns can sometimes indicate cloud providers, vendors, business units, or system types. Such information can support reconnaissance and targeted phishing. The risk is contextual: many records are expected to be public, but unnecessary disclosure can reduce the effort required to plan an attack. DNS hygiene and a maintained public-record inventory help reduce avoidable exposure.</w:t>
      </w:r>
    </w:p>
    <w:p w14:paraId="671895E9">
      <w:pPr>
        <w:pStyle w:val="4"/>
        <w:spacing w:before="240" w:after="120" w:line="360" w:lineRule="auto"/>
        <w:rPr>
          <w:rFonts w:hint="default" w:ascii="Times New Roman" w:hAnsi="Times New Roman" w:cs="Times New Roman"/>
        </w:rPr>
      </w:pPr>
      <w:r>
        <w:rPr>
          <w:rFonts w:hint="default" w:ascii="Times New Roman" w:hAnsi="Times New Roman" w:eastAsia="Times New Roman" w:cs="Times New Roman"/>
          <w:b/>
          <w:sz w:val="26"/>
        </w:rPr>
        <w:t>E. Integrity and availability considerations</w:t>
      </w:r>
    </w:p>
    <w:p w14:paraId="006BB052">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A zone-transfer permission error is primarily an information-disclosure issue, not direct evidence that records can be changed. Zone transfer and DNS update permissions are different functions. The organization must separately secure dynamic updates and administrative access. DNS integrity and availability still matter because unauthorized record changes or service disruption can redirect users or prevent them from reaching legitimate services.</w:t>
      </w:r>
    </w:p>
    <w:p w14:paraId="7E9769E4">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The report should distinguish these issues clearly: successful AXFR may disclose records; it does not, by itself, prove that an attacker can alter DNS records, compromise a host, or intercept email. Those would require separate evidence.</w:t>
      </w:r>
    </w:p>
    <w:p w14:paraId="5F4279DF">
      <w:pPr>
        <w:pStyle w:val="3"/>
        <w:spacing w:before="240" w:after="120" w:line="360" w:lineRule="auto"/>
        <w:rPr>
          <w:rFonts w:hint="default" w:ascii="Times New Roman" w:hAnsi="Times New Roman" w:cs="Times New Roman"/>
        </w:rPr>
      </w:pPr>
      <w:r>
        <w:rPr>
          <w:rFonts w:hint="default" w:ascii="Times New Roman" w:hAnsi="Times New Roman" w:eastAsia="Times New Roman" w:cs="Times New Roman"/>
          <w:b/>
          <w:sz w:val="26"/>
        </w:rPr>
        <w:t>4.4 How exposed records may be misused</w:t>
      </w:r>
    </w:p>
    <w:p w14:paraId="5F7BD4D4">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At a high level, a malicious actor could use the exposed names to build a more complete map of the organization's systems. That map may guide further reconnaissance, identify neglected test systems, reveal likely remote-access points, or make phishing messages more convincing. A hostname that suggests a finance portal or employee service may provide a theme for a targeted message.</w:t>
      </w:r>
    </w:p>
    <w:p w14:paraId="4398F028">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The presence of a name does not mean the corresponding service is reachable or vulnerable. Firewalls, access controls, network segmentation, authentication, and patching may prevent misuse. The correct defensive response is to verify the inventory, confirm that sensitive services are not publicly exposed unnecessarily, and assess the controls protecting each discovered asset.</w:t>
      </w:r>
    </w:p>
    <w:p w14:paraId="1AE4430C">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The organization should not attempt to hide every DNS record as its only defense. Public DNS necessarily publishes some information, and obscurity is not a replacement for secure configuration. The priority is to limit unnecessary disclosure, remove obsolete records, separate internal and public zones, and ensure that each reachable service is securely managed.</w:t>
      </w:r>
    </w:p>
    <w:p w14:paraId="4867886D">
      <w:pPr>
        <w:pStyle w:val="3"/>
        <w:spacing w:before="240" w:after="120" w:line="360" w:lineRule="auto"/>
        <w:rPr>
          <w:rFonts w:hint="default" w:ascii="Times New Roman" w:hAnsi="Times New Roman" w:cs="Times New Roman"/>
        </w:rPr>
      </w:pPr>
      <w:r>
        <w:rPr>
          <w:rFonts w:hint="default" w:ascii="Times New Roman" w:hAnsi="Times New Roman" w:eastAsia="Times New Roman" w:cs="Times New Roman"/>
          <w:b/>
          <w:sz w:val="26"/>
        </w:rPr>
        <w:t>4.5 Recommended DNS protection measures</w:t>
      </w:r>
    </w:p>
    <w:p w14:paraId="66449D49">
      <w:pPr>
        <w:spacing w:after="60" w:line="360" w:lineRule="auto"/>
        <w:rPr>
          <w:rFonts w:hint="default" w:ascii="Times New Roman" w:hAnsi="Times New Roman" w:cs="Times New Roman"/>
        </w:rPr>
      </w:pPr>
      <w:r>
        <w:rPr>
          <w:rFonts w:hint="default" w:ascii="Times New Roman" w:hAnsi="Times New Roman" w:eastAsia="Times New Roman" w:cs="Times New Roman"/>
          <w:sz w:val="24"/>
        </w:rPr>
        <w:t>Configure zone transfers so that only explicitly authorized secondary DNS servers can receive them.</w:t>
      </w:r>
    </w:p>
    <w:p w14:paraId="558118CA">
      <w:pPr>
        <w:spacing w:after="60" w:line="360" w:lineRule="auto"/>
        <w:rPr>
          <w:rFonts w:hint="default" w:ascii="Times New Roman" w:hAnsi="Times New Roman" w:cs="Times New Roman"/>
        </w:rPr>
      </w:pPr>
      <w:r>
        <w:rPr>
          <w:rFonts w:hint="default" w:ascii="Times New Roman" w:hAnsi="Times New Roman" w:eastAsia="Times New Roman" w:cs="Times New Roman"/>
          <w:sz w:val="24"/>
        </w:rPr>
        <w:t>Use access-control lists, firewall rules, or equivalent provider controls to restrict transfer requests to known server addresses.</w:t>
      </w:r>
    </w:p>
    <w:p w14:paraId="24B5BE58">
      <w:pPr>
        <w:spacing w:after="60" w:line="360" w:lineRule="auto"/>
        <w:rPr>
          <w:rFonts w:hint="default" w:ascii="Times New Roman" w:hAnsi="Times New Roman" w:cs="Times New Roman"/>
        </w:rPr>
      </w:pPr>
      <w:r>
        <w:rPr>
          <w:rFonts w:hint="default" w:ascii="Times New Roman" w:hAnsi="Times New Roman" w:eastAsia="Times New Roman" w:cs="Times New Roman"/>
          <w:sz w:val="24"/>
        </w:rPr>
        <w:t>Use authenticated transfer mechanisms such as TSIG where supported and appropriate, with keys stored and rotated securely.</w:t>
      </w:r>
    </w:p>
    <w:p w14:paraId="1870F052">
      <w:pPr>
        <w:spacing w:after="60" w:line="360" w:lineRule="auto"/>
        <w:rPr>
          <w:rFonts w:hint="default" w:ascii="Times New Roman" w:hAnsi="Times New Roman" w:cs="Times New Roman"/>
        </w:rPr>
      </w:pPr>
      <w:r>
        <w:rPr>
          <w:rFonts w:hint="default" w:ascii="Times New Roman" w:hAnsi="Times New Roman" w:eastAsia="Times New Roman" w:cs="Times New Roman"/>
          <w:sz w:val="24"/>
        </w:rPr>
        <w:t>Review primary and secondary DNS roles and remove transfer permissions that are no longer required.</w:t>
      </w:r>
    </w:p>
    <w:p w14:paraId="027044CA">
      <w:pPr>
        <w:spacing w:after="60" w:line="360" w:lineRule="auto"/>
        <w:rPr>
          <w:rFonts w:hint="default" w:ascii="Times New Roman" w:hAnsi="Times New Roman" w:cs="Times New Roman"/>
        </w:rPr>
      </w:pPr>
      <w:r>
        <w:rPr>
          <w:rFonts w:hint="default" w:ascii="Times New Roman" w:hAnsi="Times New Roman" w:eastAsia="Times New Roman" w:cs="Times New Roman"/>
          <w:sz w:val="24"/>
        </w:rPr>
        <w:t>Separate internal DNS zones from public authoritative zones. Internal hostnames should be available only to intended internal resolvers and clients.</w:t>
      </w:r>
    </w:p>
    <w:p w14:paraId="1DB5D0B6">
      <w:pPr>
        <w:spacing w:after="60" w:line="360" w:lineRule="auto"/>
        <w:rPr>
          <w:rFonts w:hint="default" w:ascii="Times New Roman" w:hAnsi="Times New Roman" w:cs="Times New Roman"/>
        </w:rPr>
      </w:pPr>
      <w:r>
        <w:rPr>
          <w:rFonts w:hint="default" w:ascii="Times New Roman" w:hAnsi="Times New Roman" w:eastAsia="Times New Roman" w:cs="Times New Roman"/>
          <w:sz w:val="24"/>
        </w:rPr>
        <w:t>Audit all published records and remove stale, duplicated, or unnecessary hostnames after confirming that business owners no longer need them.</w:t>
      </w:r>
    </w:p>
    <w:p w14:paraId="0209BC90">
      <w:pPr>
        <w:spacing w:after="60" w:line="360" w:lineRule="auto"/>
        <w:rPr>
          <w:rFonts w:hint="default" w:ascii="Times New Roman" w:hAnsi="Times New Roman" w:cs="Times New Roman"/>
        </w:rPr>
      </w:pPr>
      <w:r>
        <w:rPr>
          <w:rFonts w:hint="default" w:ascii="Times New Roman" w:hAnsi="Times New Roman" w:eastAsia="Times New Roman" w:cs="Times New Roman"/>
          <w:sz w:val="24"/>
        </w:rPr>
        <w:t>Restrict dynamic DNS updates to authorized systems and protect administrative access to DNS management platforms.</w:t>
      </w:r>
    </w:p>
    <w:p w14:paraId="58CF9F80">
      <w:pPr>
        <w:spacing w:after="60" w:line="360" w:lineRule="auto"/>
        <w:rPr>
          <w:rFonts w:hint="default" w:ascii="Times New Roman" w:hAnsi="Times New Roman" w:cs="Times New Roman"/>
        </w:rPr>
      </w:pPr>
      <w:r>
        <w:rPr>
          <w:rFonts w:hint="default" w:ascii="Times New Roman" w:hAnsi="Times New Roman" w:eastAsia="Times New Roman" w:cs="Times New Roman"/>
          <w:sz w:val="24"/>
        </w:rPr>
        <w:t>Keep DNS server software and operating systems supported and patched; disable unnecessary services and apply secure configuration baselines.</w:t>
      </w:r>
    </w:p>
    <w:p w14:paraId="548F63DF">
      <w:pPr>
        <w:spacing w:after="60" w:line="360" w:lineRule="auto"/>
        <w:rPr>
          <w:rFonts w:hint="default" w:ascii="Times New Roman" w:hAnsi="Times New Roman" w:cs="Times New Roman"/>
        </w:rPr>
      </w:pPr>
      <w:r>
        <w:rPr>
          <w:rFonts w:hint="default" w:ascii="Times New Roman" w:hAnsi="Times New Roman" w:eastAsia="Times New Roman" w:cs="Times New Roman"/>
          <w:sz w:val="24"/>
        </w:rPr>
        <w:t>Enable logging and monitoring for unusual DNS queries, repeated transfer attempts, configuration changes, and unexpected changes in record data.</w:t>
      </w:r>
    </w:p>
    <w:p w14:paraId="635B2456">
      <w:pPr>
        <w:spacing w:after="60" w:line="360" w:lineRule="auto"/>
        <w:rPr>
          <w:rFonts w:hint="default" w:ascii="Times New Roman" w:hAnsi="Times New Roman" w:cs="Times New Roman"/>
        </w:rPr>
      </w:pPr>
      <w:r>
        <w:rPr>
          <w:rFonts w:hint="default" w:ascii="Times New Roman" w:hAnsi="Times New Roman" w:eastAsia="Times New Roman" w:cs="Times New Roman"/>
          <w:sz w:val="24"/>
        </w:rPr>
        <w:t>Use change control for DNS modifications and maintain a known-good record inventory so unexpected changes can be identified.</w:t>
      </w:r>
    </w:p>
    <w:p w14:paraId="22BCF1F6">
      <w:pPr>
        <w:spacing w:after="60" w:line="360" w:lineRule="auto"/>
        <w:rPr>
          <w:rFonts w:hint="default" w:ascii="Times New Roman" w:hAnsi="Times New Roman" w:cs="Times New Roman"/>
        </w:rPr>
      </w:pPr>
      <w:r>
        <w:rPr>
          <w:rFonts w:hint="default" w:ascii="Times New Roman" w:hAnsi="Times New Roman" w:eastAsia="Times New Roman" w:cs="Times New Roman"/>
          <w:sz w:val="24"/>
        </w:rPr>
        <w:t>Validate the fix from an unauthorized test position within the approved scope and confirm that legitimate secondary servers can still synchronize.</w:t>
      </w:r>
    </w:p>
    <w:p w14:paraId="10460DA7">
      <w:pPr>
        <w:spacing w:after="60" w:line="360" w:lineRule="auto"/>
        <w:rPr>
          <w:rFonts w:hint="default" w:ascii="Times New Roman" w:hAnsi="Times New Roman" w:cs="Times New Roman"/>
        </w:rPr>
      </w:pPr>
      <w:r>
        <w:rPr>
          <w:rFonts w:hint="default" w:ascii="Times New Roman" w:hAnsi="Times New Roman" w:eastAsia="Times New Roman" w:cs="Times New Roman"/>
          <w:sz w:val="24"/>
        </w:rPr>
        <w:t>Protect assessment output because a complete zone listing can itself contain sensitive operational information.</w:t>
      </w:r>
    </w:p>
    <w:p w14:paraId="3669B67A">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A successful zone transfer should be remediated without disrupting legitimate replication. Before changing the configuration, the DNS administrator should identify the authorized secondary servers and test the effect of any access restriction. After the change, the team should verify that approved transfers still work and that unapproved requests are denied.</w:t>
      </w:r>
    </w:p>
    <w:p w14:paraId="366A375F">
      <w:pPr>
        <w:pStyle w:val="3"/>
        <w:spacing w:before="240" w:after="120" w:line="360" w:lineRule="auto"/>
        <w:rPr>
          <w:rFonts w:hint="default" w:ascii="Times New Roman" w:hAnsi="Times New Roman" w:cs="Times New Roman"/>
        </w:rPr>
      </w:pPr>
      <w:r>
        <w:rPr>
          <w:rFonts w:hint="default" w:ascii="Times New Roman" w:hAnsi="Times New Roman" w:eastAsia="Times New Roman" w:cs="Times New Roman"/>
          <w:b/>
          <w:sz w:val="26"/>
        </w:rPr>
        <w:t>4.6 Example of a DNS remediation verification record</w:t>
      </w:r>
    </w:p>
    <w:p w14:paraId="20E67E7F">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A concise verification record can state: 'The assessment observed that the authoritative DNS server returned a zone-transfer response to a requester outside the approved secondary-server list. The DNS administrator restricted transfers to authorized secondary servers, reviewed the public zone for unnecessary records, and tested synchronization from the approved secondary server. A follow-up test confirmed that the unauthorized transfer was denied while authorized replication continued.' This is an example of report wording and should be used only if those steps were actually completed.</w:t>
      </w:r>
    </w:p>
    <w:p w14:paraId="4563048F">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The main conclusion for Question 3 is that AXFR should be allowed only where required and only to trusted secondary servers. DNS data can help attackers understand infrastructure, so public and internal zones should be reviewed carefully. At the same time, a successful transfer must not be confused with proof of DNS record modification or server compromise.</w:t>
      </w:r>
    </w:p>
    <w:p w14:paraId="0FFBB778">
      <w:pPr>
        <w:pStyle w:val="2"/>
        <w:spacing w:before="240" w:after="120" w:line="360" w:lineRule="auto"/>
        <w:rPr>
          <w:rFonts w:hint="default" w:ascii="Times New Roman" w:hAnsi="Times New Roman" w:cs="Times New Roman"/>
        </w:rPr>
      </w:pPr>
      <w:r>
        <w:rPr>
          <w:rFonts w:hint="default" w:ascii="Times New Roman" w:hAnsi="Times New Roman" w:eastAsia="Times New Roman" w:cs="Times New Roman"/>
          <w:b/>
          <w:sz w:val="32"/>
        </w:rPr>
        <w:t>5. INTEGRATED SECURITY IMPROVEMENT PLAN</w:t>
      </w:r>
    </w:p>
    <w:p w14:paraId="1A0BB58C">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The three findings represent different parts of the organization's attack surface. Nmap reveals reachable network services; GoPhish measures how employees respond to simulated social engineering; Dig tests DNS behavior and information exposure. An effective improvement plan combines technical hardening, employee education, monitoring, and verification.</w:t>
      </w:r>
    </w:p>
    <w:p w14:paraId="78D7D255">
      <w:pPr>
        <w:pStyle w:val="3"/>
        <w:spacing w:before="240" w:after="120" w:line="360" w:lineRule="auto"/>
        <w:rPr>
          <w:rFonts w:hint="default" w:ascii="Times New Roman" w:hAnsi="Times New Roman" w:cs="Times New Roman"/>
        </w:rPr>
      </w:pPr>
      <w:r>
        <w:rPr>
          <w:rFonts w:hint="default" w:ascii="Times New Roman" w:hAnsi="Times New Roman" w:eastAsia="Times New Roman" w:cs="Times New Roman"/>
          <w:b/>
          <w:sz w:val="26"/>
        </w:rPr>
        <w:t>5.1 Prioritization</w:t>
      </w:r>
    </w:p>
    <w:p w14:paraId="0CE1F290">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Remediation should be prioritized according to business impact, exposure, likelihood, and the strength of the evidence. A directly exposed database containing sensitive records may require urgent attention. Credential submission in a phishing simulation highlights a need for improved protection but is not equivalent to a confirmed account compromise. An unauthorized zone transfer should be corrected promptly, while maintaining legitimate DNS replication.</w:t>
      </w:r>
    </w:p>
    <w:p w14:paraId="3F1324FF">
      <w:pPr>
        <w:spacing w:after="60" w:line="360" w:lineRule="auto"/>
        <w:rPr>
          <w:rFonts w:hint="default" w:ascii="Times New Roman" w:hAnsi="Times New Roman" w:cs="Times New Roman"/>
        </w:rPr>
      </w:pPr>
      <w:r>
        <w:rPr>
          <w:rFonts w:hint="default" w:ascii="Times New Roman" w:hAnsi="Times New Roman" w:eastAsia="Times New Roman" w:cs="Times New Roman"/>
          <w:sz w:val="24"/>
        </w:rPr>
        <w:t>High priority: restrict unnecessary database access, address confirmed critical software vulnerabilities, protect privileged remote access, and correct unauthorized zone-transfer permissions.</w:t>
      </w:r>
    </w:p>
    <w:p w14:paraId="6CEA7F74">
      <w:pPr>
        <w:spacing w:after="60" w:line="360" w:lineRule="auto"/>
        <w:rPr>
          <w:rFonts w:hint="default" w:ascii="Times New Roman" w:hAnsi="Times New Roman" w:cs="Times New Roman"/>
        </w:rPr>
      </w:pPr>
      <w:r>
        <w:rPr>
          <w:rFonts w:hint="default" w:ascii="Times New Roman" w:hAnsi="Times New Roman" w:eastAsia="Times New Roman" w:cs="Times New Roman"/>
          <w:sz w:val="24"/>
        </w:rPr>
        <w:t>Medium priority: improve email authentication, strengthen attachment controls, enable or improve MFA, and deliver targeted awareness training based on campaign results.</w:t>
      </w:r>
    </w:p>
    <w:p w14:paraId="6FD7069A">
      <w:pPr>
        <w:spacing w:after="60" w:line="360" w:lineRule="auto"/>
        <w:rPr>
          <w:rFonts w:hint="default" w:ascii="Times New Roman" w:hAnsi="Times New Roman" w:cs="Times New Roman"/>
        </w:rPr>
      </w:pPr>
      <w:r>
        <w:rPr>
          <w:rFonts w:hint="default" w:ascii="Times New Roman" w:hAnsi="Times New Roman" w:eastAsia="Times New Roman" w:cs="Times New Roman"/>
          <w:sz w:val="24"/>
        </w:rPr>
        <w:t>Ongoing priority: maintain inventories, remove obsolete records and services, review logs, patch systems, test backups, and repeat authorized assessments.</w:t>
      </w:r>
    </w:p>
    <w:p w14:paraId="2B178EF9">
      <w:pPr>
        <w:pStyle w:val="3"/>
        <w:spacing w:before="240" w:after="120" w:line="360" w:lineRule="auto"/>
        <w:rPr>
          <w:rFonts w:hint="default" w:ascii="Times New Roman" w:hAnsi="Times New Roman" w:cs="Times New Roman"/>
        </w:rPr>
      </w:pPr>
      <w:r>
        <w:rPr>
          <w:rFonts w:hint="default" w:ascii="Times New Roman" w:hAnsi="Times New Roman" w:eastAsia="Times New Roman" w:cs="Times New Roman"/>
          <w:b/>
          <w:sz w:val="26"/>
        </w:rPr>
        <w:t>5.2 Roles and responsibilities</w:t>
      </w:r>
    </w:p>
    <w:p w14:paraId="15F616CE">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System owners should confirm whether services are required and approve changes. Network administrators should implement segmentation and firewall rules. Application and database teams should patch systems, review access controls, and protect secrets. Email administrators should maintain anti-phishing controls and reporting mechanisms. DNS administrators should restrict zone transfers and manage records. The security team should coordinate testing, analyze results, monitor events, and verify remediation. Management should provide resources and ensure that policies are understood and followed.</w:t>
      </w:r>
    </w:p>
    <w:p w14:paraId="4C64FDE1">
      <w:pPr>
        <w:pStyle w:val="3"/>
        <w:spacing w:before="240" w:after="120" w:line="360" w:lineRule="auto"/>
        <w:rPr>
          <w:rFonts w:hint="default" w:ascii="Times New Roman" w:hAnsi="Times New Roman" w:cs="Times New Roman"/>
        </w:rPr>
      </w:pPr>
      <w:r>
        <w:rPr>
          <w:rFonts w:hint="default" w:ascii="Times New Roman" w:hAnsi="Times New Roman" w:eastAsia="Times New Roman" w:cs="Times New Roman"/>
          <w:b/>
          <w:sz w:val="26"/>
        </w:rPr>
        <w:t>5.3 Verification and evidence</w:t>
      </w:r>
    </w:p>
    <w:p w14:paraId="2F1F664A">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Every remediation should have a clear success condition. For example, unnecessary ports should no longer be reachable from unapproved network locations; SSH should accept only approved authentication methods and sources; database access should be limited to authorized clients; the phishing-reporting process should be easy to use; email controls should detect or quarantine appropriate test messages; and unauthorized DNS zone transfers should fail while legitimate replication continues.</w:t>
      </w:r>
    </w:p>
    <w:p w14:paraId="5B297D5B">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The organization should preserve before-and-after evidence, such as scan summaries, configuration-review records, campaign metrics, DNS test results, and change tickets. Sensitive evidence must be access-controlled. Findings should be closed only when a retest confirms the expected outcome or when a documented risk-acceptance decision has been approved.</w:t>
      </w:r>
    </w:p>
    <w:p w14:paraId="2865AC62">
      <w:pPr>
        <w:pStyle w:val="3"/>
        <w:spacing w:before="240" w:after="120" w:line="360" w:lineRule="auto"/>
        <w:rPr>
          <w:rFonts w:hint="default" w:ascii="Times New Roman" w:hAnsi="Times New Roman" w:cs="Times New Roman"/>
        </w:rPr>
      </w:pPr>
      <w:r>
        <w:rPr>
          <w:rFonts w:hint="default" w:ascii="Times New Roman" w:hAnsi="Times New Roman" w:eastAsia="Times New Roman" w:cs="Times New Roman"/>
          <w:b/>
          <w:sz w:val="26"/>
        </w:rPr>
        <w:t>5.4 Continuous improvement</w:t>
      </w:r>
    </w:p>
    <w:p w14:paraId="7D4ADD3D">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Security is a continuing process because services change, employees join or leave, software ages, and new threats appear. A periodic review cycle should include asset discovery, configuration assessment, employee training, incident exercises, patch verification, and management reporting. The frequency should reflect risk, regulatory obligations, and the pace of change in the environment.</w:t>
      </w:r>
    </w:p>
    <w:p w14:paraId="7974EE84">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Lessons from the three tools should be used to improve the whole environment. For example, DNS hostnames may reveal a forgotten test server that should be added to the asset inventory; a network scan may identify a service whose access should be limited; and phishing reports may show that staff need a clearer method to verify urgent requests. The value of assessment comes from turning observations into verified changes.</w:t>
      </w:r>
    </w:p>
    <w:p w14:paraId="6FCC7538">
      <w:pPr>
        <w:pStyle w:val="2"/>
        <w:spacing w:before="240" w:after="120" w:line="360" w:lineRule="auto"/>
        <w:rPr>
          <w:rFonts w:hint="default" w:ascii="Times New Roman" w:hAnsi="Times New Roman" w:cs="Times New Roman"/>
        </w:rPr>
      </w:pPr>
      <w:r>
        <w:rPr>
          <w:rFonts w:hint="default" w:ascii="Times New Roman" w:hAnsi="Times New Roman" w:eastAsia="Times New Roman" w:cs="Times New Roman"/>
          <w:b/>
          <w:sz w:val="32"/>
        </w:rPr>
        <w:t>6. ETHICAL, LEGAL, AND PROFESSIONAL CONSIDERATIONS</w:t>
      </w:r>
    </w:p>
    <w:p w14:paraId="0264F31D">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Authorization is a fundamental requirement. A security analyst must test only the systems, domains, users, and time periods explicitly approved by the system owner. The scope should state what is allowed, what is excluded, how evidence will be handled, and whom to contact if an unexpected issue appears. A tool being publicly available does not give permission to use it against any target.</w:t>
      </w:r>
    </w:p>
    <w:p w14:paraId="68B776F8">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The principle of minimum impact should guide testing. Use safe settings, avoid unnecessary traffic, do not access or copy unrelated personal data, and stop if a test threatens service stability. For phishing simulations, use harmless content, avoid collecting real secrets, and communicate the purpose and safeguards to the appropriate stakeholders.</w:t>
      </w:r>
    </w:p>
    <w:p w14:paraId="3839EF3B">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Confidentiality applies to the results. Port lists, service versions, DNS records, employee campaign metrics, and screenshots may contain sensitive information. Store them in approved locations, share them only with authorized recipients, and follow retention requirements. Reports should avoid including real passwords, tokens, or unnecessary personal details.</w:t>
      </w:r>
    </w:p>
    <w:p w14:paraId="2199167C">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Professional reporting should separate facts from assumptions. State what the tool observed, what was independently confirmed, what risk could result, and what action is recommended. Avoid overstating the result. For example, an open database port is an exposure finding; it is not proof that the database was accessed. A phishing click is a behavior metric; it is not proof that malware executed. A successful zone transfer is information disclosure; it is not proof that DNS records can be modified.</w:t>
      </w:r>
    </w:p>
    <w:p w14:paraId="63685F37">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A responsible ethical hacker aims to help the organization reduce risk, not to embarrass users or exaggerate vulnerabilities. Clear evidence, proportionate recommendations, and respectful communication make findings more useful and support a mature security culture.</w:t>
      </w:r>
    </w:p>
    <w:p w14:paraId="1E05E6B1">
      <w:pPr>
        <w:pStyle w:val="2"/>
        <w:spacing w:before="240" w:after="120" w:line="360" w:lineRule="auto"/>
        <w:rPr>
          <w:rFonts w:hint="default" w:ascii="Times New Roman" w:hAnsi="Times New Roman" w:cs="Times New Roman"/>
        </w:rPr>
      </w:pPr>
      <w:r>
        <w:rPr>
          <w:rFonts w:hint="default" w:ascii="Times New Roman" w:hAnsi="Times New Roman" w:eastAsia="Times New Roman" w:cs="Times New Roman"/>
          <w:b/>
          <w:sz w:val="32"/>
        </w:rPr>
        <w:t>7. CONCLUSION</w:t>
      </w:r>
    </w:p>
    <w:p w14:paraId="176B5C50">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This report analyzed three assessment scenarios involving Nmap, GoPhish, and Dig. The Nmap results show HTTP, SSH, and MySQL services reachable on the target from the scan location. Each service may be legitimate, but each should be exposed only where needed, patched, monitored, and protected with suitable authentication and access controls. Service versions and operating-system fingerprints are useful clues that must be verified before a vulnerability is confirmed.</w:t>
      </w:r>
    </w:p>
    <w:p w14:paraId="27BAA5A5">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The GoPhish results indicate that a notable proportion of employees interacted with the simulated phishing message, some submitted credentials, and several downloaded an attachment. These results point to opportunities for stronger awareness, easier reporting, safer email handling, MFA, email authentication, attachment inspection, and independent verification of sensitive requests. Training should encourage learning and prompt reporting rather than blame.</w:t>
      </w:r>
    </w:p>
    <w:p w14:paraId="4012B8EF">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The Dig result indicates that a DNS server permitted a zone transfer that exposed hostnames and other records. Zone transfers should be restricted to authorized secondary servers, internal and public DNS should be separated where appropriate, and records should be reviewed for unnecessary disclosure. The finding should be described accurately as an information-exposure issue unless separate evidence establishes additional compromise.</w:t>
      </w:r>
    </w:p>
    <w:p w14:paraId="7A0043B6">
      <w:pPr>
        <w:spacing w:after="120" w:line="360" w:lineRule="auto"/>
        <w:rPr>
          <w:rFonts w:hint="default" w:ascii="Times New Roman" w:hAnsi="Times New Roman" w:cs="Times New Roman"/>
        </w:rPr>
      </w:pPr>
      <w:r>
        <w:rPr>
          <w:rFonts w:hint="default" w:ascii="Times New Roman" w:hAnsi="Times New Roman" w:eastAsia="Times New Roman" w:cs="Times New Roman"/>
          <w:sz w:val="24"/>
        </w:rPr>
        <w:t>The overall lesson is that technical tools provide evidence, but effective security depends on sound interpretation and follow-through. Authorized testing, secure configuration, least privilege, patching, monitoring, awareness, documented policies, and retesting work together to reduce risk. The organization should use these findings as the starting point for continuous improvement and should verify that every important corrective action has achieved its intended result.</w:t>
      </w:r>
    </w:p>
    <w:p w14:paraId="67F6DE5F">
      <w:pPr>
        <w:pStyle w:val="2"/>
        <w:spacing w:before="240" w:after="120" w:line="360" w:lineRule="auto"/>
        <w:rPr>
          <w:rFonts w:hint="default" w:ascii="Times New Roman" w:hAnsi="Times New Roman" w:cs="Times New Roman"/>
        </w:rPr>
      </w:pPr>
      <w:r>
        <w:rPr>
          <w:rFonts w:hint="default" w:ascii="Times New Roman" w:hAnsi="Times New Roman" w:eastAsia="Times New Roman" w:cs="Times New Roman"/>
          <w:b/>
          <w:sz w:val="32"/>
        </w:rPr>
        <w:t>8. GLOSSARY</w:t>
      </w:r>
    </w:p>
    <w:p w14:paraId="2BE435AC">
      <w:pPr>
        <w:spacing w:after="80" w:line="360" w:lineRule="auto"/>
        <w:rPr>
          <w:rFonts w:hint="default" w:ascii="Times New Roman" w:hAnsi="Times New Roman" w:cs="Times New Roman"/>
        </w:rPr>
      </w:pPr>
      <w:r>
        <w:rPr>
          <w:rFonts w:hint="default" w:ascii="Times New Roman" w:hAnsi="Times New Roman" w:eastAsia="Times New Roman" w:cs="Times New Roman"/>
          <w:b/>
          <w:sz w:val="24"/>
        </w:rPr>
        <w:t xml:space="preserve">AXFR: </w:t>
      </w:r>
      <w:r>
        <w:rPr>
          <w:rFonts w:hint="default" w:ascii="Times New Roman" w:hAnsi="Times New Roman" w:eastAsia="Times New Roman" w:cs="Times New Roman"/>
          <w:sz w:val="24"/>
        </w:rPr>
        <w:t>DNS query type used to request a full zone transfer.</w:t>
      </w:r>
    </w:p>
    <w:p w14:paraId="41976D91">
      <w:pPr>
        <w:spacing w:after="80" w:line="360" w:lineRule="auto"/>
        <w:rPr>
          <w:rFonts w:hint="default" w:ascii="Times New Roman" w:hAnsi="Times New Roman" w:cs="Times New Roman"/>
        </w:rPr>
      </w:pPr>
      <w:r>
        <w:rPr>
          <w:rFonts w:hint="default" w:ascii="Times New Roman" w:hAnsi="Times New Roman" w:eastAsia="Times New Roman" w:cs="Times New Roman"/>
          <w:b/>
          <w:sz w:val="24"/>
        </w:rPr>
        <w:t xml:space="preserve">DNS: </w:t>
      </w:r>
      <w:r>
        <w:rPr>
          <w:rFonts w:hint="default" w:ascii="Times New Roman" w:hAnsi="Times New Roman" w:eastAsia="Times New Roman" w:cs="Times New Roman"/>
          <w:sz w:val="24"/>
        </w:rPr>
        <w:t>Domain Name System, which provides name-to-record resolution for network services.</w:t>
      </w:r>
    </w:p>
    <w:p w14:paraId="772D4E25">
      <w:pPr>
        <w:spacing w:after="80" w:line="360" w:lineRule="auto"/>
        <w:rPr>
          <w:rFonts w:hint="default" w:ascii="Times New Roman" w:hAnsi="Times New Roman" w:cs="Times New Roman"/>
        </w:rPr>
      </w:pPr>
      <w:r>
        <w:rPr>
          <w:rFonts w:hint="default" w:ascii="Times New Roman" w:hAnsi="Times New Roman" w:eastAsia="Times New Roman" w:cs="Times New Roman"/>
          <w:b/>
          <w:sz w:val="24"/>
        </w:rPr>
        <w:t xml:space="preserve">Dig: </w:t>
      </w:r>
      <w:r>
        <w:rPr>
          <w:rFonts w:hint="default" w:ascii="Times New Roman" w:hAnsi="Times New Roman" w:eastAsia="Times New Roman" w:cs="Times New Roman"/>
          <w:sz w:val="24"/>
        </w:rPr>
        <w:t>Command-line utility used to query DNS servers and inspect DNS responses.</w:t>
      </w:r>
    </w:p>
    <w:p w14:paraId="440653C4">
      <w:pPr>
        <w:spacing w:after="80" w:line="360" w:lineRule="auto"/>
        <w:rPr>
          <w:rFonts w:hint="default" w:ascii="Times New Roman" w:hAnsi="Times New Roman" w:cs="Times New Roman"/>
        </w:rPr>
      </w:pPr>
      <w:r>
        <w:rPr>
          <w:rFonts w:hint="default" w:ascii="Times New Roman" w:hAnsi="Times New Roman" w:eastAsia="Times New Roman" w:cs="Times New Roman"/>
          <w:b/>
          <w:sz w:val="24"/>
        </w:rPr>
        <w:t xml:space="preserve">GoPhish: </w:t>
      </w:r>
      <w:r>
        <w:rPr>
          <w:rFonts w:hint="default" w:ascii="Times New Roman" w:hAnsi="Times New Roman" w:eastAsia="Times New Roman" w:cs="Times New Roman"/>
          <w:sz w:val="24"/>
        </w:rPr>
        <w:t>Framework used by authorized teams to run controlled phishing simulations and awareness campaigns.</w:t>
      </w:r>
    </w:p>
    <w:p w14:paraId="4D6E1237">
      <w:pPr>
        <w:spacing w:after="80" w:line="360" w:lineRule="auto"/>
        <w:rPr>
          <w:rFonts w:hint="default" w:ascii="Times New Roman" w:hAnsi="Times New Roman" w:cs="Times New Roman"/>
        </w:rPr>
      </w:pPr>
      <w:r>
        <w:rPr>
          <w:rFonts w:hint="default" w:ascii="Times New Roman" w:hAnsi="Times New Roman" w:eastAsia="Times New Roman" w:cs="Times New Roman"/>
          <w:b/>
          <w:sz w:val="24"/>
        </w:rPr>
        <w:t xml:space="preserve">HTTP: </w:t>
      </w:r>
      <w:r>
        <w:rPr>
          <w:rFonts w:hint="default" w:ascii="Times New Roman" w:hAnsi="Times New Roman" w:eastAsia="Times New Roman" w:cs="Times New Roman"/>
          <w:sz w:val="24"/>
        </w:rPr>
        <w:t>Hypertext Transfer Protocol, commonly used to deliver web content; it does not encrypt traffic by default.</w:t>
      </w:r>
    </w:p>
    <w:p w14:paraId="1B55851B">
      <w:pPr>
        <w:spacing w:after="80" w:line="360" w:lineRule="auto"/>
        <w:rPr>
          <w:rFonts w:hint="default" w:ascii="Times New Roman" w:hAnsi="Times New Roman" w:cs="Times New Roman"/>
        </w:rPr>
      </w:pPr>
      <w:r>
        <w:rPr>
          <w:rFonts w:hint="default" w:ascii="Times New Roman" w:hAnsi="Times New Roman" w:eastAsia="Times New Roman" w:cs="Times New Roman"/>
          <w:b/>
          <w:sz w:val="24"/>
        </w:rPr>
        <w:t xml:space="preserve">HTTPS: </w:t>
      </w:r>
      <w:r>
        <w:rPr>
          <w:rFonts w:hint="default" w:ascii="Times New Roman" w:hAnsi="Times New Roman" w:eastAsia="Times New Roman" w:cs="Times New Roman"/>
          <w:sz w:val="24"/>
        </w:rPr>
        <w:t>HTTP protected with TLS encryption and server authentication.</w:t>
      </w:r>
    </w:p>
    <w:p w14:paraId="299E9A83">
      <w:pPr>
        <w:spacing w:after="80" w:line="360" w:lineRule="auto"/>
        <w:rPr>
          <w:rFonts w:hint="default" w:ascii="Times New Roman" w:hAnsi="Times New Roman" w:cs="Times New Roman"/>
        </w:rPr>
      </w:pPr>
      <w:r>
        <w:rPr>
          <w:rFonts w:hint="default" w:ascii="Times New Roman" w:hAnsi="Times New Roman" w:eastAsia="Times New Roman" w:cs="Times New Roman"/>
          <w:b/>
          <w:sz w:val="24"/>
        </w:rPr>
        <w:t xml:space="preserve">Least privilege: </w:t>
      </w:r>
      <w:r>
        <w:rPr>
          <w:rFonts w:hint="default" w:ascii="Times New Roman" w:hAnsi="Times New Roman" w:eastAsia="Times New Roman" w:cs="Times New Roman"/>
          <w:sz w:val="24"/>
        </w:rPr>
        <w:t>Giving an account or service only the permissions required for its role.</w:t>
      </w:r>
    </w:p>
    <w:p w14:paraId="6DB6E955">
      <w:pPr>
        <w:spacing w:after="80" w:line="360" w:lineRule="auto"/>
        <w:rPr>
          <w:rFonts w:hint="default" w:ascii="Times New Roman" w:hAnsi="Times New Roman" w:cs="Times New Roman"/>
        </w:rPr>
      </w:pPr>
      <w:r>
        <w:rPr>
          <w:rFonts w:hint="default" w:ascii="Times New Roman" w:hAnsi="Times New Roman" w:eastAsia="Times New Roman" w:cs="Times New Roman"/>
          <w:b/>
          <w:sz w:val="24"/>
        </w:rPr>
        <w:t xml:space="preserve">MFA: </w:t>
      </w:r>
      <w:r>
        <w:rPr>
          <w:rFonts w:hint="default" w:ascii="Times New Roman" w:hAnsi="Times New Roman" w:eastAsia="Times New Roman" w:cs="Times New Roman"/>
          <w:sz w:val="24"/>
        </w:rPr>
        <w:t>Multi-factor authentication, which requires more than one type of proof of identity.</w:t>
      </w:r>
    </w:p>
    <w:p w14:paraId="0EB992FF">
      <w:pPr>
        <w:spacing w:after="80" w:line="360" w:lineRule="auto"/>
        <w:rPr>
          <w:rFonts w:hint="default" w:ascii="Times New Roman" w:hAnsi="Times New Roman" w:cs="Times New Roman"/>
        </w:rPr>
      </w:pPr>
      <w:r>
        <w:rPr>
          <w:rFonts w:hint="default" w:ascii="Times New Roman" w:hAnsi="Times New Roman" w:eastAsia="Times New Roman" w:cs="Times New Roman"/>
          <w:b/>
          <w:sz w:val="24"/>
        </w:rPr>
        <w:t xml:space="preserve">MySQL: </w:t>
      </w:r>
      <w:r>
        <w:rPr>
          <w:rFonts w:hint="default" w:ascii="Times New Roman" w:hAnsi="Times New Roman" w:eastAsia="Times New Roman" w:cs="Times New Roman"/>
          <w:sz w:val="24"/>
        </w:rPr>
        <w:t>A relational database management system that commonly listens on TCP port 3306.</w:t>
      </w:r>
    </w:p>
    <w:p w14:paraId="38903903">
      <w:pPr>
        <w:spacing w:after="80" w:line="360" w:lineRule="auto"/>
        <w:rPr>
          <w:rFonts w:hint="default" w:ascii="Times New Roman" w:hAnsi="Times New Roman" w:cs="Times New Roman"/>
        </w:rPr>
      </w:pPr>
      <w:r>
        <w:rPr>
          <w:rFonts w:hint="default" w:ascii="Times New Roman" w:hAnsi="Times New Roman" w:eastAsia="Times New Roman" w:cs="Times New Roman"/>
          <w:b/>
          <w:sz w:val="24"/>
        </w:rPr>
        <w:t xml:space="preserve">Nmap: </w:t>
      </w:r>
      <w:r>
        <w:rPr>
          <w:rFonts w:hint="default" w:ascii="Times New Roman" w:hAnsi="Times New Roman" w:eastAsia="Times New Roman" w:cs="Times New Roman"/>
          <w:sz w:val="24"/>
        </w:rPr>
        <w:t>Network discovery and security auditing tool used to identify hosts, ports, and services.</w:t>
      </w:r>
    </w:p>
    <w:p w14:paraId="1B4C8CC6">
      <w:pPr>
        <w:spacing w:after="80" w:line="360" w:lineRule="auto"/>
        <w:rPr>
          <w:rFonts w:hint="default" w:ascii="Times New Roman" w:hAnsi="Times New Roman" w:cs="Times New Roman"/>
        </w:rPr>
      </w:pPr>
      <w:r>
        <w:rPr>
          <w:rFonts w:hint="default" w:ascii="Times New Roman" w:hAnsi="Times New Roman" w:eastAsia="Times New Roman" w:cs="Times New Roman"/>
          <w:b/>
          <w:sz w:val="24"/>
        </w:rPr>
        <w:t xml:space="preserve">Open port: </w:t>
      </w:r>
      <w:r>
        <w:rPr>
          <w:rFonts w:hint="default" w:ascii="Times New Roman" w:hAnsi="Times New Roman" w:eastAsia="Times New Roman" w:cs="Times New Roman"/>
          <w:sz w:val="24"/>
        </w:rPr>
        <w:t>A port where a service is listening and can be reached from the scanner's network position.</w:t>
      </w:r>
    </w:p>
    <w:p w14:paraId="40FB0D4F">
      <w:pPr>
        <w:spacing w:after="80" w:line="360" w:lineRule="auto"/>
        <w:rPr>
          <w:rFonts w:hint="default" w:ascii="Times New Roman" w:hAnsi="Times New Roman" w:cs="Times New Roman"/>
        </w:rPr>
      </w:pPr>
      <w:r>
        <w:rPr>
          <w:rFonts w:hint="default" w:ascii="Times New Roman" w:hAnsi="Times New Roman" w:eastAsia="Times New Roman" w:cs="Times New Roman"/>
          <w:b/>
          <w:sz w:val="24"/>
        </w:rPr>
        <w:t xml:space="preserve">Phishing: </w:t>
      </w:r>
      <w:r>
        <w:rPr>
          <w:rFonts w:hint="default" w:ascii="Times New Roman" w:hAnsi="Times New Roman" w:eastAsia="Times New Roman" w:cs="Times New Roman"/>
          <w:sz w:val="24"/>
        </w:rPr>
        <w:t>Social engineering that attempts to trick a person into revealing information or taking an unsafe action.</w:t>
      </w:r>
    </w:p>
    <w:p w14:paraId="51B02D1F">
      <w:pPr>
        <w:spacing w:after="80" w:line="360" w:lineRule="auto"/>
        <w:rPr>
          <w:rFonts w:hint="default" w:ascii="Times New Roman" w:hAnsi="Times New Roman" w:cs="Times New Roman"/>
        </w:rPr>
      </w:pPr>
      <w:r>
        <w:rPr>
          <w:rFonts w:hint="default" w:ascii="Times New Roman" w:hAnsi="Times New Roman" w:eastAsia="Times New Roman" w:cs="Times New Roman"/>
          <w:b/>
          <w:sz w:val="24"/>
        </w:rPr>
        <w:t xml:space="preserve">SPF: </w:t>
      </w:r>
      <w:r>
        <w:rPr>
          <w:rFonts w:hint="default" w:ascii="Times New Roman" w:hAnsi="Times New Roman" w:eastAsia="Times New Roman" w:cs="Times New Roman"/>
          <w:sz w:val="24"/>
        </w:rPr>
        <w:t>Sender Policy Framework, a DNS-based mechanism for identifying servers authorized to send mail for a domain.</w:t>
      </w:r>
    </w:p>
    <w:p w14:paraId="69849C31">
      <w:pPr>
        <w:spacing w:after="80" w:line="360" w:lineRule="auto"/>
        <w:rPr>
          <w:rFonts w:hint="default" w:ascii="Times New Roman" w:hAnsi="Times New Roman" w:cs="Times New Roman"/>
        </w:rPr>
      </w:pPr>
      <w:r>
        <w:rPr>
          <w:rFonts w:hint="default" w:ascii="Times New Roman" w:hAnsi="Times New Roman" w:eastAsia="Times New Roman" w:cs="Times New Roman"/>
          <w:b/>
          <w:sz w:val="24"/>
        </w:rPr>
        <w:t xml:space="preserve">DKIM: </w:t>
      </w:r>
      <w:r>
        <w:rPr>
          <w:rFonts w:hint="default" w:ascii="Times New Roman" w:hAnsi="Times New Roman" w:eastAsia="Times New Roman" w:cs="Times New Roman"/>
          <w:sz w:val="24"/>
        </w:rPr>
        <w:t>DomainKeys Identified Mail, a mechanism that uses a cryptographic signature to support email-domain verification.</w:t>
      </w:r>
    </w:p>
    <w:p w14:paraId="2CD40FF9">
      <w:pPr>
        <w:spacing w:after="80" w:line="360" w:lineRule="auto"/>
        <w:rPr>
          <w:rFonts w:hint="default" w:ascii="Times New Roman" w:hAnsi="Times New Roman" w:cs="Times New Roman"/>
        </w:rPr>
      </w:pPr>
      <w:r>
        <w:rPr>
          <w:rFonts w:hint="default" w:ascii="Times New Roman" w:hAnsi="Times New Roman" w:eastAsia="Times New Roman" w:cs="Times New Roman"/>
          <w:b/>
          <w:sz w:val="24"/>
        </w:rPr>
        <w:t xml:space="preserve">DMARC: </w:t>
      </w:r>
      <w:r>
        <w:rPr>
          <w:rFonts w:hint="default" w:ascii="Times New Roman" w:hAnsi="Times New Roman" w:eastAsia="Times New Roman" w:cs="Times New Roman"/>
          <w:sz w:val="24"/>
        </w:rPr>
        <w:t>Domain-based Message Authentication, Reporting, and Conformance, a policy and reporting framework for email authentication.</w:t>
      </w:r>
    </w:p>
    <w:p w14:paraId="05B1C55D">
      <w:pPr>
        <w:spacing w:after="80" w:line="360" w:lineRule="auto"/>
        <w:rPr>
          <w:rFonts w:hint="default" w:ascii="Times New Roman" w:hAnsi="Times New Roman" w:cs="Times New Roman"/>
        </w:rPr>
      </w:pPr>
      <w:r>
        <w:rPr>
          <w:rFonts w:hint="default" w:ascii="Times New Roman" w:hAnsi="Times New Roman" w:eastAsia="Times New Roman" w:cs="Times New Roman"/>
          <w:b/>
          <w:sz w:val="24"/>
        </w:rPr>
        <w:t xml:space="preserve">SSH: </w:t>
      </w:r>
      <w:r>
        <w:rPr>
          <w:rFonts w:hint="default" w:ascii="Times New Roman" w:hAnsi="Times New Roman" w:eastAsia="Times New Roman" w:cs="Times New Roman"/>
          <w:sz w:val="24"/>
        </w:rPr>
        <w:t>Secure Shell, an encrypted protocol commonly used for remote administration.</w:t>
      </w:r>
    </w:p>
    <w:p w14:paraId="6C63DCD3">
      <w:pPr>
        <w:spacing w:after="80" w:line="360" w:lineRule="auto"/>
        <w:rPr>
          <w:rFonts w:hint="default" w:ascii="Times New Roman" w:hAnsi="Times New Roman" w:cs="Times New Roman"/>
        </w:rPr>
      </w:pPr>
      <w:r>
        <w:rPr>
          <w:rFonts w:hint="default" w:ascii="Times New Roman" w:hAnsi="Times New Roman" w:eastAsia="Times New Roman" w:cs="Times New Roman"/>
          <w:b/>
          <w:sz w:val="24"/>
        </w:rPr>
        <w:t xml:space="preserve">TSIG: </w:t>
      </w:r>
      <w:r>
        <w:rPr>
          <w:rFonts w:hint="default" w:ascii="Times New Roman" w:hAnsi="Times New Roman" w:eastAsia="Times New Roman" w:cs="Times New Roman"/>
          <w:sz w:val="24"/>
        </w:rPr>
        <w:t>Transaction Signature, a mechanism that can authenticate DNS transactions between configured parties.</w:t>
      </w:r>
    </w:p>
    <w:p w14:paraId="1CA601D4">
      <w:pPr>
        <w:spacing w:after="80" w:line="360" w:lineRule="auto"/>
        <w:rPr>
          <w:rFonts w:hint="default" w:ascii="Times New Roman" w:hAnsi="Times New Roman" w:cs="Times New Roman"/>
        </w:rPr>
      </w:pPr>
      <w:r>
        <w:rPr>
          <w:rFonts w:hint="default" w:ascii="Times New Roman" w:hAnsi="Times New Roman" w:eastAsia="Times New Roman" w:cs="Times New Roman"/>
          <w:b/>
          <w:sz w:val="24"/>
        </w:rPr>
        <w:t xml:space="preserve">Vulnerability: </w:t>
      </w:r>
      <w:r>
        <w:rPr>
          <w:rFonts w:hint="default" w:ascii="Times New Roman" w:hAnsi="Times New Roman" w:eastAsia="Times New Roman" w:cs="Times New Roman"/>
          <w:sz w:val="24"/>
        </w:rPr>
        <w:t>A weakness that could be used to affect confidentiality, integrity, or availability.</w:t>
      </w:r>
    </w:p>
    <w:p w14:paraId="380B7EFE">
      <w:pPr>
        <w:spacing w:after="80" w:line="360" w:lineRule="auto"/>
        <w:rPr>
          <w:rFonts w:hint="default" w:ascii="Times New Roman" w:hAnsi="Times New Roman" w:cs="Times New Roman"/>
        </w:rPr>
      </w:pPr>
      <w:r>
        <w:rPr>
          <w:rFonts w:hint="default" w:ascii="Times New Roman" w:hAnsi="Times New Roman" w:eastAsia="Times New Roman" w:cs="Times New Roman"/>
          <w:b/>
          <w:sz w:val="24"/>
        </w:rPr>
        <w:t xml:space="preserve">Zone: </w:t>
      </w:r>
      <w:r>
        <w:rPr>
          <w:rFonts w:hint="default" w:ascii="Times New Roman" w:hAnsi="Times New Roman" w:eastAsia="Times New Roman" w:cs="Times New Roman"/>
          <w:sz w:val="24"/>
        </w:rPr>
        <w:t>A portion of the DNS namespace managed as a unit by authoritative DNS servers.</w:t>
      </w:r>
    </w:p>
    <w:p w14:paraId="7C637230">
      <w:pPr>
        <w:pStyle w:val="2"/>
        <w:spacing w:before="240" w:after="120" w:line="360" w:lineRule="auto"/>
        <w:rPr>
          <w:rFonts w:hint="default" w:ascii="Times New Roman" w:hAnsi="Times New Roman" w:cs="Times New Roman"/>
        </w:rPr>
      </w:pPr>
      <w:r>
        <w:rPr>
          <w:rFonts w:hint="default" w:ascii="Times New Roman" w:hAnsi="Times New Roman" w:eastAsia="Times New Roman" w:cs="Times New Roman"/>
          <w:b/>
          <w:sz w:val="32"/>
        </w:rPr>
        <w:t>9. REFERENCES AND FURTHER READING</w:t>
      </w:r>
    </w:p>
    <w:p w14:paraId="5FA10E47">
      <w:pPr>
        <w:spacing w:after="80" w:line="360" w:lineRule="auto"/>
        <w:rPr>
          <w:rFonts w:hint="default" w:ascii="Times New Roman" w:hAnsi="Times New Roman" w:cs="Times New Roman"/>
        </w:rPr>
      </w:pPr>
      <w:r>
        <w:rPr>
          <w:rFonts w:hint="default" w:ascii="Times New Roman" w:hAnsi="Times New Roman" w:eastAsia="Times New Roman" w:cs="Times New Roman"/>
          <w:sz w:val="22"/>
        </w:rPr>
        <w:t>Nmap Project. Nmap Reference Guide and official documentation. https://nmap.org/book/man.html</w:t>
      </w:r>
    </w:p>
    <w:p w14:paraId="70D8AFED">
      <w:pPr>
        <w:spacing w:after="80" w:line="360" w:lineRule="auto"/>
        <w:rPr>
          <w:rFonts w:hint="default" w:ascii="Times New Roman" w:hAnsi="Times New Roman" w:cs="Times New Roman"/>
        </w:rPr>
      </w:pPr>
      <w:r>
        <w:rPr>
          <w:rFonts w:hint="default" w:ascii="Times New Roman" w:hAnsi="Times New Roman" w:eastAsia="Times New Roman" w:cs="Times New Roman"/>
          <w:sz w:val="22"/>
        </w:rPr>
        <w:t>GoPhish Project. Official documentation and project resources. https://getgophish.com/</w:t>
      </w:r>
    </w:p>
    <w:p w14:paraId="3740BE3E">
      <w:pPr>
        <w:spacing w:after="80" w:line="360" w:lineRule="auto"/>
        <w:rPr>
          <w:rFonts w:hint="default" w:ascii="Times New Roman" w:hAnsi="Times New Roman" w:cs="Times New Roman"/>
        </w:rPr>
      </w:pPr>
      <w:r>
        <w:rPr>
          <w:rFonts w:hint="default" w:ascii="Times New Roman" w:hAnsi="Times New Roman" w:eastAsia="Times New Roman" w:cs="Times New Roman"/>
          <w:sz w:val="22"/>
        </w:rPr>
        <w:t>ISC. BIND 9 Administrator Reference Manual, including authoritative DNS and zone-transfer configuration guidance. https://bind9.readthedocs.io/</w:t>
      </w:r>
    </w:p>
    <w:p w14:paraId="794C6214">
      <w:pPr>
        <w:spacing w:after="80" w:line="360" w:lineRule="auto"/>
        <w:rPr>
          <w:rFonts w:hint="default" w:ascii="Times New Roman" w:hAnsi="Times New Roman" w:cs="Times New Roman"/>
        </w:rPr>
      </w:pPr>
      <w:r>
        <w:rPr>
          <w:rFonts w:hint="default" w:ascii="Times New Roman" w:hAnsi="Times New Roman" w:eastAsia="Times New Roman" w:cs="Times New Roman"/>
          <w:sz w:val="22"/>
        </w:rPr>
        <w:t>Internet Systems Consortium. BIND documentation and DNS operational guidance. https://www.isc.org/bind/</w:t>
      </w:r>
    </w:p>
    <w:p w14:paraId="42EAB6B2">
      <w:pPr>
        <w:spacing w:after="80" w:line="360" w:lineRule="auto"/>
        <w:rPr>
          <w:rFonts w:hint="default" w:ascii="Times New Roman" w:hAnsi="Times New Roman" w:cs="Times New Roman"/>
        </w:rPr>
      </w:pPr>
      <w:r>
        <w:rPr>
          <w:rFonts w:hint="default" w:ascii="Times New Roman" w:hAnsi="Times New Roman" w:eastAsia="Times New Roman" w:cs="Times New Roman"/>
          <w:sz w:val="22"/>
        </w:rPr>
        <w:t>IETF. RFC 1034, Domain Names – Concepts and Facilities. https://www.rfc-editor.org/rfc/rfc1034</w:t>
      </w:r>
    </w:p>
    <w:p w14:paraId="1A193DC7">
      <w:pPr>
        <w:spacing w:after="80" w:line="360" w:lineRule="auto"/>
        <w:rPr>
          <w:rFonts w:hint="default" w:ascii="Times New Roman" w:hAnsi="Times New Roman" w:cs="Times New Roman"/>
        </w:rPr>
      </w:pPr>
      <w:r>
        <w:rPr>
          <w:rFonts w:hint="default" w:ascii="Times New Roman" w:hAnsi="Times New Roman" w:eastAsia="Times New Roman" w:cs="Times New Roman"/>
          <w:sz w:val="22"/>
        </w:rPr>
        <w:t>IETF. RFC 1035, Domain Names – Implementation and Specification. https://www.rfc-editor.org/rfc/rfc1035</w:t>
      </w:r>
    </w:p>
    <w:p w14:paraId="5EA9A64D">
      <w:pPr>
        <w:spacing w:after="80" w:line="360" w:lineRule="auto"/>
        <w:rPr>
          <w:rFonts w:hint="default" w:ascii="Times New Roman" w:hAnsi="Times New Roman" w:cs="Times New Roman"/>
        </w:rPr>
      </w:pPr>
      <w:r>
        <w:rPr>
          <w:rFonts w:hint="default" w:ascii="Times New Roman" w:hAnsi="Times New Roman" w:eastAsia="Times New Roman" w:cs="Times New Roman"/>
          <w:sz w:val="22"/>
        </w:rPr>
        <w:t>IETF. RFC 7489, Domain-based Message Authentication, Reporting, and Conformance (DMARC). https://www.rfc-editor.org/rfc/rfc7489</w:t>
      </w:r>
    </w:p>
    <w:p w14:paraId="02FC1CAE">
      <w:pPr>
        <w:spacing w:after="80" w:line="360" w:lineRule="auto"/>
        <w:rPr>
          <w:rFonts w:hint="default" w:ascii="Times New Roman" w:hAnsi="Times New Roman" w:cs="Times New Roman"/>
        </w:rPr>
      </w:pPr>
      <w:r>
        <w:rPr>
          <w:rFonts w:hint="default" w:ascii="Times New Roman" w:hAnsi="Times New Roman" w:eastAsia="Times New Roman" w:cs="Times New Roman"/>
          <w:sz w:val="22"/>
        </w:rPr>
        <w:t>IETF. RFC 6376, DomainKeys Identified Mail (DKIM) Signatures. https://www.rfc-editor.org/rfc/rfc6376</w:t>
      </w:r>
    </w:p>
    <w:p w14:paraId="26A24A61">
      <w:pPr>
        <w:spacing w:after="80" w:line="360" w:lineRule="auto"/>
        <w:rPr>
          <w:rFonts w:hint="default" w:ascii="Times New Roman" w:hAnsi="Times New Roman" w:cs="Times New Roman"/>
        </w:rPr>
      </w:pPr>
      <w:r>
        <w:rPr>
          <w:rFonts w:hint="default" w:ascii="Times New Roman" w:hAnsi="Times New Roman" w:eastAsia="Times New Roman" w:cs="Times New Roman"/>
          <w:sz w:val="22"/>
        </w:rPr>
        <w:t>IETF. RFC 7208, Sender Policy Framework (SPF) for Authorizing Use of Domains in Email. https://www.rfc-editor.org/rfc/rfc7208</w:t>
      </w:r>
    </w:p>
    <w:p w14:paraId="25FD838E">
      <w:pPr>
        <w:spacing w:after="80" w:line="360" w:lineRule="auto"/>
        <w:rPr>
          <w:rFonts w:hint="default" w:ascii="Times New Roman" w:hAnsi="Times New Roman" w:cs="Times New Roman"/>
        </w:rPr>
      </w:pPr>
      <w:r>
        <w:rPr>
          <w:rFonts w:hint="default" w:ascii="Times New Roman" w:hAnsi="Times New Roman" w:eastAsia="Times New Roman" w:cs="Times New Roman"/>
          <w:sz w:val="22"/>
        </w:rPr>
        <w:t>NIST. Cybersecurity Framework resources and guidance. https://www.nist.gov/cyberframework</w:t>
      </w:r>
    </w:p>
    <w:p w14:paraId="256DDF06">
      <w:pPr>
        <w:spacing w:after="80" w:line="360" w:lineRule="auto"/>
        <w:rPr>
          <w:rFonts w:hint="default" w:ascii="Times New Roman" w:hAnsi="Times New Roman" w:cs="Times New Roman"/>
        </w:rPr>
      </w:pPr>
      <w:r>
        <w:rPr>
          <w:rFonts w:hint="default" w:ascii="Times New Roman" w:hAnsi="Times New Roman" w:eastAsia="Times New Roman" w:cs="Times New Roman"/>
          <w:sz w:val="22"/>
        </w:rPr>
        <w:t>NIST. Special Publication 800-53, Security and Privacy Controls for Information Systems and Organizations. https://csrc.nist.gov/publications/detail/sp/800-53/rev-5/final</w:t>
      </w:r>
    </w:p>
    <w:p w14:paraId="0444B269">
      <w:pPr>
        <w:spacing w:after="80" w:line="360" w:lineRule="auto"/>
        <w:rPr>
          <w:rFonts w:hint="default" w:ascii="Times New Roman" w:hAnsi="Times New Roman" w:cs="Times New Roman"/>
        </w:rPr>
      </w:pPr>
      <w:r>
        <w:rPr>
          <w:rFonts w:hint="default" w:ascii="Times New Roman" w:hAnsi="Times New Roman" w:eastAsia="Times New Roman" w:cs="Times New Roman"/>
          <w:sz w:val="22"/>
        </w:rPr>
        <w:t>OWASP Foundation. OWASP Top 10 Web Application Security Risks. https://owasp.org/www-project-top-ten/</w:t>
      </w:r>
    </w:p>
    <w:p w14:paraId="33159853">
      <w:pPr>
        <w:spacing w:after="80" w:line="360" w:lineRule="auto"/>
        <w:rPr>
          <w:rFonts w:hint="default" w:ascii="Times New Roman" w:hAnsi="Times New Roman" w:cs="Times New Roman"/>
        </w:rPr>
      </w:pPr>
      <w:r>
        <w:rPr>
          <w:rFonts w:hint="default" w:ascii="Times New Roman" w:hAnsi="Times New Roman" w:eastAsia="Times New Roman" w:cs="Times New Roman"/>
          <w:sz w:val="22"/>
        </w:rPr>
        <w:t>OWASP Foundation. SQL Injection Prevention Cheat Sheet. https://cheatsheetseries.owasp.org/cheatsheets/SQL_Injection_Prevention_Cheat_Sheet.html</w:t>
      </w:r>
    </w:p>
    <w:p w14:paraId="73D3D35A">
      <w:pPr>
        <w:spacing w:after="80" w:line="360" w:lineRule="auto"/>
        <w:rPr>
          <w:rFonts w:hint="default" w:ascii="Times New Roman" w:hAnsi="Times New Roman" w:cs="Times New Roman"/>
        </w:rPr>
      </w:pPr>
      <w:r>
        <w:rPr>
          <w:rFonts w:hint="default" w:ascii="Times New Roman" w:hAnsi="Times New Roman" w:eastAsia="Times New Roman" w:cs="Times New Roman"/>
          <w:sz w:val="22"/>
        </w:rPr>
        <w:t>CISA. Secure Our World: phishing, strong passwords, and multi-factor authentication guidance. https://www.cisa.gov/secure-our-world</w:t>
      </w:r>
    </w:p>
    <w:p w14:paraId="008D38C2">
      <w:pPr>
        <w:spacing w:after="120" w:line="360" w:lineRule="auto"/>
      </w:pPr>
      <w:r>
        <w:rPr>
          <w:rFonts w:hint="default" w:ascii="Times New Roman" w:hAnsi="Times New Roman" w:eastAsia="Times New Roman" w:cs="Times New Roman"/>
          <w:sz w:val="24"/>
        </w:rPr>
        <w:t>Note: References are provided for further study and validation of defensive practices. The assessment's stated findings are treated as scenario facts; additional risk scenarios in this report are general security analysis and should be confirmed against the actual environment before being reported as real v</w:t>
      </w:r>
      <w:r>
        <w:rPr>
          <w:rFonts w:ascii="Times New Roman" w:hAnsi="Times New Roman" w:eastAsia="Times New Roman"/>
          <w:sz w:val="24"/>
        </w:rPr>
        <w:t>ilities.</w:t>
      </w:r>
    </w:p>
    <w:sectPr>
      <w:footerReference r:id="rId4" w:type="default"/>
      <w:pgSz w:w="11909" w:h="16834"/>
      <w:pgMar w:top="1152" w:right="1440" w:bottom="1152"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9FB53E64-2581-4DA6-ACCB-2D1F0FC44CC9}"/>
  </w:font>
  <w:font w:name="Arial">
    <w:panose1 w:val="020B0604020202020204"/>
    <w:charset w:val="00"/>
    <w:family w:val="swiss"/>
    <w:pitch w:val="default"/>
    <w:sig w:usb0="E0002EFF" w:usb1="C000785B" w:usb2="00000009" w:usb3="00000000" w:csb0="400001FF" w:csb1="FFFF0000"/>
    <w:embedRegular r:id="rId2" w:fontKey="{5AE34040-83D9-4A70-AC81-68BE29404803}"/>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0ABE828A-AD4A-4F83-BB25-ED7A4BDFB1C8}"/>
  </w:font>
  <w:font w:name="Wingdings">
    <w:panose1 w:val="05000000000000000000"/>
    <w:charset w:val="02"/>
    <w:family w:val="auto"/>
    <w:pitch w:val="default"/>
    <w:sig w:usb0="00000000" w:usb1="00000000" w:usb2="00000000" w:usb3="00000000" w:csb0="80000000" w:csb1="00000000"/>
    <w:embedRegular r:id="rId4" w:fontKey="{DB4128CC-D058-4F6A-B2EB-AF0F83126FDF}"/>
  </w:font>
  <w:font w:name="Calibri">
    <w:panose1 w:val="020F0502020204030204"/>
    <w:charset w:val="00"/>
    <w:family w:val="swiss"/>
    <w:pitch w:val="default"/>
    <w:sig w:usb0="E4002EFF" w:usb1="C200247B" w:usb2="00000009" w:usb3="00000000" w:csb0="200001FF" w:csb1="00000000"/>
    <w:embedRegular r:id="rId5" w:fontKey="{63509AF2-D041-4EB8-91A9-7239FDD2C989}"/>
  </w:font>
  <w:font w:name="等线">
    <w:altName w:val="Arial Unicode MS"/>
    <w:panose1 w:val="00000000000000000000"/>
    <w:charset w:val="86"/>
    <w:family w:val="auto"/>
    <w:pitch w:val="default"/>
    <w:sig w:usb0="00000000" w:usb1="00000000" w:usb2="00000000" w:usb3="00000000" w:csb0="00000000" w:csb1="00000000"/>
  </w:font>
  <w:font w:name="Google Sans">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embedRegular r:id="rId6" w:fontKey="{1C59F796-DBEF-49D2-9C74-668C7B67FA5B}"/>
  </w:font>
  <w:font w:name="Segoe Print">
    <w:panose1 w:val="02000600000000000000"/>
    <w:charset w:val="00"/>
    <w:family w:val="auto"/>
    <w:pitch w:val="default"/>
    <w:sig w:usb0="0000028F" w:usb1="00000000" w:usb2="00000000" w:usb3="00000000" w:csb0="2000009F" w:csb1="47010000"/>
    <w:embedRegular r:id="rId7" w:fontKey="{21231AED-6E48-4FC1-8CDD-606534238368}"/>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3C5F82">
    <w:pPr>
      <w:jc w:val="center"/>
    </w:pPr>
    <w:r>
      <w:rPr>
        <w:rFonts w:ascii="Times New Roman" w:hAnsi="Times New Roman" w:eastAsia="Times New Roman"/>
        <w:sz w:val="18"/>
      </w:rPr>
      <w:t xml:space="preserve">Page </w:t>
    </w:r>
    <w:r>
      <w:rPr>
        <w:rFonts w:ascii="Times New Roman" w:hAnsi="Times New Roman" w:eastAsia="Times New Roman"/>
        <w:sz w:val="18"/>
      </w:rPr>
      <w:fldChar w:fldCharType="begin"/>
    </w:r>
    <w:r>
      <w:rPr>
        <w:rFonts w:ascii="Times New Roman" w:hAnsi="Times New Roman" w:eastAsia="Times New Roman"/>
        <w:sz w:val="18"/>
      </w:rPr>
      <w:instrText xml:space="preserve"> PAGE </w:instrText>
    </w:r>
    <w:r>
      <w:rPr>
        <w:rFonts w:ascii="Times New Roman" w:hAnsi="Times New Roman" w:eastAsia="Times New Roman"/>
        <w:sz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AFCE3D">
    <w:pPr>
      <w:jc w:val="center"/>
    </w:pPr>
    <w:r>
      <w:rPr>
        <w:rFonts w:ascii="Times New Roman" w:hAnsi="Times New Roman" w:eastAsia="Times New Roman"/>
        <w:sz w:val="18"/>
      </w:rPr>
      <w:t xml:space="preserve">Page </w:t>
    </w:r>
    <w:r>
      <w:rPr>
        <w:rFonts w:ascii="Times New Roman" w:hAnsi="Times New Roman" w:eastAsia="Times New Roman"/>
        <w:sz w:val="18"/>
      </w:rPr>
      <w:fldChar w:fldCharType="begin"/>
    </w:r>
    <w:r>
      <w:rPr>
        <w:rFonts w:ascii="Times New Roman" w:hAnsi="Times New Roman" w:eastAsia="Times New Roman"/>
        <w:sz w:val="18"/>
      </w:rPr>
      <w:instrText xml:space="preserve"> PAGE </w:instrText>
    </w:r>
    <w:r>
      <w:rPr>
        <w:rFonts w:ascii="Times New Roman" w:hAnsi="Times New Roman" w:eastAsia="Times New Roman"/>
        <w:sz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TrueTypeFonts/>
  <w:documentProtection w:enforcement="0"/>
  <w:defaultTabStop w:val="720"/>
  <w:compat>
    <w:compatSetting w:name="compatibilityMode" w:uri="http://schemas.microsoft.com/office/word" w:val="15"/>
  </w:compat>
  <w:rsids>
    <w:rsidRoot w:val="00000000"/>
    <w:rsid w:val="300D565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sz w:val="24"/>
      <w:szCs w:val="24"/>
      <w:lang w:val="en-IN"/>
    </w:rPr>
  </w:style>
  <w:style w:type="paragraph" w:styleId="2">
    <w:name w:val="heading 1"/>
    <w:basedOn w:val="1"/>
    <w:next w:val="1"/>
    <w:uiPriority w:val="0"/>
    <w:pPr>
      <w:keepNext/>
      <w:keepLines/>
      <w:spacing w:before="400" w:after="120" w:line="276" w:lineRule="auto"/>
    </w:pPr>
    <w:rPr>
      <w:rFonts w:ascii="Arial" w:hAnsi="Arial" w:eastAsia="Arial" w:cs="Arial"/>
      <w:sz w:val="40"/>
      <w:szCs w:val="40"/>
    </w:rPr>
  </w:style>
  <w:style w:type="paragraph" w:styleId="3">
    <w:name w:val="heading 2"/>
    <w:basedOn w:val="1"/>
    <w:next w:val="1"/>
    <w:uiPriority w:val="0"/>
    <w:pPr>
      <w:keepNext/>
      <w:keepLines/>
      <w:spacing w:before="360" w:after="120" w:line="276" w:lineRule="auto"/>
    </w:pPr>
    <w:rPr>
      <w:rFonts w:ascii="Arial" w:hAnsi="Arial" w:eastAsia="Arial" w:cs="Arial"/>
      <w:sz w:val="32"/>
      <w:szCs w:val="32"/>
    </w:rPr>
  </w:style>
  <w:style w:type="paragraph" w:styleId="4">
    <w:name w:val="heading 3"/>
    <w:basedOn w:val="1"/>
    <w:next w:val="1"/>
    <w:uiPriority w:val="0"/>
    <w:pPr>
      <w:keepNext/>
      <w:keepLines/>
      <w:spacing w:before="320" w:after="80" w:line="276" w:lineRule="auto"/>
    </w:pPr>
    <w:rPr>
      <w:rFonts w:ascii="Arial" w:hAnsi="Arial" w:eastAsia="Arial" w:cs="Arial"/>
      <w:color w:val="434343"/>
      <w:sz w:val="28"/>
      <w:szCs w:val="28"/>
    </w:rPr>
  </w:style>
  <w:style w:type="paragraph" w:styleId="5">
    <w:name w:val="heading 4"/>
    <w:basedOn w:val="1"/>
    <w:next w:val="1"/>
    <w:uiPriority w:val="0"/>
    <w:pPr>
      <w:keepNext/>
      <w:keepLines/>
      <w:spacing w:before="280" w:after="80" w:line="276" w:lineRule="auto"/>
    </w:pPr>
    <w:rPr>
      <w:rFonts w:ascii="Arial" w:hAnsi="Arial" w:eastAsia="Arial" w:cs="Arial"/>
      <w:color w:val="666666"/>
    </w:rPr>
  </w:style>
  <w:style w:type="paragraph" w:styleId="6">
    <w:name w:val="heading 5"/>
    <w:basedOn w:val="1"/>
    <w:next w:val="1"/>
    <w:uiPriority w:val="0"/>
    <w:pPr>
      <w:keepNext/>
      <w:keepLines/>
      <w:spacing w:before="240" w:after="80" w:line="276" w:lineRule="auto"/>
    </w:pPr>
    <w:rPr>
      <w:rFonts w:ascii="Arial" w:hAnsi="Arial" w:eastAsia="Arial" w:cs="Arial"/>
      <w:color w:val="666666"/>
      <w:sz w:val="22"/>
      <w:szCs w:val="22"/>
    </w:rPr>
  </w:style>
  <w:style w:type="paragraph" w:styleId="7">
    <w:name w:val="heading 6"/>
    <w:basedOn w:val="1"/>
    <w:next w:val="1"/>
    <w:uiPriority w:val="0"/>
    <w:pPr>
      <w:keepNext/>
      <w:keepLines/>
      <w:spacing w:before="240" w:after="80" w:line="276" w:lineRule="auto"/>
    </w:pPr>
    <w:rPr>
      <w:rFonts w:ascii="Arial" w:hAnsi="Arial" w:eastAsia="Arial" w:cs="Arial"/>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uiPriority w:val="0"/>
    <w:pPr>
      <w:keepNext/>
      <w:keepLines/>
      <w:spacing w:after="320" w:line="276" w:lineRule="auto"/>
    </w:pPr>
    <w:rPr>
      <w:rFonts w:ascii="Arial" w:hAnsi="Arial" w:eastAsia="Arial" w:cs="Arial"/>
      <w:color w:val="666666"/>
      <w:sz w:val="30"/>
      <w:szCs w:val="30"/>
    </w:rPr>
  </w:style>
  <w:style w:type="paragraph" w:styleId="11">
    <w:name w:val="Title"/>
    <w:basedOn w:val="1"/>
    <w:next w:val="1"/>
    <w:uiPriority w:val="0"/>
    <w:pPr>
      <w:keepNext/>
      <w:keepLines/>
      <w:spacing w:after="60" w:line="276" w:lineRule="auto"/>
    </w:pPr>
    <w:rPr>
      <w:rFonts w:ascii="Arial" w:hAnsi="Arial" w:eastAsia="Arial" w:cs="Arial"/>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uiPriority w:val="0"/>
    <w:tblPr>
      <w:tblCellMar>
        <w:top w:w="15" w:type="dxa"/>
        <w:left w:w="15" w:type="dxa"/>
        <w:bottom w:w="15" w:type="dxa"/>
        <w:right w:w="15"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aPqvM3KcY4kfaKnmF5s4836xnA==">CgMxLjAyDmguYWVkMDh1cjhrNWlzOAByITF6Qm1EamFKTWQ4MmFMbmVNRGdubHNoWkFUa1JfLW5WVg==</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26</Pages>
  <Words>307</Words>
  <Characters>1835</Characters>
  <TotalTime>6</TotalTime>
  <ScaleCrop>false</ScaleCrop>
  <LinksUpToDate>false</LinksUpToDate>
  <CharactersWithSpaces>2435</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2026-10-20T08:00:36Z</dcterms:created>
  <dc:creator>sanjana</dc:creator>
  <cp:lastModifiedBy>Sanjana</cp:lastModifiedBy>
  <dcterms:modified xsi:type="dcterms:W3CDTF">2026-10-20T08:07:01Z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eyJoZGlkIjoiYzQxNzI1ZGZjY2VhODE5YWFmZjUyMWQ2NjRlMGZiMjMiLCJ1c2VySWQiOiI1Njc2Nzk4MTA5MTYifQ==</vt:lpwstr>
  </property>
  <property fmtid="{D5CDD505-2E9C-101B-9397-08002B2CF9AE}" pid="3" name="KSOProductBuildVer">
    <vt:lpwstr>1033-12.1.0.28485</vt:lpwstr>
  </property>
  <property fmtid="{D5CDD505-2E9C-101B-9397-08002B2CF9AE}" pid="4" name="ICV">
    <vt:lpwstr>CE263D8D341447FB922E5B14706849B8_12</vt:lpwstr>
  </property>
</Properties>
</file>