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t xml:space="preserve"/>
      </w:r>
    </w:p>
    <w:p>
      <w:pPr>
        <w:shd w:fill="1B2A4A" w:val="clear"/>
        <w:spacing w:after="0" w:before="160"/>
        <w:jc w:val="left"/>
      </w:pPr>
      <w:r>
        <w:rPr>
          <w:rFonts w:ascii="Arial" w:cs="Arial" w:eastAsia="Arial" w:hAnsi="Arial"/>
          <w:b/>
          <w:bCs/>
          <w:color w:val="FFFFFF"/>
          <w:sz w:val="26"/>
          <w:szCs w:val="26"/>
        </w:rPr>
        <w:t xml:space="preserve">EXECUTIVE SUMMARY</w:t>
      </w:r>
    </w:p>
    <w:p>
      <w:pPr>
        <w:shd w:fill="1B2A4A" w:val="clear"/>
        <w:spacing w:after="0" w:before="60"/>
        <w:jc w:val="left"/>
      </w:pPr>
      <w:r>
        <w:rPr>
          <w:rFonts w:ascii="Arial" w:cs="Arial" w:eastAsia="Arial" w:hAnsi="Arial"/>
          <w:b/>
          <w:bCs/>
          <w:color w:val="C9A646"/>
          <w:sz w:val="32"/>
          <w:szCs w:val="32"/>
        </w:rPr>
        <w:t xml:space="preserve">Customer Segmentation &amp; Churn Pattern Analytics in European Banking</w:t>
      </w:r>
    </w:p>
    <w:p>
      <w:pPr>
        <w:shd w:fill="1B2A4A" w:val="clear"/>
        <w:spacing w:after="200" w:before="60"/>
        <w:jc w:val="left"/>
      </w:pPr>
      <w:r>
        <w:rPr>
          <w:rFonts w:ascii="Arial" w:cs="Arial" w:eastAsia="Arial" w:hAnsi="Arial"/>
          <w:color w:val="A8C4E0"/>
          <w:sz w:val="19"/>
          <w:szCs w:val="19"/>
        </w:rPr>
        <w:t xml:space="preserve">Prepared by Sanjana Allanki  ·  Unified Mentor Scholarship Submission  ·  July 2026</w:t>
      </w:r>
    </w:p>
    <w:p>
      <w:pPr>
        <w:pBdr>
          <w:bottom w:val="single" w:color="2E5C8A" w:sz="4" w:space="2"/>
        </w:pBdr>
        <w:spacing w:after="100" w:before="220"/>
      </w:pPr>
      <w:r>
        <w:rPr>
          <w:rFonts w:ascii="Arial" w:cs="Arial" w:eastAsia="Arial" w:hAnsi="Arial"/>
          <w:b/>
          <w:bCs/>
          <w:color w:val="1B2A4A"/>
          <w:sz w:val="24"/>
          <w:szCs w:val="24"/>
        </w:rPr>
        <w:t xml:space="preserve">Context &amp; Scope</w:t>
      </w:r>
    </w:p>
    <w:p>
      <w:pPr>
        <w:spacing w:after="80" w:before="80"/>
      </w:pPr>
      <w:r>
        <w:rPr>
          <w:rFonts w:ascii="Arial" w:cs="Arial" w:eastAsia="Arial" w:hAnsi="Arial"/>
          <w:sz w:val="21"/>
          <w:szCs w:val="21"/>
        </w:rPr>
        <w:t xml:space="preserve">This analysis examines churn risk across 10,000 retail banking customers in France, Germany, and Spain using machine learning and advanced segmentation analytics. The objective is to equip bank executives and policymakers with the intelligence needed to design targeted, data-driven retention strategies.</w:t>
      </w:r>
    </w:p>
    <w:p>
      <w:pPr>
        <w:pBdr>
          <w:bottom w:val="single" w:color="2E5C8A" w:sz="4" w:space="2"/>
        </w:pBdr>
        <w:spacing w:after="100" w:before="220"/>
      </w:pPr>
      <w:r>
        <w:rPr>
          <w:rFonts w:ascii="Arial" w:cs="Arial" w:eastAsia="Arial" w:hAnsi="Arial"/>
          <w:b/>
          <w:bCs/>
          <w:color w:val="1B2A4A"/>
          <w:sz w:val="24"/>
          <w:szCs w:val="24"/>
        </w:rPr>
        <w:t xml:space="preserve">Critical Findings</w:t>
      </w:r>
    </w:p>
    <w:p>
      <w:pPr>
        <w:pStyle w:val="ListParagraph"/>
        <w:numPr>
          <w:ilvl w:val="0"/>
          <w:numId w:val="2"/>
        </w:numPr>
        <w:spacing w:after="50" w:before="50"/>
      </w:pPr>
      <w:r>
        <w:rPr>
          <w:rFonts w:ascii="Arial" w:cs="Arial" w:eastAsia="Arial" w:hAnsi="Arial"/>
          <w:b/>
          <w:bCs/>
          <w:color w:val="2E5C8A"/>
          <w:sz w:val="21"/>
          <w:szCs w:val="21"/>
        </w:rPr>
        <w:t xml:space="preserve">Overall: </w:t>
      </w:r>
      <w:r>
        <w:rPr>
          <w:rFonts w:ascii="Arial" w:cs="Arial" w:eastAsia="Arial" w:hAnsi="Arial"/>
          <w:sz w:val="21"/>
          <w:szCs w:val="21"/>
        </w:rPr>
        <w:t xml:space="preserve">20.4% of customers have churned, representing EUR 185.6M in lost account balances (24.3% of total portfolio balance).</w:t>
      </w:r>
    </w:p>
    <w:p>
      <w:pPr>
        <w:pStyle w:val="ListParagraph"/>
        <w:numPr>
          <w:ilvl w:val="0"/>
          <w:numId w:val="2"/>
        </w:numPr>
        <w:spacing w:after="50" w:before="50"/>
      </w:pPr>
      <w:r>
        <w:rPr>
          <w:rFonts w:ascii="Arial" w:cs="Arial" w:eastAsia="Arial" w:hAnsi="Arial"/>
          <w:b/>
          <w:bCs/>
          <w:color w:val="2E5C8A"/>
          <w:sz w:val="21"/>
          <w:szCs w:val="21"/>
        </w:rPr>
        <w:t xml:space="preserve">Geography: </w:t>
      </w:r>
      <w:r>
        <w:rPr>
          <w:rFonts w:ascii="Arial" w:cs="Arial" w:eastAsia="Arial" w:hAnsi="Arial"/>
          <w:sz w:val="21"/>
          <w:szCs w:val="21"/>
        </w:rPr>
        <w:t xml:space="preserve">Germany's churn rate (32.4%) is 1.59× the dataset average — France and Spain are both below average at ~16%.</w:t>
      </w:r>
    </w:p>
    <w:p>
      <w:pPr>
        <w:pStyle w:val="ListParagraph"/>
        <w:numPr>
          <w:ilvl w:val="0"/>
          <w:numId w:val="2"/>
        </w:numPr>
        <w:spacing w:after="50" w:before="50"/>
      </w:pPr>
      <w:r>
        <w:rPr>
          <w:rFonts w:ascii="Arial" w:cs="Arial" w:eastAsia="Arial" w:hAnsi="Arial"/>
          <w:b/>
          <w:bCs/>
          <w:color w:val="2E5C8A"/>
          <w:sz w:val="21"/>
          <w:szCs w:val="21"/>
        </w:rPr>
        <w:t xml:space="preserve">Age Risk: </w:t>
      </w:r>
      <w:r>
        <w:rPr>
          <w:rFonts w:ascii="Arial" w:cs="Arial" w:eastAsia="Arial" w:hAnsi="Arial"/>
          <w:sz w:val="21"/>
          <w:szCs w:val="21"/>
        </w:rPr>
        <w:t xml:space="preserve">The 46–60 age cohort churns at 51.1%, the highest of any demographic group. Germany's 46–60 segment reaches 67.3%.</w:t>
      </w:r>
    </w:p>
    <w:p>
      <w:pPr>
        <w:pStyle w:val="ListParagraph"/>
        <w:numPr>
          <w:ilvl w:val="0"/>
          <w:numId w:val="2"/>
        </w:numPr>
        <w:spacing w:after="50" w:before="50"/>
      </w:pPr>
      <w:r>
        <w:rPr>
          <w:rFonts w:ascii="Arial" w:cs="Arial" w:eastAsia="Arial" w:hAnsi="Arial"/>
          <w:b/>
          <w:bCs/>
          <w:color w:val="2E5C8A"/>
          <w:sz w:val="21"/>
          <w:szCs w:val="21"/>
        </w:rPr>
        <w:t xml:space="preserve">Products: </w:t>
      </w:r>
      <w:r>
        <w:rPr>
          <w:rFonts w:ascii="Arial" w:cs="Arial" w:eastAsia="Arial" w:hAnsi="Arial"/>
          <w:sz w:val="21"/>
          <w:szCs w:val="21"/>
        </w:rPr>
        <w:t xml:space="preserve">Customers with 3 or 4 products churn at 82.7% and 100% respectively, pointing to a critical product-fit failure. 2-product customers are the most loyal at only 7.6% churn.</w:t>
      </w:r>
    </w:p>
    <w:p>
      <w:pPr>
        <w:pStyle w:val="ListParagraph"/>
        <w:numPr>
          <w:ilvl w:val="0"/>
          <w:numId w:val="2"/>
        </w:numPr>
        <w:spacing w:after="50" w:before="50"/>
      </w:pPr>
      <w:r>
        <w:rPr>
          <w:rFonts w:ascii="Arial" w:cs="Arial" w:eastAsia="Arial" w:hAnsi="Arial"/>
          <w:b/>
          <w:bCs/>
          <w:color w:val="2E5C8A"/>
          <w:sz w:val="21"/>
          <w:szCs w:val="21"/>
        </w:rPr>
        <w:t xml:space="preserve">Engagement: </w:t>
      </w:r>
      <w:r>
        <w:rPr>
          <w:rFonts w:ascii="Arial" w:cs="Arial" w:eastAsia="Arial" w:hAnsi="Arial"/>
          <w:sz w:val="21"/>
          <w:szCs w:val="21"/>
        </w:rPr>
        <w:t xml:space="preserve">Inactive members are 1.88× more likely to churn than active members (26.9% vs 14.3%).</w:t>
      </w:r>
    </w:p>
    <w:p>
      <w:pPr>
        <w:pStyle w:val="ListParagraph"/>
        <w:numPr>
          <w:ilvl w:val="0"/>
          <w:numId w:val="2"/>
        </w:numPr>
        <w:spacing w:after="50" w:before="50"/>
      </w:pPr>
      <w:r>
        <w:rPr>
          <w:rFonts w:ascii="Arial" w:cs="Arial" w:eastAsia="Arial" w:hAnsi="Arial"/>
          <w:b/>
          <w:bCs/>
          <w:color w:val="2E5C8A"/>
          <w:sz w:val="21"/>
          <w:szCs w:val="21"/>
        </w:rPr>
        <w:t xml:space="preserve">High-Value: </w:t>
      </w:r>
      <w:r>
        <w:rPr>
          <w:rFonts w:ascii="Arial" w:cs="Arial" w:eastAsia="Arial" w:hAnsi="Arial"/>
          <w:sz w:val="21"/>
          <w:szCs w:val="21"/>
        </w:rPr>
        <w:t xml:space="preserve">High-balance customers (top quartile) churn at a rate 1.16× above average, generating disproportionate revenue risk.</w:t>
      </w:r>
    </w:p>
    <w:p>
      <w:pPr>
        <w:pBdr>
          <w:bottom w:val="single" w:color="2E5C8A" w:sz="4" w:space="2"/>
        </w:pBdr>
        <w:spacing w:after="100" w:before="220"/>
      </w:pPr>
      <w:r>
        <w:rPr>
          <w:rFonts w:ascii="Arial" w:cs="Arial" w:eastAsia="Arial" w:hAnsi="Arial"/>
          <w:b/>
          <w:bCs/>
          <w:color w:val="1B2A4A"/>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1. Overall Churn Rate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20.4%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Percentage of customers who exited the bank</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2. Segment Churn Rate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11.9–36.3%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Churn rate range across the 4 K-Means customer segments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3. High-Value Churn Ratio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Premium customer churn rate vs overall average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4. Geographic Risk Index</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1.59×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Germany churn rate relative to dataset average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B2A4A"/>
                <w:sz w:val="20"/>
                <w:szCs w:val="20"/>
              </w:rPr>
              <w:t xml:space="preserve">5. Engagement Drop Indicator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1.88×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Inactive member churn rate vs active member churn rate</w:t>
            </w:r>
          </w:p>
        </w:tc>
      </w:tr>
    </w:tbl>
    <w:p>
      <w:pPr>
        <w:spacing w:before="160"/>
      </w:pPr>
      <w:r>
        <w:t xml:space="preserve"/>
      </w:r>
    </w:p>
    <w:p>
      <w:pPr>
        <w:pBdr>
          <w:bottom w:val="single" w:color="2E5C8A" w:sz="4" w:space="2"/>
        </w:pBdr>
        <w:spacing w:after="100" w:before="220"/>
      </w:pPr>
      <w:r>
        <w:rPr>
          <w:rFonts w:ascii="Arial" w:cs="Arial" w:eastAsia="Arial" w:hAnsi="Arial"/>
          <w:b/>
          <w:bCs/>
          <w:color w:val="1B2A4A"/>
          <w:sz w:val="24"/>
          <w:szCs w:val="24"/>
        </w:rPr>
        <w:t xml:space="preserve">Data-Driven Customer Segments (K-Means, k=4)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60"/>
        <w:gridCol w:w="1800"/>
        <w:gridCol w:w="1800"/>
        <w:gridCol w:w="2000"/>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Segment</w:t>
            </w:r>
          </w:p>
        </w:tc>
        <w:tc>
          <w:tcPr>
            <w:tcW w:type="dxa" w:w="1872"/>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Size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Avg Balance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Active %</w:t>
            </w:r>
          </w:p>
        </w:tc>
        <w:tc>
          <w:tcPr>
            <w:tcW w:type="dxa" w:w="1872"/>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Churn Rate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Engaged High-Balance Loyalists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2,876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€107,773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9"/>
                <w:szCs w:val="19"/>
              </w:rPr>
              <w:t xml:space="preserve">13.0% ✅</w:t>
            </w:r>
          </w:p>
        </w:tc>
      </w:tr>
      <w:tr>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Low-Balance Multi-Product</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2,761</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€9,540</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49%</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bCs/>
                <w:sz w:val="19"/>
                <w:szCs w:val="19"/>
              </w:rPr>
              <w:t xml:space="preserve">11.9%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Inactive High-Balance At-Risk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3,247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€105,903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sz w:val="19"/>
                <w:szCs w:val="19"/>
              </w:rPr>
              <w:t xml:space="preserve">28.6% ⚠️</w:t>
            </w:r>
          </w:p>
        </w:tc>
      </w:tr>
      <w:tr>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Senior High-Risk</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1,116</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€75,892</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83%</w:t>
            </w:r>
          </w:p>
        </w:tc>
        <w:tc>
          <w:tcPr>
            <w:tcW w:type="dxa" w:w="1872"/>
            <w:tcBorders>
              <w:top w:val="single" w:color="CCCCCC" w:sz="1"/>
              <w:left w:val="single" w:color="CCCCCC" w:sz="1"/>
              <w:bottom w:val="single" w:color="CCCCCC" w:sz="1"/>
              <w:right w:val="single" w:color="CCCCCC" w:sz="1"/>
            </w:tcBorders>
            <w:shd w:fill="F2F4F6" w:val="clear"/>
            <w:tcMar>
              <w:top w:type="dxa" w:w="80"/>
              <w:left w:type="dxa" w:w="100"/>
              <w:bottom w:type="dxa" w:w="80"/>
              <w:right w:type="dxa" w:w="100"/>
            </w:tcMar>
          </w:tcPr>
          <w:p>
            <w:pPr>
              <w:jc w:val="center"/>
            </w:pPr>
            <w:r>
              <w:rPr>
                <w:rFonts w:ascii="Arial" w:cs="Arial" w:eastAsia="Arial" w:hAnsi="Arial"/>
                <w:b/>
                <w:bCs/>
                <w:sz w:val="19"/>
                <w:szCs w:val="19"/>
              </w:rPr>
              <w:t xml:space="preserve">36.3% 🔴</w:t>
            </w:r>
          </w:p>
        </w:tc>
      </w:tr>
    </w:tbl>
    <w:p>
      <w:pPr>
        <w:spacing w:before="160"/>
      </w:pPr>
      <w:r>
        <w:t xml:space="preserve"/>
      </w:r>
    </w:p>
    <w:p>
      <w:pPr>
        <w:pBdr>
          <w:bottom w:val="single" w:color="2E5C8A" w:sz="4" w:space="2"/>
        </w:pBdr>
        <w:spacing w:after="100" w:before="220"/>
      </w:pPr>
      <w:r>
        <w:rPr>
          <w:rFonts w:ascii="Arial" w:cs="Arial" w:eastAsia="Arial" w:hAnsi="Arial"/>
          <w:b/>
          <w:bCs/>
          <w:color w:val="1B2A4A"/>
          <w:sz w:val="24"/>
          <w:szCs w:val="24"/>
        </w:rPr>
        <w:t xml:space="preserve">Predictive Model Performance</w:t>
      </w:r>
    </w:p>
    <w:p>
      <w:pPr>
        <w:spacing w:after="80" w:before="80"/>
      </w:pPr>
      <w:r>
        <w:rPr>
          <w:rFonts w:ascii="Arial" w:cs="Arial" w:eastAsia="Arial" w:hAnsi="Arial"/>
          <w:sz w:val="21"/>
          <w:szCs w:val="21"/>
        </w:rPr>
        <w:t xml:space="preserve">Two machine learning models were trained and evaluated on a hold-out test set (20% of data):</w:t>
      </w:r>
    </w:p>
    <w:p>
      <w:pPr>
        <w:pStyle w:val="ListParagraph"/>
        <w:numPr>
          <w:ilvl w:val="0"/>
          <w:numId w:val="2"/>
        </w:numPr>
        <w:spacing w:after="50" w:before="50"/>
      </w:pPr>
      <w:r>
        <w:rPr>
          <w:rFonts w:ascii="Arial" w:cs="Arial" w:eastAsia="Arial" w:hAnsi="Arial"/>
          <w:sz w:val="21"/>
          <w:szCs w:val="21"/>
        </w:rPr>
        <w:t xml:space="preserve">Random Forest: Accuracy 81.7%, Recall 72.7%, ROC-AUC 0.866 — Age and NumOfProducts are the top drivers (38% and 24.5% importance)</w:t>
      </w:r>
    </w:p>
    <w:p>
      <w:pPr>
        <w:pStyle w:val="ListParagraph"/>
        <w:numPr>
          <w:ilvl w:val="0"/>
          <w:numId w:val="2"/>
        </w:numPr>
        <w:spacing w:after="50" w:before="50"/>
      </w:pPr>
      <w:r>
        <w:rPr>
          <w:rFonts w:ascii="Arial" w:cs="Arial" w:eastAsia="Arial" w:hAnsi="Arial"/>
          <w:sz w:val="21"/>
          <w:szCs w:val="21"/>
        </w:rPr>
        <w:t xml:space="preserve">XGBoost: Accuracy 80.5%, Recall 73.9%, ROC-AUC 0.865 — NumOfProducts (26.9%), Age (16.1%), and IsActiveMember (16.0%) lead importance</w:t>
      </w:r>
    </w:p>
    <w:p>
      <w:pPr>
        <w:spacing w:after="80" w:before="80"/>
      </w:pPr>
      <w:r>
        <w:rPr>
          <w:rFonts w:ascii="Arial" w:cs="Arial" w:eastAsia="Arial" w:hAnsi="Arial"/>
          <w:sz w:val="21"/>
          <w:szCs w:val="21"/>
        </w:rPr>
        <w:t xml:space="preserve">Both models are integrated into a live churn prediction interface in the Streamlit dashboard.</w:t>
      </w:r>
    </w:p>
    <w:p>
      <w:pPr>
        <w:pBdr>
          <w:bottom w:val="single" w:color="2E5C8A" w:sz="4" w:space="2"/>
        </w:pBdr>
        <w:spacing w:after="100" w:before="220"/>
      </w:pPr>
      <w:r>
        <w:rPr>
          <w:rFonts w:ascii="Arial" w:cs="Arial" w:eastAsia="Arial" w:hAnsi="Arial"/>
          <w:b/>
          <w:bCs/>
          <w:color w:val="1B2A4A"/>
          <w:sz w:val="24"/>
          <w:szCs w:val="24"/>
        </w:rPr>
        <w:t xml:space="preserve">Strategic Recommendations for Policymakers &amp; Executives</w:t>
      </w:r>
    </w:p>
    <w:p>
      <w:pPr>
        <w:pStyle w:val="ListParagraph"/>
        <w:numPr>
          <w:ilvl w:val="0"/>
          <w:numId w:val="2"/>
        </w:numPr>
        <w:spacing w:after="50" w:before="50"/>
      </w:pPr>
      <w:r>
        <w:rPr>
          <w:rFonts w:ascii="Arial" w:cs="Arial" w:eastAsia="Arial" w:hAnsi="Arial"/>
          <w:b/>
          <w:bCs/>
          <w:color w:val="2E5C8A"/>
          <w:sz w:val="21"/>
          <w:szCs w:val="21"/>
        </w:rPr>
        <w:t xml:space="preserve">Priority 1: </w:t>
      </w:r>
      <w:r>
        <w:rPr>
          <w:rFonts w:ascii="Arial" w:cs="Arial" w:eastAsia="Arial" w:hAnsi="Arial"/>
          <w:sz w:val="21"/>
          <w:szCs w:val="21"/>
        </w:rPr>
        <w:t xml:space="preserve">Activate the Inactive High-Balance At-Risk segment (n=3,247) immediately via personalised relationship manager outreach and tailored product upgrade offers. This segment alone holds €344M in at-risk balance.</w:t>
      </w:r>
    </w:p>
    <w:p>
      <w:pPr>
        <w:pStyle w:val="ListParagraph"/>
        <w:numPr>
          <w:ilvl w:val="0"/>
          <w:numId w:val="2"/>
        </w:numPr>
        <w:spacing w:after="50" w:before="50"/>
      </w:pPr>
      <w:r>
        <w:rPr>
          <w:rFonts w:ascii="Arial" w:cs="Arial" w:eastAsia="Arial" w:hAnsi="Arial"/>
          <w:b/>
          <w:bCs/>
          <w:color w:val="2E5C8A"/>
          <w:sz w:val="21"/>
          <w:szCs w:val="21"/>
        </w:rPr>
        <w:t xml:space="preserve">Priority 2: </w:t>
      </w:r>
      <w:r>
        <w:rPr>
          <w:rFonts w:ascii="Arial" w:cs="Arial" w:eastAsia="Arial" w:hAnsi="Arial"/>
          <w:sz w:val="21"/>
          <w:szCs w:val="21"/>
        </w:rPr>
        <w:t xml:space="preserve">Deploy a Germany Retention Task Force with localised product bundles, competitive rate reviews, and German-language customer success programmes to address the 1.59× risk index.</w:t>
      </w:r>
    </w:p>
    <w:p>
      <w:pPr>
        <w:pStyle w:val="ListParagraph"/>
        <w:numPr>
          <w:ilvl w:val="0"/>
          <w:numId w:val="2"/>
        </w:numPr>
        <w:spacing w:after="50" w:before="50"/>
      </w:pPr>
      <w:r>
        <w:rPr>
          <w:rFonts w:ascii="Arial" w:cs="Arial" w:eastAsia="Arial" w:hAnsi="Arial"/>
          <w:b/>
          <w:bCs/>
          <w:color w:val="2E5C8A"/>
          <w:sz w:val="21"/>
          <w:szCs w:val="21"/>
        </w:rPr>
        <w:t xml:space="preserve">Priority 3: </w:t>
      </w:r>
      <w:r>
        <w:rPr>
          <w:rFonts w:ascii="Arial" w:cs="Arial" w:eastAsia="Arial" w:hAnsi="Arial"/>
          <w:sz w:val="21"/>
          <w:szCs w:val="21"/>
        </w:rPr>
        <w:t xml:space="preserve">Introduce age-differentiated retention programmes for the 46–60 cohort: retirement planning, wealth advisory, and long-term savings products to address the 51.1% churn rate.</w:t>
      </w:r>
    </w:p>
    <w:p>
      <w:pPr>
        <w:pStyle w:val="ListParagraph"/>
        <w:numPr>
          <w:ilvl w:val="0"/>
          <w:numId w:val="2"/>
        </w:numPr>
        <w:spacing w:after="50" w:before="50"/>
      </w:pPr>
      <w:r>
        <w:rPr>
          <w:rFonts w:ascii="Arial" w:cs="Arial" w:eastAsia="Arial" w:hAnsi="Arial"/>
          <w:b/>
          <w:bCs/>
          <w:color w:val="2E5C8A"/>
          <w:sz w:val="21"/>
          <w:szCs w:val="21"/>
        </w:rPr>
        <w:t xml:space="preserve">Priority 4: </w:t>
      </w:r>
      <w:r>
        <w:rPr>
          <w:rFonts w:ascii="Arial" w:cs="Arial" w:eastAsia="Arial" w:hAnsi="Arial"/>
          <w:sz w:val="21"/>
          <w:szCs w:val="21"/>
        </w:rPr>
        <w:t xml:space="preserve">Review and remediate the 3–4 product bundle: investigate why customers holding 3+ products churn at 83–100%, and redesign or remove underperforming product combinations.</w:t>
      </w:r>
    </w:p>
    <w:p>
      <w:pPr>
        <w:pStyle w:val="ListParagraph"/>
        <w:numPr>
          <w:ilvl w:val="0"/>
          <w:numId w:val="2"/>
        </w:numPr>
        <w:spacing w:after="50" w:before="50"/>
      </w:pPr>
      <w:r>
        <w:rPr>
          <w:rFonts w:ascii="Arial" w:cs="Arial" w:eastAsia="Arial" w:hAnsi="Arial"/>
          <w:b/>
          <w:bCs/>
          <w:color w:val="2E5C8A"/>
          <w:sz w:val="21"/>
          <w:szCs w:val="21"/>
        </w:rPr>
        <w:t xml:space="preserve">Priority 5: </w:t>
      </w:r>
      <w:r>
        <w:rPr>
          <w:rFonts w:ascii="Arial" w:cs="Arial" w:eastAsia="Arial" w:hAnsi="Arial"/>
          <w:sz w:val="21"/>
          <w:szCs w:val="21"/>
        </w:rPr>
        <w:t xml:space="preserve">Build an Early Warning Score combining IsActiveMember, NumOfProducts, Age, and Geography_Germany to enable real-time proactive retention triggers.</w:t>
      </w:r>
    </w:p>
    <w:p>
      <w:pPr>
        <w:spacing w:before="160"/>
      </w:pPr>
      <w:r>
        <w:t xml:space="preserve"/>
      </w:r>
    </w:p>
    <w:p>
      <w:pPr>
        <w:pBdr>
          <w:bottom w:val="single" w:color="2E5C8A" w:sz="4" w:space="2"/>
        </w:pBdr>
        <w:spacing w:after="100" w:before="220"/>
      </w:pPr>
      <w:r>
        <w:rPr>
          <w:rFonts w:ascii="Arial" w:cs="Arial" w:eastAsia="Arial" w:hAnsi="Arial"/>
          <w:b/>
          <w:bCs/>
          <w:color w:val="1B2A4A"/>
          <w:sz w:val="24"/>
          <w:szCs w:val="24"/>
        </w:rPr>
        <w:t xml:space="preserve">Project Deliverables</w:t>
      </w:r>
    </w:p>
    <w:p>
      <w:pPr>
        <w:pStyle w:val="ListParagraph"/>
        <w:numPr>
          <w:ilvl w:val="0"/>
          <w:numId w:val="2"/>
        </w:numPr>
        <w:spacing w:after="50" w:before="50"/>
      </w:pPr>
      <w:r>
        <w:rPr>
          <w:rFonts w:ascii="Arial" w:cs="Arial" w:eastAsia="Arial" w:hAnsi="Arial"/>
          <w:sz w:val="21"/>
          <w:szCs w:val="21"/>
        </w:rPr>
        <w:t xml:space="preserve">Research Paper (this document + extended version) with full methodology, EDA, and ML evaluation</w:t>
      </w:r>
    </w:p>
    <w:p>
      <w:pPr>
        <w:pStyle w:val="ListParagraph"/>
        <w:numPr>
          <w:ilvl w:val="0"/>
          <w:numId w:val="2"/>
        </w:numPr>
        <w:spacing w:after="50" w:before="50"/>
      </w:pPr>
      <w:r>
        <w:rPr>
          <w:rFonts w:ascii="Arial" w:cs="Arial" w:eastAsia="Arial" w:hAnsi="Arial"/>
          <w:sz w:val="21"/>
          <w:szCs w:val="21"/>
        </w:rPr>
        <w:t xml:space="preserve">Streamlit Dashboard with 5 KPIs, 4 modules, segment filters, drill-down views, and live ML predictor</w:t>
      </w:r>
    </w:p>
    <w:p>
      <w:pPr>
        <w:pStyle w:val="ListParagraph"/>
        <w:numPr>
          <w:ilvl w:val="0"/>
          <w:numId w:val="2"/>
        </w:numPr>
        <w:spacing w:after="50" w:before="50"/>
      </w:pPr>
      <w:r>
        <w:rPr>
          <w:rFonts w:ascii="Arial" w:cs="Arial" w:eastAsia="Arial" w:hAnsi="Arial"/>
          <w:sz w:val="21"/>
          <w:szCs w:val="21"/>
        </w:rPr>
        <w:t xml:space="preserve">13 publication-quality EDA and model evaluation charts</w:t>
      </w:r>
    </w:p>
    <w:p>
      <w:pPr>
        <w:pStyle w:val="ListParagraph"/>
        <w:numPr>
          <w:ilvl w:val="0"/>
          <w:numId w:val="2"/>
        </w:numPr>
        <w:spacing w:after="50" w:before="50"/>
      </w:pPr>
      <w:r>
        <w:rPr>
          <w:rFonts w:ascii="Arial" w:cs="Arial" w:eastAsia="Arial" w:hAnsi="Arial"/>
          <w:sz w:val="21"/>
          <w:szCs w:val="21"/>
        </w:rPr>
        <w:t xml:space="preserve">Two production ML models (Random Forest + XGBoost) saved as .joblib artefacts</w:t>
      </w:r>
    </w:p>
    <w:p>
      <w:pPr>
        <w:pStyle w:val="ListParagraph"/>
        <w:numPr>
          <w:ilvl w:val="0"/>
          <w:numId w:val="2"/>
        </w:numPr>
        <w:spacing w:after="50" w:before="50"/>
      </w:pPr>
      <w:r>
        <w:rPr>
          <w:rFonts w:ascii="Arial" w:cs="Arial" w:eastAsia="Arial" w:hAnsi="Arial"/>
          <w:sz w:val="21"/>
          <w:szCs w:val="21"/>
        </w:rPr>
        <w:t xml:space="preserve">Complete Python scripts for preprocessing, modelling, and visualization</w:t>
      </w:r>
    </w:p>
    <w:p>
      <w:pPr>
        <w:spacing w:before="240"/>
      </w:pPr>
      <w:r>
        <w:t xml:space="preserve"/>
      </w:r>
    </w:p>
    <w:p>
      <w:pPr>
        <w:jc w:val="center"/>
      </w:pPr>
      <w:r>
        <w:rPr>
          <w:rFonts w:ascii="Arial" w:cs="Arial" w:eastAsia="Arial" w:hAnsi="Arial"/>
          <w:i/>
          <w:iCs/>
          <w:color w:val="8A93A3"/>
          <w:sz w:val="18"/>
          <w:szCs w:val="18"/>
        </w:rPr>
        <w:t xml:space="preserve">Prepared by Sanjana Allanki  ·  Unified Mentor Scholarship  ·  July 2026  ·  github.com/sanjanaallanki852-ctrl</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2026-07-03T11:10:19.181Z</dcterms:created>
  <dcterms:modified xsi:type="dcterms:W3CDTF">2026-07-03T11:10:19.181Z</dcterms:modified>
</cp:coreProperties>
</file>

<file path=docProps/custom.xml><?xml version="1.0" encoding="utf-8"?>
<Properties xmlns="http://schemas.openxmlformats.org/officeDocument/2006/custom-properties" xmlns:vt="http://schemas.openxmlformats.org/officeDocument/2006/docPropsVTypes"/>
</file>