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B2A4A"/>
          <w:sz w:val="52"/>
          <w:szCs w:val="52"/>
        </w:rPr>
        <w:t xml:space="preserve">Customer Segmentation &amp;</w:t>
      </w:r>
    </w:p>
    <w:p>
      <w:pPr>
        <w:spacing w:after="200" w:before="0"/>
        <w:jc w:val="center"/>
      </w:pPr>
      <w:r>
        <w:rPr>
          <w:rFonts w:ascii="Arial" w:cs="Arial" w:eastAsia="Arial" w:hAnsi="Arial"/>
          <w:b/>
          <w:bCs/>
          <w:color w:val="1B2A4A"/>
          <w:sz w:val="52"/>
          <w:szCs w:val="52"/>
        </w:rPr>
        <w:t xml:space="preserve">Churn Pattern Analytics</w:t>
      </w:r>
    </w:p>
    <w:p>
      <w:pPr>
        <w:spacing w:after="120" w:before="0"/>
        <w:jc w:val="center"/>
      </w:pPr>
      <w:r>
        <w:rPr>
          <w:rFonts w:ascii="Arial" w:cs="Arial" w:eastAsia="Arial" w:hAnsi="Arial"/>
          <w:b/>
          <w:bCs/>
          <w:color w:val="2E5C8A"/>
          <w:sz w:val="44"/>
          <w:szCs w:val="44"/>
        </w:rPr>
        <w:t xml:space="preserve">in European Banking</w:t>
      </w:r>
    </w:p>
    <w:p>
      <w:pPr>
        <w:pBdr>
          <w:bottom w:val="single" w:color="C9A646" w:sz="6" w:space="8"/>
        </w:pBdr>
        <w:spacing w:after="400" w:before="0"/>
        <w:jc w:val="center"/>
      </w:pPr>
      <w:r>
        <w:t xml:space="preserve"/>
      </w:r>
    </w:p>
    <w:p>
      <w:pPr>
        <w:spacing w:after="80" w:before="200"/>
        <w:jc w:val="center"/>
      </w:pPr>
      <w:r>
        <w:rPr>
          <w:rFonts w:ascii="Arial" w:cs="Arial" w:eastAsia="Arial" w:hAnsi="Arial"/>
          <w:i/>
          <w:iCs/>
          <w:color w:val="2E5C8A"/>
          <w:sz w:val="28"/>
          <w:szCs w:val="28"/>
        </w:rPr>
        <w:t xml:space="preserve">Research Paper</w:t>
      </w:r>
    </w:p>
    <w:p>
      <w:pPr>
        <w:spacing w:after="80" w:before="80"/>
        <w:jc w:val="center"/>
      </w:pPr>
      <w:r>
        <w:rPr>
          <w:rFonts w:ascii="Arial" w:cs="Arial" w:eastAsia="Arial" w:hAnsi="Arial"/>
          <w:color w:val="444444"/>
          <w:sz w:val="22"/>
          <w:szCs w:val="22"/>
        </w:rPr>
        <w:t xml:space="preserve">Unified Mentor Internship — Scholarship Competition Submission</w:t>
      </w:r>
    </w:p>
    <w:p>
      <w:pPr>
        <w:spacing w:after="80" w:before="200"/>
        <w:jc w:val="center"/>
      </w:pPr>
      <w:r>
        <w:rPr>
          <w:rFonts w:ascii="Arial" w:cs="Arial" w:eastAsia="Arial" w:hAnsi="Arial"/>
          <w:b/>
          <w:bCs/>
          <w:color w:val="1B2A4A"/>
          <w:sz w:val="24"/>
          <w:szCs w:val="24"/>
        </w:rPr>
        <w:t xml:space="preserve">Author: Sanjana Allanki</w:t>
      </w:r>
    </w:p>
    <w:p>
      <w:pPr>
        <w:spacing w:after="40" w:before="40"/>
        <w:jc w:val="center"/>
      </w:pPr>
      <w:r>
        <w:rPr>
          <w:rFonts w:ascii="Arial" w:cs="Arial" w:eastAsia="Arial" w:hAnsi="Arial"/>
          <w:color w:val="555555"/>
          <w:sz w:val="20"/>
          <w:szCs w:val="20"/>
        </w:rPr>
        <w:t xml:space="preserve">B.Tech CSE (AI &amp; ML) | Gurunanak Institutions Technical Campus, Hyderabad</w:t>
      </w:r>
    </w:p>
    <w:p>
      <w:pPr>
        <w:spacing w:after="80" w:before="40"/>
        <w:jc w:val="center"/>
      </w:pPr>
      <w:r>
        <w:rPr>
          <w:rFonts w:ascii="Arial" w:cs="Arial" w:eastAsia="Arial" w:hAnsi="Arial"/>
          <w:color w:val="555555"/>
          <w:sz w:val="18"/>
          <w:szCs w:val="18"/>
        </w:rPr>
        <w:t xml:space="preserve">GitHub: github.com/sanjanaallanki852-ctrl  |  LinkedIn: linkedin.com/in/sanjanaallanki</w:t>
      </w:r>
    </w:p>
    <w:p>
      <w:pPr>
        <w:spacing w:after="80" w:before="80"/>
        <w:jc w:val="center"/>
      </w:pPr>
      <w:r>
        <w:rPr>
          <w:rFonts w:ascii="Arial" w:cs="Arial" w:eastAsia="Arial" w:hAnsi="Arial"/>
          <w:color w:val="666666"/>
          <w:sz w:val="22"/>
          <w:szCs w:val="22"/>
        </w:rPr>
        <w:t xml:space="preserve">July 2026</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Abstract</w:t>
      </w:r>
    </w:p>
    <w:p>
      <w:pPr>
        <w:spacing w:after="80" w:before="80"/>
        <w:jc w:val="both"/>
      </w:pPr>
      <w:r>
        <w:rPr>
          <w:rFonts w:ascii="Arial" w:cs="Arial" w:eastAsia="Arial" w:hAnsi="Arial"/>
          <w:sz w:val="22"/>
          <w:szCs w:val="22"/>
        </w:rPr>
        <w:t xml:space="preserve">Customer churn is one of the most costly and strategically consequential risks in retail banking. This research paper presents a rigorous, data-driven analysis of customer segmentation and churn patterns across the European banking sector, conducted on a 10,000-customer dataset spanning France, Germany, and Spain.</w:t>
      </w:r>
    </w:p>
    <w:p>
      <w:pPr>
        <w:spacing w:after="80" w:before="80"/>
        <w:jc w:val="both"/>
      </w:pPr>
      <w:r>
        <w:rPr>
          <w:rFonts w:ascii="Arial" w:cs="Arial" w:eastAsia="Arial" w:hAnsi="Arial"/>
          <w:sz w:val="22"/>
          <w:szCs w:val="22"/>
        </w:rPr>
        <w:t xml:space="preserve">Using a six-stage analytical methodology — data ingestion, cleaning, multi-dimensional segmentation, churn distribution analysis, comparative demographic analysis, and high-value customer profiling — we identify that the overall churn rate stands at 20.4%. Germany exhibits the highest geographic risk index at 1.59× the average, the 46–60 age group churns at 51.1%, and customers with 3–4 products churn at 82.7–100%. Inactive members are 1.88× more likely to churn than active ones.</w:t>
      </w:r>
    </w:p>
    <w:p>
      <w:pPr>
        <w:spacing w:after="80" w:before="80"/>
        <w:jc w:val="both"/>
      </w:pPr>
      <w:r>
        <w:rPr>
          <w:rFonts w:ascii="Arial" w:cs="Arial" w:eastAsia="Arial" w:hAnsi="Arial"/>
          <w:sz w:val="22"/>
          <w:szCs w:val="22"/>
        </w:rPr>
        <w:t xml:space="preserve">Two supervised machine learning models (Random Forest and XGBoost) are trained for churn prediction, both achieving ROC-AUC scores above 0.865. K-Means clustering (k=4) reveals four actionable customer segments with churn rates ranging from 11.9% to 36.3%. Five key performance indicators (Overall Churn Rate, Segment Churn Rate, High-Value Churn Ratio, Geographic Risk Index, Engagement Drop Indicator) are computed and embedded in an interactive Streamlit dashboard. Strategic retention recommendations are provided for each identified risk segment.</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1. Introduction</w:t>
      </w:r>
    </w:p>
    <w:p>
      <w:pPr>
        <w:pStyle w:val="Heading2"/>
        <w:spacing w:after="100" w:before="260"/>
      </w:pPr>
      <w:r>
        <w:rPr>
          <w:rFonts w:ascii="Arial" w:cs="Arial" w:eastAsia="Arial" w:hAnsi="Arial"/>
          <w:b/>
          <w:bCs/>
          <w:color w:val="2E5C8A"/>
          <w:sz w:val="26"/>
          <w:szCs w:val="26"/>
        </w:rPr>
        <w:t xml:space="preserve">1.1 Background and Context</w:t>
      </w:r>
    </w:p>
    <w:p>
      <w:pPr>
        <w:spacing w:after="80" w:before="80"/>
        <w:jc w:val="both"/>
      </w:pPr>
      <w:r>
        <w:rPr>
          <w:rFonts w:ascii="Arial" w:cs="Arial" w:eastAsia="Arial" w:hAnsi="Arial"/>
          <w:sz w:val="22"/>
          <w:szCs w:val="22"/>
        </w:rPr>
        <w:t xml:space="preserve">Customer churn represents one of the largest hidden costs in retail banking. Losing existing customers leads to reduced lifetime value, increased acquisition costs, and revenue instability. While banks routinely track aggregate churn rates, they often lack the granular, segmentation-driven analytics needed to answer strategic questions such as: which customer groups are most likely to churn? How does churn differ across countries, age groups, and financial profiles? Is churn concentrated among high-value or low-value customers?</w:t>
      </w:r>
    </w:p>
    <w:p>
      <w:pPr>
        <w:pStyle w:val="Heading2"/>
        <w:spacing w:after="100" w:before="260"/>
      </w:pPr>
      <w:r>
        <w:rPr>
          <w:rFonts w:ascii="Arial" w:cs="Arial" w:eastAsia="Arial" w:hAnsi="Arial"/>
          <w:b/>
          <w:bCs/>
          <w:color w:val="2E5C8A"/>
          <w:sz w:val="26"/>
          <w:szCs w:val="26"/>
        </w:rPr>
        <w:t xml:space="preserve">1.2 Problem Statement</w:t>
      </w:r>
    </w:p>
    <w:p>
      <w:pPr>
        <w:spacing w:after="80" w:before="80"/>
        <w:jc w:val="both"/>
      </w:pPr>
      <w:r>
        <w:rPr>
          <w:rFonts w:ascii="Arial" w:cs="Arial" w:eastAsia="Arial" w:hAnsi="Arial"/>
          <w:sz w:val="22"/>
          <w:szCs w:val="22"/>
        </w:rPr>
        <w:t xml:space="preserve">Despite having rich customer-level data, banks face three interconnected challenges:</w:t>
      </w:r>
    </w:p>
    <w:p>
      <w:pPr>
        <w:pStyle w:val="ListParagraph"/>
        <w:numPr>
          <w:ilvl w:val="0"/>
          <w:numId w:val="2"/>
        </w:numPr>
        <w:spacing w:after="40" w:before="40"/>
      </w:pPr>
      <w:r>
        <w:rPr>
          <w:rFonts w:ascii="Arial" w:cs="Arial" w:eastAsia="Arial" w:hAnsi="Arial"/>
          <w:sz w:val="22"/>
          <w:szCs w:val="22"/>
        </w:rPr>
        <w:t xml:space="preserve">Identifying high-risk customer segments before churn occurs</w:t>
      </w:r>
    </w:p>
    <w:p>
      <w:pPr>
        <w:pStyle w:val="ListParagraph"/>
        <w:numPr>
          <w:ilvl w:val="0"/>
          <w:numId w:val="2"/>
        </w:numPr>
        <w:spacing w:after="40" w:before="40"/>
      </w:pPr>
      <w:r>
        <w:rPr>
          <w:rFonts w:ascii="Arial" w:cs="Arial" w:eastAsia="Arial" w:hAnsi="Arial"/>
          <w:sz w:val="22"/>
          <w:szCs w:val="22"/>
        </w:rPr>
        <w:t xml:space="preserve">Understanding how churn differs across geography, demographics, and product engagement</w:t>
      </w:r>
    </w:p>
    <w:p>
      <w:pPr>
        <w:pStyle w:val="ListParagraph"/>
        <w:numPr>
          <w:ilvl w:val="0"/>
          <w:numId w:val="2"/>
        </w:numPr>
        <w:spacing w:after="40" w:before="40"/>
      </w:pPr>
      <w:r>
        <w:rPr>
          <w:rFonts w:ascii="Arial" w:cs="Arial" w:eastAsia="Arial" w:hAnsi="Arial"/>
          <w:sz w:val="22"/>
          <w:szCs w:val="22"/>
        </w:rPr>
        <w:t xml:space="preserve">Quantifying the financial profile and revenue risk posed by churned customers</w:t>
      </w:r>
    </w:p>
    <w:p>
      <w:pPr>
        <w:spacing w:after="80" w:before="80"/>
        <w:jc w:val="both"/>
      </w:pPr>
      <w:r>
        <w:rPr>
          <w:rFonts w:ascii="Arial" w:cs="Arial" w:eastAsia="Arial" w:hAnsi="Arial"/>
          <w:sz w:val="22"/>
          <w:szCs w:val="22"/>
        </w:rPr>
        <w:t xml:space="preserve">Without structured analytics, churn management strategies remain generic, reactive, and inefficient.</w:t>
      </w:r>
    </w:p>
    <w:p>
      <w:pPr>
        <w:pStyle w:val="Heading2"/>
        <w:spacing w:after="100" w:before="260"/>
      </w:pPr>
      <w:r>
        <w:rPr>
          <w:rFonts w:ascii="Arial" w:cs="Arial" w:eastAsia="Arial" w:hAnsi="Arial"/>
          <w:b/>
          <w:bCs/>
          <w:color w:val="2E5C8A"/>
          <w:sz w:val="26"/>
          <w:szCs w:val="26"/>
        </w:rPr>
        <w:t xml:space="preserve">1.3 Project Objectives</w:t>
      </w:r>
    </w:p>
    <w:p>
      <w:pPr>
        <w:spacing w:after="80" w:before="80"/>
        <w:jc w:val="both"/>
      </w:pPr>
      <w:r>
        <w:rPr>
          <w:rFonts w:ascii="Arial" w:cs="Arial" w:eastAsia="Arial" w:hAnsi="Arial"/>
          <w:sz w:val="22"/>
          <w:szCs w:val="22"/>
        </w:rPr>
        <w:t xml:space="preserve">This project addresses these challenges through the following primary objectives:</w:t>
      </w:r>
    </w:p>
    <w:p>
      <w:pPr>
        <w:pStyle w:val="ListParagraph"/>
        <w:numPr>
          <w:ilvl w:val="0"/>
          <w:numId w:val="3"/>
        </w:numPr>
        <w:spacing w:after="40" w:before="40"/>
      </w:pPr>
      <w:r>
        <w:rPr>
          <w:rFonts w:ascii="Arial" w:cs="Arial" w:eastAsia="Arial" w:hAnsi="Arial"/>
          <w:sz w:val="22"/>
          <w:szCs w:val="22"/>
        </w:rPr>
        <w:t xml:space="preserve">Measure and decompose the overall churn rate across multiple segmentation dimensions</w:t>
      </w:r>
    </w:p>
    <w:p>
      <w:pPr>
        <w:pStyle w:val="ListParagraph"/>
        <w:numPr>
          <w:ilvl w:val="0"/>
          <w:numId w:val="3"/>
        </w:numPr>
        <w:spacing w:after="40" w:before="40"/>
      </w:pPr>
      <w:r>
        <w:rPr>
          <w:rFonts w:ascii="Arial" w:cs="Arial" w:eastAsia="Arial" w:hAnsi="Arial"/>
          <w:sz w:val="22"/>
          <w:szCs w:val="22"/>
        </w:rPr>
        <w:t xml:space="preserve">Identify which customer segments carry the highest churn probability</w:t>
      </w:r>
    </w:p>
    <w:p>
      <w:pPr>
        <w:pStyle w:val="ListParagraph"/>
        <w:numPr>
          <w:ilvl w:val="0"/>
          <w:numId w:val="3"/>
        </w:numPr>
        <w:spacing w:after="40" w:before="40"/>
      </w:pPr>
      <w:r>
        <w:rPr>
          <w:rFonts w:ascii="Arial" w:cs="Arial" w:eastAsia="Arial" w:hAnsi="Arial"/>
          <w:sz w:val="22"/>
          <w:szCs w:val="22"/>
        </w:rPr>
        <w:t xml:space="preserve">Compare churn behaviour across the three European regions (France, Germany, Spain)</w:t>
      </w:r>
    </w:p>
    <w:p>
      <w:pPr>
        <w:spacing w:after="80" w:before="80"/>
        <w:jc w:val="both"/>
      </w:pPr>
      <w:r>
        <w:rPr>
          <w:rFonts w:ascii="Arial" w:cs="Arial" w:eastAsia="Arial" w:hAnsi="Arial"/>
          <w:sz w:val="22"/>
          <w:szCs w:val="22"/>
        </w:rPr>
        <w:t xml:space="preserve">Secondary objectives include understanding churn among high-value customers, evaluating engagement and tenure patterns, and supporting strategic planning and marketing decisions.</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2. Dataset Description</w:t>
      </w:r>
    </w:p>
    <w:p>
      <w:pPr>
        <w:spacing w:after="80" w:before="80"/>
        <w:jc w:val="both"/>
      </w:pPr>
      <w:r>
        <w:rPr>
          <w:rFonts w:ascii="Arial" w:cs="Arial" w:eastAsia="Arial" w:hAnsi="Arial"/>
          <w:sz w:val="22"/>
          <w:szCs w:val="22"/>
        </w:rPr>
        <w:t xml:space="preserve">The European Bank Customer Dataset contains 10,000 records with 14 attributes covering customer demographics, financial profile, product engagement, and a binary churn indicator (Exited). The dataset was provided by Unified Mentor as part of the internship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CustomerId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Unique customer identifier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Numeric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CreditScore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Customer creditworthiness (350–850)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Numeric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Country: France, Spain, Germany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Categorical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Male / Female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Binary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Customer age (18–92)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Numeric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Tenure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Years with the bank (0–10)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Numeric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Account balance (EUR 0–250,898)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Numeric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NumOfProducts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Bank products held (1–4)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Numeric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HasCrCard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Credit card ownership (0/1)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Binary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IsActiveMember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Activity indicator (0/1)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Binary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EstimatedSalary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Estimated annual salary (EUR)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Numeric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Exited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Churn indicator — target variable (0/1)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Binary</w:t>
            </w:r>
          </w:p>
        </w:tc>
      </w:tr>
    </w:tbl>
    <w:p>
      <w:pPr>
        <w:spacing w:after="80" w:before="160"/>
      </w:pPr>
      <w:r>
        <w:t xml:space="preserve"/>
      </w:r>
    </w:p>
    <w:p>
      <w:pPr>
        <w:spacing w:after="80" w:before="80"/>
        <w:jc w:val="both"/>
      </w:pPr>
      <w:r>
        <w:rPr>
          <w:rFonts w:ascii="Arial" w:cs="Arial" w:eastAsia="Arial" w:hAnsi="Arial"/>
          <w:sz w:val="22"/>
          <w:szCs w:val="22"/>
        </w:rPr>
        <w:t xml:space="preserve">Validation checks confirmed zero missing values, unique CustomerIds, binary consistency across all flag fields, and correct geography values. The dataset was split 80/20 for model training and evaluation.</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3. Analytical Methodology</w:t>
      </w:r>
    </w:p>
    <w:p>
      <w:pPr>
        <w:spacing w:after="80" w:before="80"/>
        <w:jc w:val="both"/>
      </w:pPr>
      <w:r>
        <w:rPr>
          <w:rFonts w:ascii="Arial" w:cs="Arial" w:eastAsia="Arial" w:hAnsi="Arial"/>
          <w:sz w:val="22"/>
          <w:szCs w:val="22"/>
        </w:rPr>
        <w:t xml:space="preserve">The analysis follows a six-stage pipeline designed to move from raw data to actionable business intelligence.</w:t>
      </w:r>
    </w:p>
    <w:p>
      <w:pPr>
        <w:pStyle w:val="Heading2"/>
        <w:spacing w:after="100" w:before="260"/>
      </w:pPr>
      <w:r>
        <w:rPr>
          <w:rFonts w:ascii="Arial" w:cs="Arial" w:eastAsia="Arial" w:hAnsi="Arial"/>
          <w:b/>
          <w:bCs/>
          <w:color w:val="2E5C8A"/>
          <w:sz w:val="26"/>
          <w:szCs w:val="26"/>
        </w:rPr>
        <w:t xml:space="preserve">Stage 1: Data Ingestion &amp; Validation</w:t>
      </w:r>
    </w:p>
    <w:p>
      <w:pPr>
        <w:spacing w:after="80" w:before="80"/>
        <w:jc w:val="both"/>
      </w:pPr>
      <w:r>
        <w:rPr>
          <w:rFonts w:ascii="Arial" w:cs="Arial" w:eastAsia="Arial" w:hAnsi="Arial"/>
          <w:sz w:val="22"/>
          <w:szCs w:val="22"/>
        </w:rPr>
        <w:t xml:space="preserve">The dataset was loaded and subjected to automated validation checks covering: binary variable consistency (Exited, HasCrCard, IsActiveMember), product field range validation (NumOfProducts 1–4), geography whitelist validation (France, Spain, Germany), and churn label accuracy confirmation.</w:t>
      </w:r>
    </w:p>
    <w:p>
      <w:pPr>
        <w:pStyle w:val="Heading2"/>
        <w:spacing w:after="100" w:before="260"/>
      </w:pPr>
      <w:r>
        <w:rPr>
          <w:rFonts w:ascii="Arial" w:cs="Arial" w:eastAsia="Arial" w:hAnsi="Arial"/>
          <w:b/>
          <w:bCs/>
          <w:color w:val="2E5C8A"/>
          <w:sz w:val="26"/>
          <w:szCs w:val="26"/>
        </w:rPr>
        <w:t xml:space="preserve">Stage 2: Data Cleaning &amp; Preparation</w:t>
      </w:r>
    </w:p>
    <w:p>
      <w:pPr>
        <w:spacing w:after="80" w:before="80"/>
        <w:jc w:val="both"/>
      </w:pPr>
      <w:r>
        <w:rPr>
          <w:rFonts w:ascii="Arial" w:cs="Arial" w:eastAsia="Arial" w:hAnsi="Arial"/>
          <w:sz w:val="22"/>
          <w:szCs w:val="22"/>
        </w:rPr>
        <w:t xml:space="preserve">Non-analytical identifiers (Surname) were removed. Categorical variables were encoded for grouping and modelling. Five derived segmentation fields were created: AgeGroup (&lt;30, 30–45, 46–60, 60+), CreditBand (Low/Medium/High), TenureGroup (New/Mid-term/Long-term), BalanceSegment (Zero/Low/High-balance), and a binary IsHighValue flag (top quartile balance: ≥EUR 127,644).</w:t>
      </w:r>
    </w:p>
    <w:p>
      <w:pPr>
        <w:pStyle w:val="Heading2"/>
        <w:spacing w:after="100" w:before="260"/>
      </w:pPr>
      <w:r>
        <w:rPr>
          <w:rFonts w:ascii="Arial" w:cs="Arial" w:eastAsia="Arial" w:hAnsi="Arial"/>
          <w:b/>
          <w:bCs/>
          <w:color w:val="2E5C8A"/>
          <w:sz w:val="26"/>
          <w:szCs w:val="26"/>
        </w:rPr>
        <w:t xml:space="preserve">Stage 3: Customer Segmentation Design</w:t>
      </w:r>
    </w:p>
    <w:p>
      <w:pPr>
        <w:spacing w:after="80" w:before="80"/>
        <w:jc w:val="both"/>
      </w:pPr>
      <w:r>
        <w:rPr>
          <w:rFonts w:ascii="Arial" w:cs="Arial" w:eastAsia="Arial" w:hAnsi="Arial"/>
          <w:sz w:val="22"/>
          <w:szCs w:val="22"/>
        </w:rPr>
        <w:t xml:space="preserve">Two complementary segmentation approaches were applied:</w:t>
      </w:r>
    </w:p>
    <w:p>
      <w:pPr>
        <w:pStyle w:val="ListParagraph"/>
        <w:numPr>
          <w:ilvl w:val="0"/>
          <w:numId w:val="2"/>
        </w:numPr>
        <w:spacing w:after="40" w:before="40"/>
      </w:pPr>
      <w:r>
        <w:rPr>
          <w:rFonts w:ascii="Arial" w:cs="Arial" w:eastAsia="Arial" w:hAnsi="Arial"/>
          <w:sz w:val="22"/>
          <w:szCs w:val="22"/>
        </w:rPr>
        <w:t xml:space="preserve">Rule-based segmentation across four business-defined dimensions (Geography, Age, Credit Score Band, Tenure Group, Balance Segment)</w:t>
      </w:r>
    </w:p>
    <w:p>
      <w:pPr>
        <w:pStyle w:val="ListParagraph"/>
        <w:numPr>
          <w:ilvl w:val="0"/>
          <w:numId w:val="2"/>
        </w:numPr>
        <w:spacing w:after="40" w:before="40"/>
      </w:pPr>
      <w:r>
        <w:rPr>
          <w:rFonts w:ascii="Arial" w:cs="Arial" w:eastAsia="Arial" w:hAnsi="Arial"/>
          <w:sz w:val="22"/>
          <w:szCs w:val="22"/>
        </w:rPr>
        <w:t xml:space="preserve">Data-driven segmentation via K-Means clustering (k=4, selected based on silhouette score evaluation across k=3–6, prioritising business interpretability)</w:t>
      </w:r>
    </w:p>
    <w:p>
      <w:pPr>
        <w:pStyle w:val="Heading2"/>
        <w:spacing w:after="100" w:before="260"/>
      </w:pPr>
      <w:r>
        <w:rPr>
          <w:rFonts w:ascii="Arial" w:cs="Arial" w:eastAsia="Arial" w:hAnsi="Arial"/>
          <w:b/>
          <w:bCs/>
          <w:color w:val="2E5C8A"/>
          <w:sz w:val="26"/>
          <w:szCs w:val="26"/>
        </w:rPr>
        <w:t xml:space="preserve">Stage 4: Churn Distribution Analysis</w:t>
      </w:r>
    </w:p>
    <w:p>
      <w:pPr>
        <w:spacing w:after="80" w:before="80"/>
        <w:jc w:val="both"/>
      </w:pPr>
      <w:r>
        <w:rPr>
          <w:rFonts w:ascii="Arial" w:cs="Arial" w:eastAsia="Arial" w:hAnsi="Arial"/>
          <w:sz w:val="22"/>
          <w:szCs w:val="22"/>
        </w:rPr>
        <w:t xml:space="preserve">Churn rates were computed at overall, geographic, demographic, and product-level granularity. Chi-square tests were used to assess statistical significance of categorical factors; independent t-tests were used for continuous variables. Age, Geography, NumOfProducts, BalanceSegment, and IsActiveMember were all statistically significant at p&lt;0.001.</w:t>
      </w:r>
    </w:p>
    <w:p>
      <w:pPr>
        <w:pStyle w:val="Heading2"/>
        <w:spacing w:after="100" w:before="260"/>
      </w:pPr>
      <w:r>
        <w:rPr>
          <w:rFonts w:ascii="Arial" w:cs="Arial" w:eastAsia="Arial" w:hAnsi="Arial"/>
          <w:b/>
          <w:bCs/>
          <w:color w:val="2E5C8A"/>
          <w:sz w:val="26"/>
          <w:szCs w:val="26"/>
        </w:rPr>
        <w:t xml:space="preserve">Stage 5: Comparative Demographic Analysis</w:t>
      </w:r>
    </w:p>
    <w:p>
      <w:pPr>
        <w:spacing w:after="80" w:before="80"/>
        <w:jc w:val="both"/>
      </w:pPr>
      <w:r>
        <w:rPr>
          <w:rFonts w:ascii="Arial" w:cs="Arial" w:eastAsia="Arial" w:hAnsi="Arial"/>
          <w:sz w:val="22"/>
          <w:szCs w:val="22"/>
        </w:rPr>
        <w:t xml:space="preserve">Cross-tabulations were produced for Geography×Age, Geography×Gender, and Age×Gender interaction effects. Financial stability vs churn comparison was performed through the BalanceSegment and EstimatedSalary dimensions.</w:t>
      </w:r>
    </w:p>
    <w:p>
      <w:pPr>
        <w:pStyle w:val="Heading2"/>
        <w:spacing w:after="100" w:before="260"/>
      </w:pPr>
      <w:r>
        <w:rPr>
          <w:rFonts w:ascii="Arial" w:cs="Arial" w:eastAsia="Arial" w:hAnsi="Arial"/>
          <w:b/>
          <w:bCs/>
          <w:color w:val="2E5C8A"/>
          <w:sz w:val="26"/>
          <w:szCs w:val="26"/>
        </w:rPr>
        <w:t xml:space="preserve">Stage 6: High-Value Customer Churn Analysis</w:t>
      </w:r>
    </w:p>
    <w:p>
      <w:pPr>
        <w:spacing w:after="80" w:before="80"/>
        <w:jc w:val="both"/>
      </w:pPr>
      <w:r>
        <w:rPr>
          <w:rFonts w:ascii="Arial" w:cs="Arial" w:eastAsia="Arial" w:hAnsi="Arial"/>
          <w:sz w:val="22"/>
          <w:szCs w:val="22"/>
        </w:rPr>
        <w:t xml:space="preserve">High-value customers (top balance quartile, n=2,500) were analysed separately. Key metrics include their churn rate relative to the overall average, the EUR balance at risk, and salary vs balance churn patterns.</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4. Exploratory Data Analysis &amp; Key Findings</w:t>
      </w:r>
    </w:p>
    <w:p>
      <w:pPr>
        <w:pStyle w:val="Heading2"/>
        <w:spacing w:after="100" w:before="260"/>
      </w:pPr>
      <w:r>
        <w:rPr>
          <w:rFonts w:ascii="Arial" w:cs="Arial" w:eastAsia="Arial" w:hAnsi="Arial"/>
          <w:b/>
          <w:bCs/>
          <w:color w:val="2E5C8A"/>
          <w:sz w:val="26"/>
          <w:szCs w:val="26"/>
        </w:rPr>
        <w:t xml:space="preserve">4.1 Overall Churn Rate</w:t>
      </w:r>
    </w:p>
    <w:p>
      <w:pPr>
        <w:spacing w:after="80" w:before="80"/>
        <w:jc w:val="both"/>
      </w:pPr>
      <w:r>
        <w:rPr>
          <w:rFonts w:ascii="Arial" w:cs="Arial" w:eastAsia="Arial" w:hAnsi="Arial"/>
          <w:sz w:val="22"/>
          <w:szCs w:val="22"/>
        </w:rPr>
        <w:t xml:space="preserve">Of the 10,000 customers in the dataset, 2,037 have churned, giving an overall churn rate of 20.4%. This is broadly consistent with European retail banking churn benchmarks, which typically range from 15–25% per annum.</w:t>
      </w:r>
    </w:p>
    <w:p>
      <w:pPr>
        <w:pStyle w:val="Heading2"/>
        <w:spacing w:after="100" w:before="260"/>
      </w:pPr>
      <w:r>
        <w:rPr>
          <w:rFonts w:ascii="Arial" w:cs="Arial" w:eastAsia="Arial" w:hAnsi="Arial"/>
          <w:b/>
          <w:bCs/>
          <w:color w:val="2E5C8A"/>
          <w:sz w:val="26"/>
          <w:szCs w:val="26"/>
        </w:rPr>
        <w:t xml:space="preserve">4.2 Geographic Churn Analysis</w:t>
      </w:r>
    </w:p>
    <w:p>
      <w:pPr>
        <w:spacing w:after="80" w:before="80"/>
        <w:jc w:val="both"/>
      </w:pPr>
      <w:r>
        <w:rPr>
          <w:rFonts w:ascii="Arial" w:cs="Arial" w:eastAsia="Arial" w:hAnsi="Arial"/>
          <w:sz w:val="22"/>
          <w:szCs w:val="22"/>
        </w:rPr>
        <w:t xml:space="preserve">Germany exhibits a disproportionately high churn rate at 32.4% — exactly 1.59× the dataset average. France (16.2%) and Spain (16.7%) are both below average, suggesting Germany-specific risk factors: product-market fit issues, local competitive dynamics, or demographic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Geography</w:t>
            </w:r>
          </w:p>
        </w:tc>
        <w:tc>
          <w:tcPr>
            <w:tcW w:type="dxa" w:w="1872"/>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Customers</w:t>
            </w:r>
          </w:p>
        </w:tc>
        <w:tc>
          <w:tcPr>
            <w:tcW w:type="dxa" w:w="1872"/>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Churned</w:t>
            </w:r>
          </w:p>
        </w:tc>
        <w:tc>
          <w:tcPr>
            <w:tcW w:type="dxa" w:w="1872"/>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c>
          <w:tcPr>
            <w:tcW w:type="dxa" w:w="1872"/>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Index</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16.2%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0.79×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Germany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2,509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1.59×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Spain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2,477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16.7%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0.82×</w:t>
            </w:r>
          </w:p>
        </w:tc>
      </w:tr>
    </w:tbl>
    <w:p>
      <w:pPr>
        <w:spacing w:before="160"/>
      </w:pPr>
      <w:r>
        <w:t xml:space="preserve"/>
      </w:r>
    </w:p>
    <w:p>
      <w:pPr>
        <w:pStyle w:val="Heading2"/>
        <w:spacing w:after="100" w:before="260"/>
      </w:pPr>
      <w:r>
        <w:rPr>
          <w:rFonts w:ascii="Arial" w:cs="Arial" w:eastAsia="Arial" w:hAnsi="Arial"/>
          <w:b/>
          <w:bCs/>
          <w:color w:val="2E5C8A"/>
          <w:sz w:val="26"/>
          <w:szCs w:val="26"/>
        </w:rPr>
        <w:t xml:space="preserve">4.3 Age Group Churn Analysis</w:t>
      </w:r>
    </w:p>
    <w:p>
      <w:pPr>
        <w:spacing w:after="80" w:before="80"/>
        <w:jc w:val="both"/>
      </w:pPr>
      <w:r>
        <w:rPr>
          <w:rFonts w:ascii="Arial" w:cs="Arial" w:eastAsia="Arial" w:hAnsi="Arial"/>
          <w:sz w:val="22"/>
          <w:szCs w:val="22"/>
        </w:rPr>
        <w:t xml:space="preserve">Age is the single strongest predictor of churn in the dataset (chi-square p=1.67×10⁻²⁶⁹, RF importance=38.0%). The 46–60 cohort churns at a striking 51.1% — more than 2.5× the overall rate. This mid-to-late career demographic may represent customers reassessing financial providers, responding to competitive offers, or experiencing major life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 Group</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Average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&lt;30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1,968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30–45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5,921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46–60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1,647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+0.22×</w:t>
            </w:r>
          </w:p>
        </w:tc>
      </w:tr>
    </w:tbl>
    <w:p>
      <w:pPr>
        <w:spacing w:before="160"/>
      </w:pPr>
      <w:r>
        <w:t xml:space="preserve"/>
      </w:r>
    </w:p>
    <w:p>
      <w:pPr>
        <w:spacing w:after="80" w:before="80"/>
        <w:jc w:val="both"/>
      </w:pPr>
      <w:r>
        <w:rPr>
          <w:rFonts w:ascii="Arial" w:cs="Arial" w:eastAsia="Arial" w:hAnsi="Arial"/>
          <w:sz w:val="22"/>
          <w:szCs w:val="22"/>
        </w:rPr>
        <w:t xml:space="preserve">Germany amplifies the age effect: the 46–60 cohort in Germany churns at 67.3%, the highest intersection in the entire dataset.</w:t>
      </w:r>
    </w:p>
    <w:p>
      <w:pPr>
        <w:pStyle w:val="Heading2"/>
        <w:spacing w:after="100" w:before="260"/>
      </w:pPr>
      <w:r>
        <w:rPr>
          <w:rFonts w:ascii="Arial" w:cs="Arial" w:eastAsia="Arial" w:hAnsi="Arial"/>
          <w:b/>
          <w:bCs/>
          <w:color w:val="2E5C8A"/>
          <w:sz w:val="26"/>
          <w:szCs w:val="26"/>
        </w:rPr>
        <w:t xml:space="preserve">4.4 Product Engagement Churn Analysis</w:t>
      </w:r>
    </w:p>
    <w:p>
      <w:pPr>
        <w:spacing w:after="80" w:before="80"/>
        <w:jc w:val="both"/>
      </w:pPr>
      <w:r>
        <w:rPr>
          <w:rFonts w:ascii="Arial" w:cs="Arial" w:eastAsia="Arial" w:hAnsi="Arial"/>
          <w:sz w:val="22"/>
          <w:szCs w:val="22"/>
        </w:rPr>
        <w:t xml:space="preserve">NumOfProducts demonstrates a non-linear, U-shaped churn relationship. Customers with 2 products are the most loyal (7.6% churn), while those with 3 or 4 products churn at 82.7% and 100% respectively. Customers with only 1 product also churn at above-average rates (27.7%), suggesting low engagement. The 100% churn rate among 4-product customers (n=60) likely reflects a specific product bundling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Products Held</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27.7%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 engagement, flight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Optimal engagement zone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266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Overloaded, probable misfit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Complete churn — product issue</w:t>
            </w:r>
          </w:p>
        </w:tc>
      </w:tr>
    </w:tbl>
    <w:p>
      <w:pPr>
        <w:spacing w:before="160"/>
      </w:pPr>
      <w:r>
        <w:t xml:space="preserve"/>
      </w:r>
    </w:p>
    <w:p>
      <w:pPr>
        <w:pStyle w:val="Heading2"/>
        <w:spacing w:after="100" w:before="260"/>
      </w:pPr>
      <w:r>
        <w:rPr>
          <w:rFonts w:ascii="Arial" w:cs="Arial" w:eastAsia="Arial" w:hAnsi="Arial"/>
          <w:b/>
          <w:bCs/>
          <w:color w:val="2E5C8A"/>
          <w:sz w:val="26"/>
          <w:szCs w:val="26"/>
        </w:rPr>
        <w:t xml:space="preserve">4.5 Member Activity Analysis</w:t>
      </w:r>
    </w:p>
    <w:p>
      <w:pPr>
        <w:spacing w:after="80" w:before="80"/>
        <w:jc w:val="both"/>
      </w:pPr>
      <w:r>
        <w:rPr>
          <w:rFonts w:ascii="Arial" w:cs="Arial" w:eastAsia="Arial" w:hAnsi="Arial"/>
          <w:sz w:val="22"/>
          <w:szCs w:val="22"/>
        </w:rPr>
        <w:t xml:space="preserve">Inactive members (IsActiveMember=0) churn at 26.9%, compared to 14.3% for active members — an Engagement Drop Indicator of 1.88×. With 4,849 inactive customers in the dataset, targeted re-engagement campaigns could address a substantial at-risk population.</w:t>
      </w:r>
    </w:p>
    <w:p>
      <w:pPr>
        <w:pStyle w:val="Heading2"/>
        <w:spacing w:after="100" w:before="260"/>
      </w:pPr>
      <w:r>
        <w:rPr>
          <w:rFonts w:ascii="Arial" w:cs="Arial" w:eastAsia="Arial" w:hAnsi="Arial"/>
          <w:b/>
          <w:bCs/>
          <w:color w:val="2E5C8A"/>
          <w:sz w:val="26"/>
          <w:szCs w:val="26"/>
        </w:rPr>
        <w:t xml:space="preserve">4.6 Gender Analysis</w:t>
      </w:r>
    </w:p>
    <w:p>
      <w:pPr>
        <w:spacing w:after="80" w:before="80"/>
        <w:jc w:val="both"/>
      </w:pPr>
      <w:r>
        <w:rPr>
          <w:rFonts w:ascii="Arial" w:cs="Arial" w:eastAsia="Arial" w:hAnsi="Arial"/>
          <w:sz w:val="22"/>
          <w:szCs w:val="22"/>
        </w:rPr>
        <w:t xml:space="preserve">Female customers churn at 25.1%, versus 16.5% for male customers (p&lt;0.001). This pattern is consistent across all three geographies but is most pronounced in Germany (Female: 37.6%, Male: 27.8%). Gender appears to be a proxy for other underlying factors rather than a direct causal driver.</w:t>
      </w:r>
    </w:p>
    <w:p>
      <w:pPr>
        <w:pStyle w:val="Heading2"/>
        <w:spacing w:after="100" w:before="260"/>
      </w:pPr>
      <w:r>
        <w:rPr>
          <w:rFonts w:ascii="Arial" w:cs="Arial" w:eastAsia="Arial" w:hAnsi="Arial"/>
          <w:b/>
          <w:bCs/>
          <w:color w:val="2E5C8A"/>
          <w:sz w:val="26"/>
          <w:szCs w:val="26"/>
        </w:rPr>
        <w:t xml:space="preserve">4.7 Balance Segment Analysis</w:t>
      </w:r>
    </w:p>
    <w:p>
      <w:pPr>
        <w:spacing w:after="80" w:before="80"/>
        <w:jc w:val="both"/>
      </w:pPr>
      <w:r>
        <w:rPr>
          <w:rFonts w:ascii="Arial" w:cs="Arial" w:eastAsia="Arial" w:hAnsi="Arial"/>
          <w:sz w:val="22"/>
          <w:szCs w:val="22"/>
        </w:rPr>
        <w:t xml:space="preserve">Counter-intuitively, high-balance customers (&gt;EUR 100,000) churn at 25.2% — the highest of the three balance segments. Zero-balance customers churn at just 13.8%, possibly because they have little financial relationship to terminate. EUR 185.6M (24.3% of total dataset balance) is held by churned customers, representing substantial revenue exposure.</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5. Machine Learning Models</w:t>
      </w:r>
    </w:p>
    <w:p>
      <w:pPr>
        <w:pStyle w:val="Heading2"/>
        <w:spacing w:after="100" w:before="260"/>
      </w:pPr>
      <w:r>
        <w:rPr>
          <w:rFonts w:ascii="Arial" w:cs="Arial" w:eastAsia="Arial" w:hAnsi="Arial"/>
          <w:b/>
          <w:bCs/>
          <w:color w:val="2E5C8A"/>
          <w:sz w:val="26"/>
          <w:szCs w:val="26"/>
        </w:rPr>
        <w:t xml:space="preserve">5.1 Unsupervised Segmentation: K-Means Clustering</w:t>
      </w:r>
    </w:p>
    <w:p>
      <w:pPr>
        <w:spacing w:after="80" w:before="80"/>
        <w:jc w:val="both"/>
      </w:pPr>
      <w:r>
        <w:rPr>
          <w:rFonts w:ascii="Arial" w:cs="Arial" w:eastAsia="Arial" w:hAnsi="Arial"/>
          <w:sz w:val="22"/>
          <w:szCs w:val="22"/>
        </w:rPr>
        <w:t xml:space="preserve">K-Means clustering was applied to seven standardised features (CreditScore, Age, Tenure, Balance, NumOfProducts, EstimatedSalary, IsActiveMember). Silhouette scores were evaluated for k=3 to 6. K=4 was selected to balance statistical coherence with business interpretability.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Cluster</w:t>
            </w:r>
          </w:p>
        </w:tc>
        <w:tc>
          <w:tcPr>
            <w:tcW w:type="dxa" w:w="1337"/>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 Label</w:t>
            </w:r>
          </w:p>
        </w:tc>
        <w:tc>
          <w:tcPr>
            <w:tcW w:type="dxa" w:w="1337"/>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1337"/>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Age</w:t>
            </w:r>
          </w:p>
        </w:tc>
        <w:tc>
          <w:tcPr>
            <w:tcW w:type="dxa" w:w="1337"/>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Balance (EUR)</w:t>
            </w:r>
          </w:p>
        </w:tc>
        <w:tc>
          <w:tcPr>
            <w:tcW w:type="dxa" w:w="1337"/>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 %</w:t>
            </w:r>
          </w:p>
        </w:tc>
        <w:tc>
          <w:tcPr>
            <w:tcW w:type="dxa" w:w="1337"/>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Engaged High-Balance Loyalists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2,876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35.3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107,773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13.0%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Low-Balance Multi-Product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2,761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35.9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9,540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11.9%</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Inactive High-Balance At-Risk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3,247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37.5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105,903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28.6%</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Senior High-Risk</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1,116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59.9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75,892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36.3%</w:t>
            </w:r>
          </w:p>
        </w:tc>
      </w:tr>
    </w:tbl>
    <w:p>
      <w:pPr>
        <w:spacing w:before="160"/>
      </w:pPr>
      <w:r>
        <w:t xml:space="preserve"/>
      </w:r>
    </w:p>
    <w:p>
      <w:pPr>
        <w:spacing w:after="80" w:before="80"/>
        <w:jc w:val="both"/>
      </w:pPr>
      <w:r>
        <w:rPr>
          <w:rFonts w:ascii="Arial" w:cs="Arial" w:eastAsia="Arial" w:hAnsi="Arial"/>
          <w:sz w:val="22"/>
          <w:szCs w:val="22"/>
        </w:rPr>
        <w:t xml:space="preserve">Two segments demand immediate retention focus: the Inactive High-Balance At-Risk segment (3,247 customers, 28.6% churn, EUR 105K avg balance) represents the largest revenue risk, while the Senior High-Risk segment (1,116 customers, 36.3% churn) is the most likely to exit despite having the highest average age.</w:t>
      </w:r>
    </w:p>
    <w:p>
      <w:pPr>
        <w:pStyle w:val="Heading2"/>
        <w:spacing w:after="100" w:before="260"/>
      </w:pPr>
      <w:r>
        <w:rPr>
          <w:rFonts w:ascii="Arial" w:cs="Arial" w:eastAsia="Arial" w:hAnsi="Arial"/>
          <w:b/>
          <w:bCs/>
          <w:color w:val="2E5C8A"/>
          <w:sz w:val="26"/>
          <w:szCs w:val="26"/>
        </w:rPr>
        <w:t xml:space="preserve">5.2 Supervised Churn Prediction</w:t>
      </w:r>
    </w:p>
    <w:p>
      <w:pPr>
        <w:spacing w:after="80" w:before="80"/>
        <w:jc w:val="both"/>
      </w:pPr>
      <w:r>
        <w:rPr>
          <w:rFonts w:ascii="Arial" w:cs="Arial" w:eastAsia="Arial" w:hAnsi="Arial"/>
          <w:sz w:val="22"/>
          <w:szCs w:val="22"/>
        </w:rPr>
        <w:t xml:space="preserve">Both models were trained on 80% of data and evaluated on a held-out 20% test set, with class imbalance addressed via class_weight=‘balanced’ (Random Forest) and scale_pos_weight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XGBoost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80.5%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53.6%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72.7%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73.9%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F1-Score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60.6%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ROC-AUC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0.866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0.865</w:t>
            </w:r>
          </w:p>
        </w:tc>
      </w:tr>
    </w:tbl>
    <w:p>
      <w:pPr>
        <w:spacing w:before="160"/>
      </w:pPr>
      <w:r>
        <w:t xml:space="preserve"/>
      </w:r>
    </w:p>
    <w:p>
      <w:pPr>
        <w:spacing w:after="80" w:before="80"/>
        <w:jc w:val="both"/>
      </w:pPr>
      <w:r>
        <w:rPr>
          <w:rFonts w:ascii="Arial" w:cs="Arial" w:eastAsia="Arial" w:hAnsi="Arial"/>
          <w:sz w:val="22"/>
          <w:szCs w:val="22"/>
        </w:rPr>
        <w:t xml:space="preserve">Both models achieve ROC-AUC of ~0.866, demonstrating strong discriminative power. The high recall (72–74%) prioritises catching churners over minimising false positives, which is appropriate for proactive retention use cases.</w:t>
      </w:r>
    </w:p>
    <w:p>
      <w:pPr>
        <w:pStyle w:val="Heading2"/>
        <w:spacing w:after="100" w:before="260"/>
      </w:pPr>
      <w:r>
        <w:rPr>
          <w:rFonts w:ascii="Arial" w:cs="Arial" w:eastAsia="Arial" w:hAnsi="Arial"/>
          <w:b/>
          <w:bCs/>
          <w:color w:val="2E5C8A"/>
          <w:sz w:val="26"/>
          <w:szCs w:val="26"/>
        </w:rPr>
        <w:t xml:space="preserve">5.3 Feature Importance</w:t>
      </w:r>
    </w:p>
    <w:p>
      <w:pPr>
        <w:spacing w:after="80" w:before="80"/>
        <w:jc w:val="both"/>
      </w:pPr>
      <w:r>
        <w:rPr>
          <w:rFonts w:ascii="Arial" w:cs="Arial" w:eastAsia="Arial" w:hAnsi="Arial"/>
          <w:sz w:val="22"/>
          <w:szCs w:val="22"/>
        </w:rPr>
        <w:t xml:space="preserve">Both models converge on a consistent importance ranking:</w:t>
      </w:r>
    </w:p>
    <w:p>
      <w:pPr>
        <w:pStyle w:val="ListParagraph"/>
        <w:numPr>
          <w:ilvl w:val="0"/>
          <w:numId w:val="2"/>
        </w:numPr>
        <w:spacing w:after="40" w:before="40"/>
      </w:pPr>
      <w:r>
        <w:rPr>
          <w:rFonts w:ascii="Arial" w:cs="Arial" w:eastAsia="Arial" w:hAnsi="Arial"/>
          <w:sz w:val="22"/>
          <w:szCs w:val="22"/>
        </w:rPr>
        <w:t xml:space="preserve">Age is the dominant signal (RF: 38.0%, XGB: 16.1%)</w:t>
      </w:r>
    </w:p>
    <w:p>
      <w:pPr>
        <w:pStyle w:val="ListParagraph"/>
        <w:numPr>
          <w:ilvl w:val="0"/>
          <w:numId w:val="2"/>
        </w:numPr>
        <w:spacing w:after="40" w:before="40"/>
      </w:pPr>
      <w:r>
        <w:rPr>
          <w:rFonts w:ascii="Arial" w:cs="Arial" w:eastAsia="Arial" w:hAnsi="Arial"/>
          <w:sz w:val="22"/>
          <w:szCs w:val="22"/>
        </w:rPr>
        <w:t xml:space="preserve">NumOfProducts is the second-strongest driver (RF: 24.5%, XGB: 26.9%)</w:t>
      </w:r>
    </w:p>
    <w:p>
      <w:pPr>
        <w:pStyle w:val="ListParagraph"/>
        <w:numPr>
          <w:ilvl w:val="0"/>
          <w:numId w:val="2"/>
        </w:numPr>
        <w:spacing w:after="40" w:before="40"/>
      </w:pPr>
      <w:r>
        <w:rPr>
          <w:rFonts w:ascii="Arial" w:cs="Arial" w:eastAsia="Arial" w:hAnsi="Arial"/>
          <w:sz w:val="22"/>
          <w:szCs w:val="22"/>
        </w:rPr>
        <w:t xml:space="preserve">IsActiveMember captures engagement risk (RF: 6.5%, XGB: 16.0%)</w:t>
      </w:r>
    </w:p>
    <w:p>
      <w:pPr>
        <w:pStyle w:val="ListParagraph"/>
        <w:numPr>
          <w:ilvl w:val="0"/>
          <w:numId w:val="2"/>
        </w:numPr>
        <w:spacing w:after="40" w:before="40"/>
      </w:pPr>
      <w:r>
        <w:rPr>
          <w:rFonts w:ascii="Arial" w:cs="Arial" w:eastAsia="Arial" w:hAnsi="Arial"/>
          <w:sz w:val="22"/>
          <w:szCs w:val="22"/>
        </w:rPr>
        <w:t xml:space="preserve">Geography_Germany encodes the regional effect (RF: 6.6%, XGB: 11.6%)</w:t>
      </w:r>
    </w:p>
    <w:p>
      <w:pPr>
        <w:pStyle w:val="ListParagraph"/>
        <w:numPr>
          <w:ilvl w:val="0"/>
          <w:numId w:val="2"/>
        </w:numPr>
        <w:spacing w:after="40" w:before="40"/>
      </w:pPr>
      <w:r>
        <w:rPr>
          <w:rFonts w:ascii="Arial" w:cs="Arial" w:eastAsia="Arial" w:hAnsi="Arial"/>
          <w:sz w:val="22"/>
          <w:szCs w:val="22"/>
        </w:rPr>
        <w:t xml:space="preserve">Balance captures wealth-related churn patterns (RF: 9.9%, XGB: 6.4%)</w:t>
      </w:r>
    </w:p>
    <w:p>
      <w:pPr>
        <w:spacing w:after="80" w:before="80"/>
        <w:jc w:val="both"/>
      </w:pPr>
      <w:r>
        <w:rPr>
          <w:rFonts w:ascii="Arial" w:cs="Arial" w:eastAsia="Arial" w:hAnsi="Arial"/>
          <w:sz w:val="22"/>
          <w:szCs w:val="22"/>
        </w:rPr>
        <w:t xml:space="preserve">HasCrCard and Tenure were consistently the least predictive features, confirming the EDA finding that credit card ownership does not significantly differentiate churn risk.</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6. Key Performance Indicators</w:t>
      </w:r>
    </w:p>
    <w:p>
      <w:pPr>
        <w:spacing w:after="80" w:before="80"/>
        <w:jc w:val="both"/>
      </w:pPr>
      <w:r>
        <w:rPr>
          <w:rFonts w:ascii="Arial" w:cs="Arial" w:eastAsia="Arial" w:hAnsi="Arial"/>
          <w:sz w:val="22"/>
          <w:szCs w:val="22"/>
        </w:rPr>
        <w:t xml:space="preserve">The project defines five KPIs that can be monitored continuously via the Streamlit dashboard to support ongoing churn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(Full Dataset)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 Overall 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 of customers who exited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 Segment 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Churn % within each customer segment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11.9% – 36.3%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 High-Value Churn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HV churn rate / overall 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 Geographic Risk Index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Geography churn rate / overall 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Germany: 1.59×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 Engagement Drop Indicator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Inactive churn rate / active 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1.88×</w:t>
            </w:r>
          </w:p>
        </w:tc>
      </w:tr>
    </w:tbl>
    <w:p>
      <w:pPr>
        <w:spacing w:before="160"/>
      </w:pPr>
      <w:r>
        <w:t xml:space="preserve"/>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7. Streamlit Web Application</w:t>
      </w:r>
    </w:p>
    <w:p>
      <w:pPr>
        <w:spacing w:after="80" w:before="80"/>
        <w:jc w:val="both"/>
      </w:pPr>
      <w:r>
        <w:rPr>
          <w:rFonts w:ascii="Arial" w:cs="Arial" w:eastAsia="Arial" w:hAnsi="Arial"/>
          <w:sz w:val="22"/>
          <w:szCs w:val="22"/>
        </w:rPr>
        <w:t xml:space="preserve">The interactive Streamlit dashboard delivers all five KPIs and four core analytical modules as a live analytics tool deployable on Hugging Face Spaces.</w:t>
      </w:r>
    </w:p>
    <w:p>
      <w:pPr>
        <w:pStyle w:val="Heading2"/>
        <w:spacing w:after="100" w:before="260"/>
      </w:pPr>
      <w:r>
        <w:rPr>
          <w:rFonts w:ascii="Arial" w:cs="Arial" w:eastAsia="Arial" w:hAnsi="Arial"/>
          <w:b/>
          <w:bCs/>
          <w:color w:val="2E5C8A"/>
          <w:sz w:val="26"/>
          <w:szCs w:val="26"/>
        </w:rPr>
        <w:t xml:space="preserve">7.1 Core Modules</w:t>
      </w:r>
    </w:p>
    <w:p>
      <w:pPr>
        <w:pStyle w:val="ListParagraph"/>
        <w:numPr>
          <w:ilvl w:val="0"/>
          <w:numId w:val="2"/>
        </w:numPr>
        <w:spacing w:after="40" w:before="40"/>
      </w:pPr>
      <w:r>
        <w:rPr>
          <w:rFonts w:ascii="Arial" w:cs="Arial" w:eastAsia="Arial" w:hAnsi="Arial"/>
          <w:sz w:val="22"/>
          <w:szCs w:val="22"/>
        </w:rPr>
        <w:t xml:space="preserve">Overall Churn Summary — Churn distribution, balance segment, and activity-level breakdown with full drill-down</w:t>
      </w:r>
    </w:p>
    <w:p>
      <w:pPr>
        <w:pStyle w:val="ListParagraph"/>
        <w:numPr>
          <w:ilvl w:val="0"/>
          <w:numId w:val="2"/>
        </w:numPr>
        <w:spacing w:after="40" w:before="40"/>
      </w:pPr>
      <w:r>
        <w:rPr>
          <w:rFonts w:ascii="Arial" w:cs="Arial" w:eastAsia="Arial" w:hAnsi="Arial"/>
          <w:sz w:val="22"/>
          <w:szCs w:val="22"/>
        </w:rPr>
        <w:t xml:space="preserve">Geography-Wise Churn Visualisation — Geographic risk index table, regional heatmaps, and geography×age group comparison</w:t>
      </w:r>
    </w:p>
    <w:p>
      <w:pPr>
        <w:pStyle w:val="ListParagraph"/>
        <w:numPr>
          <w:ilvl w:val="0"/>
          <w:numId w:val="2"/>
        </w:numPr>
        <w:spacing w:after="40" w:before="40"/>
      </w:pPr>
      <w:r>
        <w:rPr>
          <w:rFonts w:ascii="Arial" w:cs="Arial" w:eastAsia="Arial" w:hAnsi="Arial"/>
          <w:sz w:val="22"/>
          <w:szCs w:val="22"/>
        </w:rPr>
        <w:t xml:space="preserve">Age &amp; Tenure Churn Comparison — Age group and tenure group churn bars, Gender×Age heatmap, drill-down by product count</w:t>
      </w:r>
    </w:p>
    <w:p>
      <w:pPr>
        <w:pStyle w:val="ListParagraph"/>
        <w:numPr>
          <w:ilvl w:val="0"/>
          <w:numId w:val="2"/>
        </w:numPr>
        <w:spacing w:after="40" w:before="40"/>
      </w:pPr>
      <w:r>
        <w:rPr>
          <w:rFonts w:ascii="Arial" w:cs="Arial" w:eastAsia="Arial" w:hAnsi="Arial"/>
          <w:sz w:val="22"/>
          <w:szCs w:val="22"/>
        </w:rPr>
        <w:t xml:space="preserve">High-Value Customer Churn Explorer — HV-specific metrics, balance distribution, K-Means cluster scatter, salary vs balance patterns</w:t>
      </w:r>
    </w:p>
    <w:p>
      <w:pPr>
        <w:pStyle w:val="ListParagraph"/>
        <w:numPr>
          <w:ilvl w:val="0"/>
          <w:numId w:val="2"/>
        </w:numPr>
        <w:spacing w:after="40" w:before="40"/>
      </w:pPr>
      <w:r>
        <w:rPr>
          <w:rFonts w:ascii="Arial" w:cs="Arial" w:eastAsia="Arial" w:hAnsi="Arial"/>
          <w:sz w:val="22"/>
          <w:szCs w:val="22"/>
        </w:rPr>
        <w:t xml:space="preserve">ML Churn Predictor — Live prediction interface (RF + XGBoost + Ensemble), churn probability gauge, and full model evaluation panel with ROC curves and feature importances</w:t>
      </w:r>
    </w:p>
    <w:p>
      <w:pPr>
        <w:pStyle w:val="Heading2"/>
        <w:spacing w:after="100" w:before="260"/>
      </w:pPr>
      <w:r>
        <w:rPr>
          <w:rFonts w:ascii="Arial" w:cs="Arial" w:eastAsia="Arial" w:hAnsi="Arial"/>
          <w:b/>
          <w:bCs/>
          <w:color w:val="2E5C8A"/>
          <w:sz w:val="26"/>
          <w:szCs w:val="26"/>
        </w:rPr>
        <w:t xml:space="preserve">7.2 User Capabilities</w:t>
      </w:r>
    </w:p>
    <w:p>
      <w:pPr>
        <w:spacing w:after="80" w:before="80"/>
        <w:jc w:val="both"/>
      </w:pPr>
      <w:r>
        <w:rPr>
          <w:rFonts w:ascii="Arial" w:cs="Arial" w:eastAsia="Arial" w:hAnsi="Arial"/>
          <w:sz w:val="22"/>
          <w:szCs w:val="22"/>
        </w:rPr>
        <w:t xml:space="preserve">All modules support: segment filters (Geography, Gender, Age Group, Balance Tier) with dynamic KPI updates, drill-down views via expandable panels, and full summary tables.</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8. Strategic Recommendations</w:t>
      </w:r>
    </w:p>
    <w:p>
      <w:pPr>
        <w:pStyle w:val="Heading2"/>
        <w:spacing w:after="100" w:before="260"/>
      </w:pPr>
      <w:r>
        <w:rPr>
          <w:rFonts w:ascii="Arial" w:cs="Arial" w:eastAsia="Arial" w:hAnsi="Arial"/>
          <w:b/>
          <w:bCs/>
          <w:color w:val="2E5C8A"/>
          <w:sz w:val="26"/>
          <w:szCs w:val="26"/>
        </w:rPr>
        <w:t xml:space="preserve">8.1 Priority Retention Targets</w:t>
      </w:r>
    </w:p>
    <w:p>
      <w:pPr>
        <w:pStyle w:val="ListParagraph"/>
        <w:numPr>
          <w:ilvl w:val="0"/>
          <w:numId w:val="2"/>
        </w:numPr>
        <w:spacing w:after="40" w:before="40"/>
      </w:pPr>
      <w:r>
        <w:rPr>
          <w:rFonts w:ascii="Arial" w:cs="Arial" w:eastAsia="Arial" w:hAnsi="Arial"/>
          <w:sz w:val="22"/>
          <w:szCs w:val="22"/>
        </w:rPr>
        <w:t xml:space="preserve">Inactive High-Balance At-Risk (Cluster 2, n=3,247): Immediate outreach via relationship managers. These customers hold EUR ~105K average balance and churn at 28.6%. Re-activation campaigns (personalised offers, product upgrades) should prioritise this segment.</w:t>
      </w:r>
    </w:p>
    <w:p>
      <w:pPr>
        <w:pStyle w:val="ListParagraph"/>
        <w:numPr>
          <w:ilvl w:val="0"/>
          <w:numId w:val="2"/>
        </w:numPr>
        <w:spacing w:after="40" w:before="40"/>
      </w:pPr>
      <w:r>
        <w:rPr>
          <w:rFonts w:ascii="Arial" w:cs="Arial" w:eastAsia="Arial" w:hAnsi="Arial"/>
          <w:sz w:val="22"/>
          <w:szCs w:val="22"/>
        </w:rPr>
        <w:t xml:space="preserve">Senior High-Risk (Cluster 3, n=1,116): 36.3% churn despite 83% active membership suggests age-driven attrition. Senior-tailored product features, dedicated advisors, and loyalty recognition programmes are recommended.</w:t>
      </w:r>
    </w:p>
    <w:p>
      <w:pPr>
        <w:pStyle w:val="ListParagraph"/>
        <w:numPr>
          <w:ilvl w:val="0"/>
          <w:numId w:val="2"/>
        </w:numPr>
        <w:spacing w:after="40" w:before="40"/>
      </w:pPr>
      <w:r>
        <w:rPr>
          <w:rFonts w:ascii="Arial" w:cs="Arial" w:eastAsia="Arial" w:hAnsi="Arial"/>
          <w:sz w:val="22"/>
          <w:szCs w:val="22"/>
        </w:rPr>
        <w:t xml:space="preserve">46–60 Age Cohort: 51.1% churn rate demands life-stage aligned retention offers (retirement planning, wealth management services).</w:t>
      </w:r>
    </w:p>
    <w:p>
      <w:pPr>
        <w:pStyle w:val="Heading2"/>
        <w:spacing w:after="100" w:before="260"/>
      </w:pPr>
      <w:r>
        <w:rPr>
          <w:rFonts w:ascii="Arial" w:cs="Arial" w:eastAsia="Arial" w:hAnsi="Arial"/>
          <w:b/>
          <w:bCs/>
          <w:color w:val="2E5C8A"/>
          <w:sz w:val="26"/>
          <w:szCs w:val="26"/>
        </w:rPr>
        <w:t xml:space="preserve">8.2 Geographic Strategy</w:t>
      </w:r>
    </w:p>
    <w:p>
      <w:pPr>
        <w:pStyle w:val="ListParagraph"/>
        <w:numPr>
          <w:ilvl w:val="0"/>
          <w:numId w:val="2"/>
        </w:numPr>
        <w:spacing w:after="40" w:before="40"/>
      </w:pPr>
      <w:r>
        <w:rPr>
          <w:rFonts w:ascii="Arial" w:cs="Arial" w:eastAsia="Arial" w:hAnsi="Arial"/>
          <w:sz w:val="22"/>
          <w:szCs w:val="22"/>
        </w:rPr>
        <w:t xml:space="preserve">Germany-Specific Intervention: 1.59× risk index warrants a dedicated Germany retention task force. Localised product bundles, competitive rate matching, and German-language customer success teams should be explored.</w:t>
      </w:r>
    </w:p>
    <w:p>
      <w:pPr>
        <w:pStyle w:val="ListParagraph"/>
        <w:numPr>
          <w:ilvl w:val="0"/>
          <w:numId w:val="2"/>
        </w:numPr>
        <w:spacing w:after="40" w:before="40"/>
      </w:pPr>
      <w:r>
        <w:rPr>
          <w:rFonts w:ascii="Arial" w:cs="Arial" w:eastAsia="Arial" w:hAnsi="Arial"/>
          <w:sz w:val="22"/>
          <w:szCs w:val="22"/>
        </w:rPr>
        <w:t xml:space="preserve">France and Spain Benchmarking: Both regions perform below average; their practices (product mix, onboarding) should be reverse-engineered and applied in Germany.</w:t>
      </w:r>
    </w:p>
    <w:p>
      <w:pPr>
        <w:pStyle w:val="Heading2"/>
        <w:spacing w:after="100" w:before="260"/>
      </w:pPr>
      <w:r>
        <w:rPr>
          <w:rFonts w:ascii="Arial" w:cs="Arial" w:eastAsia="Arial" w:hAnsi="Arial"/>
          <w:b/>
          <w:bCs/>
          <w:color w:val="2E5C8A"/>
          <w:sz w:val="26"/>
          <w:szCs w:val="26"/>
        </w:rPr>
        <w:t xml:space="preserve">8.3 Product Engagement Strategy</w:t>
      </w:r>
    </w:p>
    <w:p>
      <w:pPr>
        <w:pStyle w:val="ListParagraph"/>
        <w:numPr>
          <w:ilvl w:val="0"/>
          <w:numId w:val="2"/>
        </w:numPr>
        <w:spacing w:after="40" w:before="40"/>
      </w:pPr>
      <w:r>
        <w:rPr>
          <w:rFonts w:ascii="Arial" w:cs="Arial" w:eastAsia="Arial" w:hAnsi="Arial"/>
          <w:sz w:val="22"/>
          <w:szCs w:val="22"/>
        </w:rPr>
        <w:t xml:space="preserve">Target single-product customers (27.7% churn, n=5,084) with cross-sell campaigns to move them to the 2-product optimal zone.</w:t>
      </w:r>
    </w:p>
    <w:p>
      <w:pPr>
        <w:pStyle w:val="ListParagraph"/>
        <w:numPr>
          <w:ilvl w:val="0"/>
          <w:numId w:val="2"/>
        </w:numPr>
        <w:spacing w:after="40" w:before="40"/>
      </w:pPr>
      <w:r>
        <w:rPr>
          <w:rFonts w:ascii="Arial" w:cs="Arial" w:eastAsia="Arial" w:hAnsi="Arial"/>
          <w:sz w:val="22"/>
          <w:szCs w:val="22"/>
        </w:rPr>
        <w:t xml:space="preserve">Investigate and remediate the 3–4 product segment (82–100% churn) as a product-fit or overfitting issue requiring immediate product review.</w:t>
      </w:r>
    </w:p>
    <w:p>
      <w:pPr>
        <w:pStyle w:val="Heading2"/>
        <w:spacing w:after="100" w:before="260"/>
      </w:pPr>
      <w:r>
        <w:rPr>
          <w:rFonts w:ascii="Arial" w:cs="Arial" w:eastAsia="Arial" w:hAnsi="Arial"/>
          <w:b/>
          <w:bCs/>
          <w:color w:val="2E5C8A"/>
          <w:sz w:val="26"/>
          <w:szCs w:val="26"/>
        </w:rPr>
        <w:t xml:space="preserve">8.4 Engagement &amp; Activity</w:t>
      </w:r>
    </w:p>
    <w:p>
      <w:pPr>
        <w:pStyle w:val="ListParagraph"/>
        <w:numPr>
          <w:ilvl w:val="0"/>
          <w:numId w:val="2"/>
        </w:numPr>
        <w:spacing w:after="40" w:before="40"/>
      </w:pPr>
      <w:r>
        <w:rPr>
          <w:rFonts w:ascii="Arial" w:cs="Arial" w:eastAsia="Arial" w:hAnsi="Arial"/>
          <w:sz w:val="22"/>
          <w:szCs w:val="22"/>
        </w:rPr>
        <w:t xml:space="preserve">Deploy automated re-engagement triggers for members flagged as inactive for &gt;90 days.</w:t>
      </w:r>
    </w:p>
    <w:p>
      <w:pPr>
        <w:pStyle w:val="ListParagraph"/>
        <w:numPr>
          <w:ilvl w:val="0"/>
          <w:numId w:val="2"/>
        </w:numPr>
        <w:spacing w:after="40" w:before="40"/>
      </w:pPr>
      <w:r>
        <w:rPr>
          <w:rFonts w:ascii="Arial" w:cs="Arial" w:eastAsia="Arial" w:hAnsi="Arial"/>
          <w:sz w:val="22"/>
          <w:szCs w:val="22"/>
        </w:rPr>
        <w:t xml:space="preserve">Introduce an engagement scoring system combining IsActiveMember, NumOfProducts, and Tenure to create a real-time Early Warning Score.</w:t>
      </w:r>
    </w:p>
    <w:p>
      <w:r>
        <w:br w:type="page"/>
      </w:r>
    </w:p>
    <w:p>
      <w:pPr>
        <w:pStyle w:val="Heading1"/>
        <w:pBdr>
          <w:bottom w:val="single" w:color="2E5C8A" w:sz="4" w:space="2"/>
        </w:pBdr>
        <w:spacing w:after="160" w:before="360"/>
      </w:pPr>
      <w:r>
        <w:rPr>
          <w:rFonts w:ascii="Arial" w:cs="Arial" w:eastAsia="Arial" w:hAnsi="Arial"/>
          <w:b/>
          <w:bCs/>
          <w:color w:val="1B2A4A"/>
          <w:sz w:val="32"/>
          <w:szCs w:val="32"/>
        </w:rPr>
        <w:t xml:space="preserve">9. Conclusion</w:t>
      </w:r>
    </w:p>
    <w:p>
      <w:pPr>
        <w:spacing w:after="80" w:before="80"/>
        <w:jc w:val="both"/>
      </w:pPr>
      <w:r>
        <w:rPr>
          <w:rFonts w:ascii="Arial" w:cs="Arial" w:eastAsia="Arial" w:hAnsi="Arial"/>
          <w:sz w:val="22"/>
          <w:szCs w:val="22"/>
        </w:rPr>
        <w:t xml:space="preserve">This research paper presents a comprehensive, end-to-end churn analytics solution for European banking. The analysis identifies age (particularly the 46–60 cohort), number of products held, geographic region (Germany), and member engagement as the dominant churn drivers. K-Means clustering segments 10,000 customers into four actionable business groups, with the Inactive High-Balance At-Risk and Senior High-Risk segments constituting the highest-priority retention targets.</w:t>
      </w:r>
    </w:p>
    <w:p>
      <w:pPr>
        <w:spacing w:after="80" w:before="80"/>
        <w:jc w:val="both"/>
      </w:pPr>
      <w:r>
        <w:rPr>
          <w:rFonts w:ascii="Arial" w:cs="Arial" w:eastAsia="Arial" w:hAnsi="Arial"/>
          <w:sz w:val="22"/>
          <w:szCs w:val="22"/>
        </w:rPr>
        <w:t xml:space="preserve">Both Random Forest and XGBoost models achieve ROC-AUC of 0.866, providing reliable churn probability estimates deployable in a live prediction system. The associated Streamlit dashboard operationalises all five KPIs and four analytical modules, delivering a decision-ready tool for bank executives and retention teams.</w:t>
      </w:r>
    </w:p>
    <w:p>
      <w:pPr>
        <w:spacing w:after="80" w:before="80"/>
        <w:jc w:val="both"/>
      </w:pPr>
      <w:r>
        <w:rPr>
          <w:rFonts w:ascii="Arial" w:cs="Arial" w:eastAsia="Arial" w:hAnsi="Arial"/>
          <w:sz w:val="22"/>
          <w:szCs w:val="22"/>
        </w:rPr>
        <w:t xml:space="preserve">By uncovering churn patterns across geography, demographics, and financial profiles, this work equips decision-makers with the actionable intelligence needed to design targeted, data-driven retention strategies — transforming reactive churn management into proactive customer lifetime value maximisation.</w:t>
      </w:r>
    </w:p>
    <w:p>
      <w:pPr>
        <w:pStyle w:val="Heading1"/>
        <w:pBdr>
          <w:bottom w:val="single" w:color="2E5C8A" w:sz="4" w:space="2"/>
        </w:pBdr>
        <w:spacing w:after="160" w:before="360"/>
      </w:pPr>
      <w:r>
        <w:rPr>
          <w:rFonts w:ascii="Arial" w:cs="Arial" w:eastAsia="Arial" w:hAnsi="Arial"/>
          <w:b/>
          <w:bCs/>
          <w:color w:val="1B2A4A"/>
          <w:sz w:val="32"/>
          <w:szCs w:val="32"/>
        </w:rPr>
        <w:t xml:space="preserve">References</w:t>
      </w:r>
    </w:p>
    <w:p>
      <w:pPr>
        <w:pStyle w:val="ListParagraph"/>
        <w:numPr>
          <w:ilvl w:val="0"/>
          <w:numId w:val="2"/>
        </w:numPr>
        <w:spacing w:after="40" w:before="40"/>
      </w:pPr>
      <w:r>
        <w:rPr>
          <w:rFonts w:ascii="Arial" w:cs="Arial" w:eastAsia="Arial" w:hAnsi="Arial"/>
          <w:sz w:val="22"/>
          <w:szCs w:val="22"/>
        </w:rPr>
        <w:t xml:space="preserve">European Central Bank (2025). European Banking Sector Statistics. Frankfurt: ECB Publications.</w:t>
      </w:r>
    </w:p>
    <w:p>
      <w:pPr>
        <w:pStyle w:val="ListParagraph"/>
        <w:numPr>
          <w:ilvl w:val="0"/>
          <w:numId w:val="2"/>
        </w:numPr>
        <w:spacing w:after="40" w:before="40"/>
      </w:pPr>
      <w:r>
        <w:rPr>
          <w:rFonts w:ascii="Arial" w:cs="Arial" w:eastAsia="Arial" w:hAnsi="Arial"/>
          <w:sz w:val="22"/>
          <w:szCs w:val="22"/>
        </w:rPr>
        <w:t xml:space="preserve">Breiman, L. (2001). Random Forests. Machine Learning, 45(1), 5–32.</w:t>
      </w:r>
    </w:p>
    <w:p>
      <w:pPr>
        <w:pStyle w:val="ListParagraph"/>
        <w:numPr>
          <w:ilvl w:val="0"/>
          <w:numId w:val="2"/>
        </w:numPr>
        <w:spacing w:after="40" w:before="40"/>
      </w:pPr>
      <w:r>
        <w:rPr>
          <w:rFonts w:ascii="Arial" w:cs="Arial" w:eastAsia="Arial" w:hAnsi="Arial"/>
          <w:sz w:val="22"/>
          <w:szCs w:val="22"/>
        </w:rPr>
        <w:t xml:space="preserve">Chen, T. &amp; Guestrin, C. (2016). XGBoost: A Scalable Tree Boosting System. KDD ’16 Proceedings.</w:t>
      </w:r>
    </w:p>
    <w:p>
      <w:pPr>
        <w:pStyle w:val="ListParagraph"/>
        <w:numPr>
          <w:ilvl w:val="0"/>
          <w:numId w:val="2"/>
        </w:numPr>
        <w:spacing w:after="40" w:before="40"/>
      </w:pPr>
      <w:r>
        <w:rPr>
          <w:rFonts w:ascii="Arial" w:cs="Arial" w:eastAsia="Arial" w:hAnsi="Arial"/>
          <w:sz w:val="22"/>
          <w:szCs w:val="22"/>
        </w:rPr>
        <w:t xml:space="preserve">MacQueen, J. (1967). Some Methods for Classification and Analysis of Multivariate Observations. 5th Berkeley Symposium on Mathematical Statistics and Probability.</w:t>
      </w:r>
    </w:p>
    <w:p>
      <w:pPr>
        <w:pStyle w:val="ListParagraph"/>
        <w:numPr>
          <w:ilvl w:val="0"/>
          <w:numId w:val="2"/>
        </w:numPr>
        <w:spacing w:after="40" w:before="40"/>
      </w:pPr>
      <w:r>
        <w:rPr>
          <w:rFonts w:ascii="Arial" w:cs="Arial" w:eastAsia="Arial" w:hAnsi="Arial"/>
          <w:sz w:val="22"/>
          <w:szCs w:val="22"/>
        </w:rPr>
        <w:t xml:space="preserve">Rousseeuw, P.J. (1987). Silhouettes: A graphical aid to the interpretation and validation of cluster analysis. Journal of Computational and Applied Mathematics, 20, 53–65.</w:t>
      </w:r>
    </w:p>
    <w:p>
      <w:pPr>
        <w:pStyle w:val="ListParagraph"/>
        <w:numPr>
          <w:ilvl w:val="0"/>
          <w:numId w:val="2"/>
        </w:numPr>
        <w:spacing w:after="40" w:before="40"/>
      </w:pPr>
      <w:r>
        <w:rPr>
          <w:rFonts w:ascii="Arial" w:cs="Arial" w:eastAsia="Arial" w:hAnsi="Arial"/>
          <w:sz w:val="22"/>
          <w:szCs w:val="22"/>
        </w:rPr>
        <w:t xml:space="preserve">Unified Mentor (2025). Customer Segmentation &amp; Churn Pattern Analytics Project Brief. Hyderabad: Unified Mentor Pvt. Ltd.</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8A" w:sz="4" w:space="2"/>
      </w:pBdr>
      <w:spacing w:before="80"/>
      <w:jc w:val="center"/>
    </w:pPr>
    <w:r>
      <w:rPr>
        <w:rFonts w:ascii="Arial" w:cs="Arial" w:eastAsia="Arial" w:hAnsi="Arial"/>
        <w:color w:val="666666"/>
        <w:sz w:val="18"/>
        <w:szCs w:val="18"/>
      </w:rPr>
      <w:t xml:space="preserve">Sanjana Allanki  |  Unified Mentor Scholarship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2"/>
      </w:pBdr>
      <w:spacing w:after="100"/>
    </w:pPr>
    <w:r>
      <w:rPr>
        <w:rFonts w:ascii="Arial" w:cs="Arial" w:eastAsia="Arial" w:hAnsi="Arial"/>
        <w:i/>
        <w:iCs/>
        <w:color w:val="8A93A3"/>
        <w:sz w:val="18"/>
        <w:szCs w:val="18"/>
      </w:rPr>
      <w:t xml:space="preserve">Customer Segmentation &amp; Churn Pattern Analytics — European Banking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D8B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2026-07-03T11:09:15.294Z</dcterms:created>
  <dcterms:modified xsi:type="dcterms:W3CDTF">2026-07-03T11:09:15.307Z</dcterms:modified>
</cp:coreProperties>
</file>

<file path=docProps/custom.xml><?xml version="1.0" encoding="utf-8"?>
<Properties xmlns="http://schemas.openxmlformats.org/officeDocument/2006/custom-properties" xmlns:vt="http://schemas.openxmlformats.org/officeDocument/2006/docPropsVTypes"/>
</file>