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018D" w14:textId="2EEA5114" w:rsidR="008539A5" w:rsidRPr="00D91A33" w:rsidRDefault="008539A5" w:rsidP="008539A5">
      <w:pPr>
        <w:spacing w:after="20" w:line="276" w:lineRule="auto"/>
        <w:jc w:val="center"/>
        <w:rPr>
          <w:rFonts w:ascii="Calibri" w:hAnsi="Calibri" w:cs="Calibri"/>
          <w:sz w:val="22"/>
          <w:szCs w:val="22"/>
        </w:rPr>
      </w:pPr>
      <w:r w:rsidRPr="00D91A33">
        <w:rPr>
          <w:rFonts w:ascii="Calibri" w:hAnsi="Calibri" w:cs="Calibri"/>
          <w:b/>
          <w:bCs/>
          <w:color w:val="0A1628"/>
          <w:sz w:val="32"/>
          <w:szCs w:val="32"/>
        </w:rPr>
        <w:t>Business Requirements Document</w:t>
      </w:r>
      <w:r w:rsidRPr="00D91A33">
        <w:rPr>
          <w:rFonts w:ascii="Calibri" w:hAnsi="Calibri" w:cs="Calibri"/>
          <w:b/>
          <w:bCs/>
          <w:color w:val="0A1628"/>
          <w:sz w:val="32"/>
          <w:szCs w:val="32"/>
        </w:rPr>
        <w:t xml:space="preserve"> </w:t>
      </w:r>
      <w:r w:rsidRPr="00D91A33">
        <w:rPr>
          <w:rFonts w:ascii="Calibri" w:hAnsi="Calibri" w:cs="Calibri"/>
          <w:b/>
          <w:bCs/>
          <w:color w:val="0A1628"/>
          <w:sz w:val="32"/>
          <w:szCs w:val="32"/>
        </w:rPr>
        <w:t>–</w:t>
      </w:r>
      <w:r w:rsidRPr="00D91A33">
        <w:rPr>
          <w:rFonts w:ascii="Calibri" w:hAnsi="Calibri" w:cs="Calibri"/>
          <w:b/>
          <w:bCs/>
          <w:color w:val="0A1628"/>
          <w:sz w:val="32"/>
          <w:szCs w:val="32"/>
        </w:rPr>
        <w:t xml:space="preserve"> TB</w:t>
      </w:r>
      <w:r w:rsidRPr="00D91A33">
        <w:rPr>
          <w:rFonts w:ascii="Calibri" w:hAnsi="Calibri" w:cs="Calibri"/>
          <w:b/>
          <w:bCs/>
          <w:color w:val="0A1628"/>
          <w:sz w:val="32"/>
          <w:szCs w:val="32"/>
        </w:rPr>
        <w:t>SIEM</w:t>
      </w:r>
    </w:p>
    <w:p w14:paraId="03B2CCDC" w14:textId="1680C493" w:rsidR="008539A5" w:rsidRPr="00D91A33" w:rsidRDefault="008539A5" w:rsidP="00D91A33">
      <w:pPr>
        <w:spacing w:after="30" w:line="276" w:lineRule="auto"/>
        <w:jc w:val="center"/>
        <w:rPr>
          <w:rFonts w:ascii="Calibri" w:hAnsi="Calibri" w:cs="Calibri"/>
          <w:color w:val="4A5568"/>
          <w:sz w:val="20"/>
          <w:szCs w:val="20"/>
        </w:rPr>
      </w:pPr>
      <w:r w:rsidRPr="00D91A33">
        <w:rPr>
          <w:rFonts w:ascii="Calibri" w:hAnsi="Calibri" w:cs="Calibri"/>
          <w:color w:val="4A5568"/>
          <w:sz w:val="20"/>
          <w:szCs w:val="20"/>
        </w:rPr>
        <w:t>Threat Based Security Information &amp; Event Management | Tech Bridge Consultancy Services Pvt. Ltd.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052"/>
        <w:gridCol w:w="2988"/>
      </w:tblGrid>
      <w:tr w:rsidR="008539A5" w:rsidRPr="00D91A33" w14:paraId="3FFC7CE3" w14:textId="77777777" w:rsidTr="008539A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2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21B9" w14:textId="77777777" w:rsidR="008539A5" w:rsidRPr="00D91A33" w:rsidRDefault="008539A5" w:rsidP="008539A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Version: v1.0</w:t>
            </w:r>
          </w:p>
        </w:tc>
        <w:tc>
          <w:tcPr>
            <w:tcW w:w="252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9C43" w14:textId="77777777" w:rsidR="008539A5" w:rsidRPr="00D91A33" w:rsidRDefault="008539A5" w:rsidP="008539A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Date: 11 April 2025</w:t>
            </w:r>
          </w:p>
        </w:tc>
        <w:tc>
          <w:tcPr>
            <w:tcW w:w="2052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78F3" w14:textId="77777777" w:rsidR="008539A5" w:rsidRPr="00D91A33" w:rsidRDefault="008539A5" w:rsidP="008539A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Status: Final</w:t>
            </w:r>
          </w:p>
        </w:tc>
        <w:tc>
          <w:tcPr>
            <w:tcW w:w="2988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EE7A" w14:textId="77777777" w:rsidR="008539A5" w:rsidRPr="00D91A33" w:rsidRDefault="008539A5" w:rsidP="008539A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Classification: Confidential</w:t>
            </w:r>
          </w:p>
        </w:tc>
      </w:tr>
    </w:tbl>
    <w:p w14:paraId="232EE809" w14:textId="2909190D" w:rsidR="008539A5" w:rsidRPr="00D91A33" w:rsidRDefault="008539A5" w:rsidP="0092382F">
      <w:pPr>
        <w:pStyle w:val="Heading1"/>
        <w:spacing w:line="276" w:lineRule="auto"/>
        <w:rPr>
          <w:rFonts w:ascii="Calibri" w:hAnsi="Calibri" w:cs="Calibri"/>
          <w:sz w:val="48"/>
          <w:szCs w:val="48"/>
        </w:rPr>
      </w:pPr>
      <w:r w:rsidRPr="00D91A33">
        <w:rPr>
          <w:rFonts w:ascii="Calibri" w:eastAsia="Arial" w:hAnsi="Calibri" w:cs="Calibri"/>
          <w:b/>
          <w:bCs/>
          <w:color w:val="0A1628"/>
          <w:sz w:val="32"/>
          <w:szCs w:val="32"/>
        </w:rPr>
        <w:t>1. Summary</w:t>
      </w:r>
    </w:p>
    <w:p w14:paraId="59886B39" w14:textId="5356AAD8" w:rsidR="008539A5" w:rsidRPr="00D91A33" w:rsidRDefault="008539A5" w:rsidP="008539A5">
      <w:pPr>
        <w:spacing w:after="60" w:line="276" w:lineRule="auto"/>
        <w:rPr>
          <w:rFonts w:ascii="Calibri" w:hAnsi="Calibri" w:cs="Calibri"/>
          <w:sz w:val="24"/>
          <w:szCs w:val="24"/>
        </w:rPr>
      </w:pPr>
      <w:r w:rsidRPr="00D91A33">
        <w:rPr>
          <w:rFonts w:ascii="Calibri" w:hAnsi="Calibri" w:cs="Calibri"/>
          <w:sz w:val="24"/>
          <w:szCs w:val="24"/>
        </w:rPr>
        <w:t>tbSIEM (Threat</w:t>
      </w:r>
      <w:r w:rsidRPr="00D91A33">
        <w:rPr>
          <w:rFonts w:ascii="Calibri" w:hAnsi="Calibri" w:cs="Calibri"/>
          <w:sz w:val="24"/>
          <w:szCs w:val="24"/>
        </w:rPr>
        <w:t xml:space="preserve"> Based</w:t>
      </w:r>
      <w:r w:rsidRPr="00D91A33">
        <w:rPr>
          <w:rFonts w:ascii="Calibri" w:hAnsi="Calibri" w:cs="Calibri"/>
          <w:sz w:val="24"/>
          <w:szCs w:val="24"/>
        </w:rPr>
        <w:t xml:space="preserve"> Security Information and Event Management) is the flagship product of TechBridge Consultancy Services Pvt. Ltd., delivered under the CyberSIO cybersecurity platform. It is a next-generation, AI/ML-powered SIEM designed to give enterprise Security Operations Centers (SOCs) unified threat visibility, automated detection, and compliance-ready reporting at a predictable fixed cost.</w:t>
      </w:r>
    </w:p>
    <w:p w14:paraId="61864E42" w14:textId="77777777" w:rsidR="008539A5" w:rsidRPr="00D91A33" w:rsidRDefault="008539A5" w:rsidP="008539A5">
      <w:pPr>
        <w:spacing w:after="60" w:line="276" w:lineRule="auto"/>
        <w:rPr>
          <w:rFonts w:ascii="Calibri" w:hAnsi="Calibri" w:cs="Calibri"/>
          <w:sz w:val="24"/>
          <w:szCs w:val="24"/>
        </w:rPr>
      </w:pPr>
      <w:r w:rsidRPr="00D91A33">
        <w:rPr>
          <w:rFonts w:ascii="Calibri" w:hAnsi="Calibri" w:cs="Calibri"/>
          <w:sz w:val="24"/>
          <w:szCs w:val="24"/>
        </w:rPr>
        <w:t>This BRD captures the business context, stakeholder needs, functional requirements, key use cases, and proposed solution architecture for tbSIEM.</w:t>
      </w:r>
    </w:p>
    <w:p w14:paraId="65947082" w14:textId="77777777" w:rsidR="008539A5" w:rsidRPr="00D91A33" w:rsidRDefault="008539A5" w:rsidP="008539A5">
      <w:pPr>
        <w:pStyle w:val="Heading1"/>
        <w:rPr>
          <w:rFonts w:ascii="Calibri" w:hAnsi="Calibri" w:cs="Calibri"/>
          <w:sz w:val="48"/>
          <w:szCs w:val="48"/>
        </w:rPr>
      </w:pPr>
      <w:r w:rsidRPr="00D91A33">
        <w:rPr>
          <w:rFonts w:ascii="Calibri" w:eastAsia="Arial" w:hAnsi="Calibri" w:cs="Calibri"/>
          <w:b/>
          <w:bCs/>
          <w:color w:val="0A1628"/>
          <w:sz w:val="32"/>
          <w:szCs w:val="32"/>
        </w:rPr>
        <w:t>2. Problem Statement</w:t>
      </w:r>
    </w:p>
    <w:p w14:paraId="2D45F0B7" w14:textId="4B750692" w:rsidR="008539A5" w:rsidRPr="00D91A33" w:rsidRDefault="008539A5" w:rsidP="008539A5">
      <w:pPr>
        <w:spacing w:after="60"/>
        <w:rPr>
          <w:rFonts w:ascii="Calibri" w:hAnsi="Calibri" w:cs="Calibri"/>
          <w:sz w:val="24"/>
          <w:szCs w:val="24"/>
        </w:rPr>
      </w:pPr>
      <w:r w:rsidRPr="00D91A33">
        <w:rPr>
          <w:rFonts w:ascii="Calibri" w:hAnsi="Calibri" w:cs="Calibri"/>
          <w:sz w:val="24"/>
          <w:szCs w:val="24"/>
        </w:rPr>
        <w:t>Enterprise organizations particularly Indian PSUs, banks, hospitals, and government agencies face</w:t>
      </w:r>
      <w:r w:rsidRPr="00D91A33">
        <w:rPr>
          <w:rFonts w:ascii="Calibri" w:hAnsi="Calibri" w:cs="Calibri"/>
          <w:sz w:val="24"/>
          <w:szCs w:val="24"/>
        </w:rPr>
        <w:t>s</w:t>
      </w:r>
      <w:r w:rsidRPr="00D91A33">
        <w:rPr>
          <w:rFonts w:ascii="Calibri" w:hAnsi="Calibri" w:cs="Calibri"/>
          <w:sz w:val="24"/>
          <w:szCs w:val="24"/>
        </w:rPr>
        <w:t xml:space="preserve"> a critical convergence of cybersecurity failures:</w:t>
      </w:r>
    </w:p>
    <w:p w14:paraId="3E24E0FC" w14:textId="77777777" w:rsidR="008539A5" w:rsidRPr="00D91A33" w:rsidRDefault="008539A5" w:rsidP="008539A5">
      <w:pPr>
        <w:spacing w:after="60"/>
        <w:rPr>
          <w:rFonts w:ascii="Calibri" w:hAnsi="Calibri" w:cs="Calibri"/>
          <w:sz w:val="24"/>
          <w:szCs w:val="24"/>
        </w:rPr>
      </w:pP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3"/>
        <w:gridCol w:w="5340"/>
      </w:tblGrid>
      <w:tr w:rsidR="008539A5" w:rsidRPr="00D91A33" w14:paraId="3FA34DA1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23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74BE" w14:textId="77777777" w:rsidR="008539A5" w:rsidRPr="00D91A33" w:rsidRDefault="008539A5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Pain Point</w:t>
            </w:r>
          </w:p>
        </w:tc>
        <w:tc>
          <w:tcPr>
            <w:tcW w:w="53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9C2E" w14:textId="77777777" w:rsidR="008539A5" w:rsidRPr="00D91A33" w:rsidRDefault="008539A5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Business Impact</w:t>
            </w:r>
          </w:p>
        </w:tc>
      </w:tr>
      <w:tr w:rsidR="008539A5" w:rsidRPr="00D91A33" w14:paraId="34C28A2A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23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E6D0" w14:textId="77777777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Fragmented Security Tools</w:t>
            </w:r>
          </w:p>
        </w:tc>
        <w:tc>
          <w:tcPr>
            <w:tcW w:w="53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A4C8" w14:textId="77777777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Organizations operate 10+ siloed tools with no unified view, creating blind spots and delayed incident correlation.</w:t>
            </w:r>
          </w:p>
        </w:tc>
      </w:tr>
      <w:tr w:rsidR="008539A5" w:rsidRPr="00D91A33" w14:paraId="3CE4FE7D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23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2A54" w14:textId="77777777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Alert Overload</w:t>
            </w:r>
          </w:p>
        </w:tc>
        <w:tc>
          <w:tcPr>
            <w:tcW w:w="53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8D6A" w14:textId="77777777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SOC teams face 1,00,000+ daily alerts causing analyst fatigue and missed threats. Industry average false positive rate exceeds 45%.</w:t>
            </w:r>
          </w:p>
        </w:tc>
      </w:tr>
      <w:tr w:rsidR="008539A5" w:rsidRPr="00D91A33" w14:paraId="5D0CC713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23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D93A" w14:textId="77777777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Slow Threat Detection</w:t>
            </w:r>
          </w:p>
        </w:tc>
        <w:tc>
          <w:tcPr>
            <w:tcW w:w="53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5B6B" w14:textId="77777777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Average breach detection time globally is 194 days (IBM, 2024). Attackers operate undetected for months before discovery.</w:t>
            </w:r>
          </w:p>
        </w:tc>
      </w:tr>
      <w:tr w:rsidR="008539A5" w:rsidRPr="00D91A33" w14:paraId="30A7E0C8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23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0E60" w14:textId="77777777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Compliance Pressure</w:t>
            </w:r>
          </w:p>
        </w:tc>
        <w:tc>
          <w:tcPr>
            <w:tcW w:w="53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56FC" w14:textId="70D85670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CERT-In, RBI, SEBI, HIPAA, GDPR, and ISO 27001 mandates require continuous monitoring and audit-ready reporting which siloed tools cannot deliver.</w:t>
            </w:r>
          </w:p>
        </w:tc>
      </w:tr>
      <w:tr w:rsidR="008539A5" w:rsidRPr="00D91A33" w14:paraId="50E96B22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23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2D54" w14:textId="77777777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Unaffordable Global SIEMs</w:t>
            </w:r>
          </w:p>
        </w:tc>
        <w:tc>
          <w:tcPr>
            <w:tcW w:w="53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ACBC" w14:textId="77777777" w:rsidR="008539A5" w:rsidRPr="00D91A33" w:rsidRDefault="008539A5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Splunk costs $400K–$800K/year; IBM QRadar starts at $10K+/year with complex, EPS-based pricing that escalates unpredictably at scale.</w:t>
            </w:r>
          </w:p>
        </w:tc>
      </w:tr>
    </w:tbl>
    <w:p w14:paraId="67918B8A" w14:textId="77777777" w:rsidR="00A56CA4" w:rsidRPr="00D91A33" w:rsidRDefault="00A56CA4" w:rsidP="008539A5">
      <w:pPr>
        <w:spacing w:line="276" w:lineRule="auto"/>
        <w:rPr>
          <w:rFonts w:ascii="Calibri" w:hAnsi="Calibri" w:cs="Calibri"/>
        </w:rPr>
      </w:pPr>
    </w:p>
    <w:p w14:paraId="309A5ACC" w14:textId="10D3D117" w:rsidR="0092382F" w:rsidRPr="00D91A33" w:rsidRDefault="0092382F" w:rsidP="0092382F">
      <w:pPr>
        <w:pStyle w:val="Heading1"/>
        <w:rPr>
          <w:rFonts w:ascii="Calibri" w:eastAsia="Arial" w:hAnsi="Calibri" w:cs="Calibri"/>
          <w:b/>
          <w:bCs/>
          <w:color w:val="0A1628"/>
          <w:sz w:val="32"/>
          <w:szCs w:val="32"/>
        </w:rPr>
      </w:pPr>
      <w:r w:rsidRPr="00D91A33">
        <w:rPr>
          <w:rFonts w:ascii="Calibri" w:eastAsia="Arial" w:hAnsi="Calibri" w:cs="Calibri"/>
          <w:b/>
          <w:bCs/>
          <w:color w:val="0A1628"/>
          <w:sz w:val="32"/>
          <w:szCs w:val="32"/>
        </w:rPr>
        <w:t>3. Goals &amp; Objectives</w:t>
      </w:r>
    </w:p>
    <w:p w14:paraId="2C9A0E24" w14:textId="77777777" w:rsidR="0092382F" w:rsidRPr="00D91A33" w:rsidRDefault="0092382F" w:rsidP="0092382F">
      <w:pPr>
        <w:pStyle w:val="Heading2"/>
        <w:rPr>
          <w:rFonts w:ascii="Calibri" w:hAnsi="Calibri" w:cs="Calibri"/>
          <w:color w:val="auto"/>
          <w:sz w:val="40"/>
          <w:szCs w:val="40"/>
        </w:rPr>
      </w:pPr>
      <w:r w:rsidRPr="00D91A33">
        <w:rPr>
          <w:rFonts w:ascii="Calibri" w:eastAsia="Arial" w:hAnsi="Calibri" w:cs="Calibri"/>
          <w:b/>
          <w:bCs/>
          <w:color w:val="auto"/>
          <w:sz w:val="28"/>
          <w:szCs w:val="28"/>
        </w:rPr>
        <w:t>Business Goals</w:t>
      </w:r>
    </w:p>
    <w:p w14:paraId="2D1D403D" w14:textId="77777777" w:rsidR="0092382F" w:rsidRPr="00D91A33" w:rsidRDefault="0092382F" w:rsidP="0092382F">
      <w:pPr>
        <w:pStyle w:val="ListParagraph"/>
        <w:numPr>
          <w:ilvl w:val="0"/>
          <w:numId w:val="1"/>
        </w:numPr>
        <w:spacing w:after="55"/>
        <w:contextualSpacing w:val="0"/>
        <w:rPr>
          <w:rFonts w:ascii="Calibri" w:hAnsi="Calibri" w:cs="Calibri"/>
          <w:sz w:val="24"/>
          <w:szCs w:val="24"/>
        </w:rPr>
      </w:pPr>
      <w:r w:rsidRPr="00D91A33">
        <w:rPr>
          <w:rFonts w:ascii="Calibri" w:hAnsi="Calibri" w:cs="Calibri"/>
          <w:sz w:val="24"/>
          <w:szCs w:val="24"/>
        </w:rPr>
        <w:t>Deliver enterprise-grade SOC capability to Indian mid-market, PSUs, and regulated industries at a fixed, accessible price.</w:t>
      </w:r>
    </w:p>
    <w:p w14:paraId="563630BC" w14:textId="77777777" w:rsidR="0092382F" w:rsidRPr="00D91A33" w:rsidRDefault="0092382F" w:rsidP="0092382F">
      <w:pPr>
        <w:pStyle w:val="ListParagraph"/>
        <w:numPr>
          <w:ilvl w:val="0"/>
          <w:numId w:val="1"/>
        </w:numPr>
        <w:spacing w:after="55"/>
        <w:contextualSpacing w:val="0"/>
        <w:rPr>
          <w:rFonts w:ascii="Calibri" w:hAnsi="Calibri" w:cs="Calibri"/>
          <w:sz w:val="24"/>
          <w:szCs w:val="24"/>
        </w:rPr>
      </w:pPr>
      <w:r w:rsidRPr="00D91A33">
        <w:rPr>
          <w:rFonts w:ascii="Calibri" w:hAnsi="Calibri" w:cs="Calibri"/>
          <w:sz w:val="24"/>
          <w:szCs w:val="24"/>
        </w:rPr>
        <w:t>Replace 6+ fragmented security tools with a single integrated platform (SOC-in-a-Box).</w:t>
      </w:r>
    </w:p>
    <w:p w14:paraId="77F88E8F" w14:textId="77777777" w:rsidR="0092382F" w:rsidRPr="00D91A33" w:rsidRDefault="0092382F" w:rsidP="0092382F">
      <w:pPr>
        <w:pStyle w:val="ListParagraph"/>
        <w:numPr>
          <w:ilvl w:val="0"/>
          <w:numId w:val="1"/>
        </w:numPr>
        <w:spacing w:after="55"/>
        <w:contextualSpacing w:val="0"/>
        <w:rPr>
          <w:rFonts w:ascii="Calibri" w:hAnsi="Calibri" w:cs="Calibri"/>
          <w:sz w:val="24"/>
          <w:szCs w:val="24"/>
        </w:rPr>
      </w:pPr>
      <w:r w:rsidRPr="00D91A33">
        <w:rPr>
          <w:rFonts w:ascii="Calibri" w:hAnsi="Calibri" w:cs="Calibri"/>
          <w:sz w:val="24"/>
          <w:szCs w:val="24"/>
        </w:rPr>
        <w:lastRenderedPageBreak/>
        <w:t>Enable 100% regulatory compliance (CERT-In, RBI, HIPAA, GDPR, ISO 27001) without additional compliance tooling.</w:t>
      </w:r>
    </w:p>
    <w:p w14:paraId="1582043B" w14:textId="77777777" w:rsidR="0092382F" w:rsidRPr="00D91A33" w:rsidRDefault="0092382F" w:rsidP="0092382F">
      <w:pPr>
        <w:pStyle w:val="ListParagraph"/>
        <w:numPr>
          <w:ilvl w:val="0"/>
          <w:numId w:val="1"/>
        </w:numPr>
        <w:spacing w:after="55"/>
        <w:contextualSpacing w:val="0"/>
        <w:rPr>
          <w:rFonts w:ascii="Calibri" w:hAnsi="Calibri" w:cs="Calibri"/>
          <w:sz w:val="24"/>
          <w:szCs w:val="24"/>
        </w:rPr>
      </w:pPr>
      <w:r w:rsidRPr="00D91A33">
        <w:rPr>
          <w:rFonts w:ascii="Calibri" w:hAnsi="Calibri" w:cs="Calibri"/>
          <w:sz w:val="24"/>
          <w:szCs w:val="24"/>
        </w:rPr>
        <w:t>Reduce Mean Time to Respond (MTTR) from industry average of 21 hours to under 3 hours.</w:t>
      </w:r>
    </w:p>
    <w:p w14:paraId="74CFFD3E" w14:textId="3DAE14DD" w:rsidR="0092382F" w:rsidRPr="00D91A33" w:rsidRDefault="0092382F" w:rsidP="0092382F">
      <w:pPr>
        <w:pStyle w:val="ListParagraph"/>
        <w:numPr>
          <w:ilvl w:val="0"/>
          <w:numId w:val="1"/>
        </w:numPr>
        <w:spacing w:after="55"/>
        <w:contextualSpacing w:val="0"/>
        <w:rPr>
          <w:rFonts w:ascii="Calibri" w:hAnsi="Calibri" w:cs="Calibri"/>
          <w:sz w:val="24"/>
          <w:szCs w:val="24"/>
        </w:rPr>
      </w:pPr>
      <w:r w:rsidRPr="00D91A33">
        <w:rPr>
          <w:rFonts w:ascii="Calibri" w:hAnsi="Calibri" w:cs="Calibri"/>
          <w:sz w:val="24"/>
          <w:szCs w:val="24"/>
        </w:rPr>
        <w:t>Position CyberSIO / tbSIEM as India's leading indigenous SIEM</w:t>
      </w:r>
      <w:r w:rsidRPr="00D91A33">
        <w:rPr>
          <w:rFonts w:ascii="Calibri" w:hAnsi="Calibri" w:cs="Calibri"/>
          <w:sz w:val="24"/>
          <w:szCs w:val="24"/>
        </w:rPr>
        <w:t>.</w:t>
      </w:r>
    </w:p>
    <w:p w14:paraId="18671891" w14:textId="5FD15D6B" w:rsidR="0092382F" w:rsidRPr="00D91A33" w:rsidRDefault="0092382F" w:rsidP="0092382F">
      <w:pPr>
        <w:pStyle w:val="Heading2"/>
        <w:rPr>
          <w:rFonts w:ascii="Calibri" w:eastAsia="Arial" w:hAnsi="Calibri" w:cs="Calibri"/>
          <w:b/>
          <w:bCs/>
          <w:color w:val="auto"/>
          <w:sz w:val="28"/>
          <w:szCs w:val="28"/>
        </w:rPr>
      </w:pPr>
      <w:r w:rsidRPr="00D91A33">
        <w:rPr>
          <w:rFonts w:ascii="Calibri" w:eastAsia="Arial" w:hAnsi="Calibri" w:cs="Calibri"/>
          <w:b/>
          <w:bCs/>
          <w:color w:val="auto"/>
          <w:sz w:val="28"/>
          <w:szCs w:val="28"/>
        </w:rPr>
        <w:t>Measurable Product Objectives</w:t>
      </w:r>
    </w:p>
    <w:p w14:paraId="20042F1E" w14:textId="77777777" w:rsidR="0092382F" w:rsidRPr="00D91A33" w:rsidRDefault="0092382F" w:rsidP="0092382F">
      <w:pPr>
        <w:rPr>
          <w:rFonts w:ascii="Calibri" w:hAnsi="Calibri" w:cs="Calibri"/>
        </w:rPr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7"/>
        <w:gridCol w:w="2357"/>
        <w:gridCol w:w="4394"/>
      </w:tblGrid>
      <w:tr w:rsidR="0092382F" w:rsidRPr="00D91A33" w14:paraId="73B0C307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7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3AE8" w14:textId="77777777" w:rsidR="0092382F" w:rsidRPr="00D91A33" w:rsidRDefault="0092382F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Objective</w:t>
            </w:r>
          </w:p>
        </w:tc>
        <w:tc>
          <w:tcPr>
            <w:tcW w:w="2357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C262" w14:textId="77777777" w:rsidR="0092382F" w:rsidRPr="00D91A33" w:rsidRDefault="0092382F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Target</w:t>
            </w:r>
          </w:p>
        </w:tc>
        <w:tc>
          <w:tcPr>
            <w:tcW w:w="4394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0F6E" w14:textId="77777777" w:rsidR="0092382F" w:rsidRPr="00D91A33" w:rsidRDefault="0092382F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Industry Baseline</w:t>
            </w:r>
          </w:p>
        </w:tc>
      </w:tr>
      <w:tr w:rsidR="0092382F" w:rsidRPr="00D91A33" w14:paraId="5C785B8A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DC1A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Mean Time to Respond (MTTR)</w:t>
            </w:r>
          </w:p>
        </w:tc>
        <w:tc>
          <w:tcPr>
            <w:tcW w:w="235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B553" w14:textId="77777777" w:rsidR="0092382F" w:rsidRPr="00D91A33" w:rsidRDefault="0092382F" w:rsidP="00B36E47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91A33">
              <w:rPr>
                <w:rFonts w:ascii="Calibri" w:hAnsi="Calibri" w:cs="Calibri"/>
                <w:color w:val="auto"/>
                <w:sz w:val="20"/>
                <w:szCs w:val="20"/>
              </w:rPr>
              <w:t>&lt; 3 hours</w:t>
            </w:r>
          </w:p>
        </w:tc>
        <w:tc>
          <w:tcPr>
            <w:tcW w:w="4394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0FDC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~21 hours</w:t>
            </w:r>
          </w:p>
        </w:tc>
      </w:tr>
      <w:tr w:rsidR="0092382F" w:rsidRPr="00D91A33" w14:paraId="230EA713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9733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False Positive Reduction</w:t>
            </w:r>
          </w:p>
        </w:tc>
        <w:tc>
          <w:tcPr>
            <w:tcW w:w="235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3FBE" w14:textId="77777777" w:rsidR="0092382F" w:rsidRPr="00D91A33" w:rsidRDefault="0092382F" w:rsidP="00B36E47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91A33">
              <w:rPr>
                <w:rFonts w:ascii="Calibri" w:hAnsi="Calibri" w:cs="Calibri"/>
                <w:color w:val="auto"/>
                <w:sz w:val="20"/>
                <w:szCs w:val="20"/>
              </w:rPr>
              <w:t>≥ 65% reduction</w:t>
            </w:r>
          </w:p>
        </w:tc>
        <w:tc>
          <w:tcPr>
            <w:tcW w:w="4394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290C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High noise, manual triage</w:t>
            </w:r>
          </w:p>
        </w:tc>
      </w:tr>
      <w:tr w:rsidR="0092382F" w:rsidRPr="00D91A33" w14:paraId="02CE6D9B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4518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EPS Throughput (zero log loss)</w:t>
            </w:r>
          </w:p>
        </w:tc>
        <w:tc>
          <w:tcPr>
            <w:tcW w:w="235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5E3F" w14:textId="77777777" w:rsidR="0092382F" w:rsidRPr="00D91A33" w:rsidRDefault="0092382F" w:rsidP="00B36E47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91A33">
              <w:rPr>
                <w:rFonts w:ascii="Calibri" w:hAnsi="Calibri" w:cs="Calibri"/>
                <w:color w:val="auto"/>
                <w:sz w:val="20"/>
                <w:szCs w:val="20"/>
              </w:rPr>
              <w:t>20,000 – 1,00,000 EPS</w:t>
            </w:r>
          </w:p>
        </w:tc>
        <w:tc>
          <w:tcPr>
            <w:tcW w:w="4394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5706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Limited / cost-escalating</w:t>
            </w:r>
          </w:p>
        </w:tc>
      </w:tr>
      <w:tr w:rsidR="0092382F" w:rsidRPr="00D91A33" w14:paraId="3BCEBC97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806A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Deployment Timeline</w:t>
            </w:r>
          </w:p>
        </w:tc>
        <w:tc>
          <w:tcPr>
            <w:tcW w:w="235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49B0" w14:textId="77777777" w:rsidR="0092382F" w:rsidRPr="00D91A33" w:rsidRDefault="0092382F" w:rsidP="00B36E47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91A33">
              <w:rPr>
                <w:rFonts w:ascii="Calibri" w:hAnsi="Calibri" w:cs="Calibri"/>
                <w:color w:val="auto"/>
                <w:sz w:val="20"/>
                <w:szCs w:val="20"/>
              </w:rPr>
              <w:t>Weeks</w:t>
            </w:r>
          </w:p>
        </w:tc>
        <w:tc>
          <w:tcPr>
            <w:tcW w:w="4394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B3FD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6–12 months (global OEMs)</w:t>
            </w:r>
          </w:p>
        </w:tc>
      </w:tr>
      <w:tr w:rsidR="0092382F" w:rsidRPr="00D91A33" w14:paraId="7AFC14B4" w14:textId="77777777" w:rsidTr="00D91A33">
        <w:tblPrEx>
          <w:tblCellMar>
            <w:top w:w="0" w:type="dxa"/>
            <w:bottom w:w="0" w:type="dxa"/>
          </w:tblCellMar>
        </w:tblPrEx>
        <w:trPr>
          <w:trHeight w:val="393"/>
          <w:jc w:val="center"/>
        </w:trPr>
        <w:tc>
          <w:tcPr>
            <w:tcW w:w="288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B1DE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Compliance Readiness</w:t>
            </w:r>
          </w:p>
        </w:tc>
        <w:tc>
          <w:tcPr>
            <w:tcW w:w="2357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5504B" w14:textId="77777777" w:rsidR="0092382F" w:rsidRPr="00D91A33" w:rsidRDefault="0092382F" w:rsidP="00B36E47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91A33">
              <w:rPr>
                <w:rFonts w:ascii="Calibri" w:hAnsi="Calibri" w:cs="Calibri"/>
                <w:color w:val="auto"/>
                <w:sz w:val="20"/>
                <w:szCs w:val="20"/>
              </w:rPr>
              <w:t>100% audit-ready, Day 1</w:t>
            </w:r>
          </w:p>
        </w:tc>
        <w:tc>
          <w:tcPr>
            <w:tcW w:w="4394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FB07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Manual reporting effort</w:t>
            </w:r>
          </w:p>
        </w:tc>
      </w:tr>
    </w:tbl>
    <w:p w14:paraId="33B34370" w14:textId="77777777" w:rsidR="0092382F" w:rsidRPr="00D91A33" w:rsidRDefault="0092382F" w:rsidP="0092382F">
      <w:pPr>
        <w:spacing w:before="80"/>
        <w:rPr>
          <w:rFonts w:ascii="Calibri" w:hAnsi="Calibri" w:cs="Calibri"/>
        </w:rPr>
      </w:pPr>
    </w:p>
    <w:p w14:paraId="46A8FB90" w14:textId="114ED35C" w:rsidR="0092382F" w:rsidRPr="00D91A33" w:rsidRDefault="00A7089A" w:rsidP="0092382F">
      <w:pPr>
        <w:pStyle w:val="Heading1"/>
        <w:rPr>
          <w:rFonts w:ascii="Calibri" w:eastAsia="Arial" w:hAnsi="Calibri" w:cs="Calibri"/>
          <w:b/>
          <w:bCs/>
          <w:color w:val="0A1628"/>
          <w:sz w:val="32"/>
          <w:szCs w:val="32"/>
        </w:rPr>
      </w:pPr>
      <w:r w:rsidRPr="00D91A33">
        <w:rPr>
          <w:rFonts w:ascii="Calibri" w:eastAsia="Arial" w:hAnsi="Calibri" w:cs="Calibri"/>
          <w:b/>
          <w:bCs/>
          <w:color w:val="0A1628"/>
          <w:sz w:val="32"/>
          <w:szCs w:val="32"/>
        </w:rPr>
        <w:t>4. Stakeholders</w:t>
      </w:r>
    </w:p>
    <w:p w14:paraId="56A515D5" w14:textId="77777777" w:rsidR="0092382F" w:rsidRPr="00D91A33" w:rsidRDefault="0092382F" w:rsidP="0092382F">
      <w:pPr>
        <w:rPr>
          <w:rFonts w:ascii="Calibri" w:hAnsi="Calibri" w:cs="Calibri"/>
        </w:rPr>
      </w:pP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0"/>
        <w:gridCol w:w="1701"/>
        <w:gridCol w:w="5239"/>
      </w:tblGrid>
      <w:tr w:rsidR="0092382F" w:rsidRPr="00D91A33" w14:paraId="65BA0CA9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9FD9" w14:textId="77777777" w:rsidR="0092382F" w:rsidRPr="00D91A33" w:rsidRDefault="0092382F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1701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2E30" w14:textId="77777777" w:rsidR="0092382F" w:rsidRPr="00D91A33" w:rsidRDefault="0092382F" w:rsidP="0092382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5239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9F8F" w14:textId="77777777" w:rsidR="0092382F" w:rsidRPr="00D91A33" w:rsidRDefault="0092382F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Primary Interest / Need</w:t>
            </w:r>
          </w:p>
        </w:tc>
      </w:tr>
      <w:tr w:rsidR="0092382F" w:rsidRPr="00D91A33" w14:paraId="5B836BD6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780" w:type="dxa"/>
            <w:gridSpan w:val="3"/>
            <w:tcBorders>
              <w:top w:val="single" w:sz="1" w:space="0" w:color="C0E8F5"/>
              <w:left w:val="single" w:sz="1" w:space="0" w:color="C0E8F5"/>
              <w:bottom w:val="single" w:sz="1" w:space="0" w:color="C0E8F5"/>
              <w:right w:val="single" w:sz="1" w:space="0" w:color="C0E8F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169D" w14:textId="0BE31012" w:rsidR="0092382F" w:rsidRPr="00D91A33" w:rsidRDefault="0092382F" w:rsidP="00B36E47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INTERNAL STAKEHOLDERS (TechBridge)</w:t>
            </w:r>
          </w:p>
        </w:tc>
      </w:tr>
      <w:tr w:rsidR="0092382F" w:rsidRPr="00D91A33" w14:paraId="78726E68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D2AC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Product Management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F9D5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Owner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490E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Product roadmap, pricing strategy, feature prioritization.</w:t>
            </w:r>
          </w:p>
        </w:tc>
      </w:tr>
      <w:tr w:rsidR="0092382F" w:rsidRPr="00D91A33" w14:paraId="54A42437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8131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Engineering &amp; Dev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26EA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Builder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D159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Platform architecture, development, testing, and maintenance.</w:t>
            </w:r>
          </w:p>
        </w:tc>
      </w:tr>
      <w:tr w:rsidR="0092382F" w:rsidRPr="00D91A33" w14:paraId="0FE83883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2693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Sales / Pre-Sales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B204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Enabler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0A68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Client demos, RFP responses, commercial negotiations.</w:t>
            </w:r>
          </w:p>
        </w:tc>
      </w:tr>
      <w:tr w:rsidR="0092382F" w:rsidRPr="00D91A33" w14:paraId="5DEEEB7E" w14:textId="77777777" w:rsidTr="00D91A33">
        <w:tblPrEx>
          <w:tblCellMar>
            <w:top w:w="0" w:type="dxa"/>
            <w:bottom w:w="0" w:type="dxa"/>
          </w:tblCellMar>
        </w:tblPrEx>
        <w:trPr>
          <w:trHeight w:val="660"/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AF76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Implementation Team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32B5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Deployer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38B8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Client onboarding, log integration, parser tuning, go-live.</w:t>
            </w:r>
          </w:p>
        </w:tc>
      </w:tr>
      <w:tr w:rsidR="0092382F" w:rsidRPr="00D91A33" w14:paraId="238563EA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780" w:type="dxa"/>
            <w:gridSpan w:val="3"/>
            <w:tcBorders>
              <w:top w:val="single" w:sz="1" w:space="0" w:color="C0E8F5"/>
              <w:left w:val="single" w:sz="1" w:space="0" w:color="C0E8F5"/>
              <w:bottom w:val="single" w:sz="1" w:space="0" w:color="C0E8F5"/>
              <w:right w:val="single" w:sz="1" w:space="0" w:color="C0E8F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7DF2" w14:textId="08BE0F74" w:rsidR="0092382F" w:rsidRPr="00D91A33" w:rsidRDefault="0092382F" w:rsidP="00B36E47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EXTERNAL STAKEHOLDERS (Client Organizations)</w:t>
            </w:r>
          </w:p>
        </w:tc>
      </w:tr>
      <w:tr w:rsidR="0092382F" w:rsidRPr="00D91A33" w14:paraId="2007C6AF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C7EC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CISO / Security Head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8040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Decision Maker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F715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Unified threat visibility, regulatory compliance, board-level risk reporting.</w:t>
            </w:r>
          </w:p>
        </w:tc>
      </w:tr>
      <w:tr w:rsidR="0092382F" w:rsidRPr="00D91A33" w14:paraId="6CAB9437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EA55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SOC Analysts (L1–L3)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B903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Primary User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84C7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Reduced alert noise, clear investigation workflows, fast response tools.</w:t>
            </w:r>
          </w:p>
        </w:tc>
      </w:tr>
      <w:tr w:rsidR="0092382F" w:rsidRPr="00D91A33" w14:paraId="7B805EAC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FE97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IT / Infrastructure Head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9D08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Technical Owner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FBE6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Log source integration, infrastructure compatibility, system health.</w:t>
            </w:r>
          </w:p>
        </w:tc>
      </w:tr>
      <w:tr w:rsidR="0092382F" w:rsidRPr="00D91A33" w14:paraId="384B301C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EE90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Compliance / Audit Officer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CA61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Governance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AA53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Automated compliance reports and pre-built templates for CERT-In, RBI, ISO 27001.</w:t>
            </w:r>
          </w:p>
        </w:tc>
      </w:tr>
      <w:tr w:rsidR="0092382F" w:rsidRPr="00D91A33" w14:paraId="1101CB13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629C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CFO / Procurement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DC9A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Budget Approver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E94C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Predictable fixed-cost pricing and clear ROI vs global SIEM vendors.</w:t>
            </w:r>
          </w:p>
        </w:tc>
      </w:tr>
      <w:tr w:rsidR="0092382F" w:rsidRPr="00D91A33" w14:paraId="00D3F876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4FCD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Regulatory Bodies (CERT-In, RBI, NIC)</w:t>
            </w:r>
          </w:p>
        </w:tc>
        <w:tc>
          <w:tcPr>
            <w:tcW w:w="170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3247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Authority</w:t>
            </w:r>
          </w:p>
        </w:tc>
        <w:tc>
          <w:tcPr>
            <w:tcW w:w="5239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C096" w14:textId="77777777" w:rsidR="0092382F" w:rsidRPr="00D91A33" w:rsidRDefault="0092382F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Mandate cybersecurity standards that tbSIEM enables client organizations to meet.</w:t>
            </w:r>
          </w:p>
        </w:tc>
      </w:tr>
    </w:tbl>
    <w:p w14:paraId="4FCC0630" w14:textId="054A5378" w:rsidR="00A7089A" w:rsidRPr="00D91A33" w:rsidRDefault="00A7089A" w:rsidP="00A7089A">
      <w:pPr>
        <w:pStyle w:val="Heading1"/>
        <w:rPr>
          <w:rFonts w:ascii="Calibri" w:hAnsi="Calibri" w:cs="Calibri"/>
          <w:sz w:val="48"/>
          <w:szCs w:val="48"/>
        </w:rPr>
      </w:pPr>
      <w:r w:rsidRPr="00D91A33">
        <w:rPr>
          <w:rFonts w:ascii="Calibri" w:eastAsia="Arial" w:hAnsi="Calibri" w:cs="Calibri"/>
          <w:b/>
          <w:bCs/>
          <w:color w:val="0A1628"/>
          <w:sz w:val="32"/>
          <w:szCs w:val="32"/>
        </w:rPr>
        <w:lastRenderedPageBreak/>
        <w:t>5. High-Level Requirements</w:t>
      </w:r>
    </w:p>
    <w:p w14:paraId="61164796" w14:textId="0F70D459" w:rsidR="00A7089A" w:rsidRPr="00D91A33" w:rsidRDefault="00A7089A" w:rsidP="00A7089A">
      <w:pPr>
        <w:pStyle w:val="Heading2"/>
        <w:rPr>
          <w:rFonts w:ascii="Calibri" w:hAnsi="Calibri" w:cs="Calibri"/>
          <w:color w:val="auto"/>
          <w:sz w:val="40"/>
          <w:szCs w:val="40"/>
        </w:rPr>
      </w:pPr>
      <w:r w:rsidRPr="00D91A33">
        <w:rPr>
          <w:rFonts w:ascii="Calibri" w:eastAsia="Arial" w:hAnsi="Calibri" w:cs="Calibri"/>
          <w:b/>
          <w:bCs/>
          <w:color w:val="auto"/>
          <w:sz w:val="28"/>
          <w:szCs w:val="28"/>
        </w:rPr>
        <w:t>5.1 Functional Requirements</w:t>
      </w:r>
    </w:p>
    <w:tbl>
      <w:tblPr>
        <w:tblW w:w="82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21"/>
      </w:tblGrid>
      <w:tr w:rsidR="00A7089A" w:rsidRPr="00D91A33" w14:paraId="17D0A8B8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31C4" w14:textId="77777777" w:rsidR="00A7089A" w:rsidRPr="00D91A33" w:rsidRDefault="00A7089A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Capability</w:t>
            </w:r>
          </w:p>
        </w:tc>
        <w:tc>
          <w:tcPr>
            <w:tcW w:w="5821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F1BC" w14:textId="77777777" w:rsidR="00A7089A" w:rsidRPr="00D91A33" w:rsidRDefault="00A7089A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</w:tr>
      <w:tr w:rsidR="00A7089A" w:rsidRPr="00D91A33" w14:paraId="5FE6ADAE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5224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Log Ingestion &amp; Normalization</w:t>
            </w:r>
          </w:p>
        </w:tc>
        <w:tc>
          <w:tcPr>
            <w:tcW w:w="58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0ADE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Ingest logs from 4,600+ sources (servers, endpoints, firewalls, cloud: AWS/Azure/GCP/O365) via agent-based and agentless methods. Normalize to CEF format. Support 20,000–1,00,000 EPS with zero packet drops.</w:t>
            </w:r>
          </w:p>
        </w:tc>
      </w:tr>
      <w:tr w:rsidR="00A7089A" w:rsidRPr="00D91A33" w14:paraId="43450326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CD8B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Real-Time Threat Detection</w:t>
            </w:r>
          </w:p>
        </w:tc>
        <w:tc>
          <w:tcPr>
            <w:tcW w:w="58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2576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Continuously correlate security events across all sources. Detect ransomware, lateral movement, privilege escalation, brute force, and data exfiltration. Assign risk-weighted severity scores to all alerts.</w:t>
            </w:r>
          </w:p>
        </w:tc>
      </w:tr>
      <w:tr w:rsidR="00A7089A" w:rsidRPr="00D91A33" w14:paraId="63A06793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9635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AI/ML Behavioral Analytics</w:t>
            </w:r>
          </w:p>
        </w:tc>
        <w:tc>
          <w:tcPr>
            <w:tcW w:w="58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3B15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Integration with tbUEBA to baseline user and entity behavior. Alert on anomalies: unusual login times, abnormal file access, suspicious command execution. Detect insider threats and compromised credentials.</w:t>
            </w:r>
          </w:p>
        </w:tc>
      </w:tr>
      <w:tr w:rsidR="00A7089A" w:rsidRPr="00D91A33" w14:paraId="1C18514B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4F2B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Threat Intelligence</w:t>
            </w:r>
          </w:p>
        </w:tc>
        <w:tc>
          <w:tcPr>
            <w:tcW w:w="58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D327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Integrate with VirusTotal, MISP, and Maltiverse for IOC enrichment. Map all alerts to MITRE ATT&amp;CK framework tactics and techniques for analyst context.</w:t>
            </w:r>
          </w:p>
        </w:tc>
      </w:tr>
      <w:tr w:rsidR="00A7089A" w:rsidRPr="00D91A33" w14:paraId="092243E8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60B7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File Integrity Monitoring</w:t>
            </w:r>
          </w:p>
        </w:tc>
        <w:tc>
          <w:tcPr>
            <w:tcW w:w="58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4EB4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Continuously monitor critical files, directories, and configurations for unauthorized changes. Generate real-time alerts for modifications, deletions, or permission changes.</w:t>
            </w:r>
          </w:p>
        </w:tc>
      </w:tr>
      <w:tr w:rsidR="00A7089A" w:rsidRPr="00D91A33" w14:paraId="781513D4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E025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Compliance Reporting</w:t>
            </w:r>
          </w:p>
        </w:tc>
        <w:tc>
          <w:tcPr>
            <w:tcW w:w="58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9C24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Pre-built report templates for CERT-In, RBI, ISO 27001, HIPAA, GDPR, PCI-DSS, NIST 800-53, SOC 2. Export as PDF and email. Long-term log archiving for regulatory audits.</w:t>
            </w:r>
          </w:p>
        </w:tc>
      </w:tr>
      <w:tr w:rsidR="00A7089A" w:rsidRPr="00D91A33" w14:paraId="71055534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9B6F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Automated Response (SOAR)</w:t>
            </w:r>
          </w:p>
        </w:tc>
        <w:tc>
          <w:tcPr>
            <w:tcW w:w="58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CF10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Native integration with tbSOAR for automated playbook execution. Auto-create tickets in Jira/ServiceNow. Trigger containment actions without manual SOC intervention.</w:t>
            </w:r>
          </w:p>
        </w:tc>
      </w:tr>
    </w:tbl>
    <w:p w14:paraId="74A29529" w14:textId="77777777" w:rsidR="00A7089A" w:rsidRPr="00D91A33" w:rsidRDefault="00A7089A" w:rsidP="00A7089A">
      <w:pPr>
        <w:spacing w:before="80"/>
        <w:rPr>
          <w:rFonts w:ascii="Calibri" w:hAnsi="Calibri" w:cs="Calibri"/>
        </w:rPr>
      </w:pPr>
    </w:p>
    <w:p w14:paraId="1C414E0B" w14:textId="768F252F" w:rsidR="00A7089A" w:rsidRPr="00D91A33" w:rsidRDefault="00A7089A" w:rsidP="00A7089A">
      <w:pPr>
        <w:pStyle w:val="Heading2"/>
        <w:rPr>
          <w:rFonts w:ascii="Calibri" w:hAnsi="Calibri" w:cs="Calibri"/>
          <w:color w:val="auto"/>
          <w:sz w:val="40"/>
          <w:szCs w:val="40"/>
        </w:rPr>
      </w:pPr>
      <w:r w:rsidRPr="00D91A33">
        <w:rPr>
          <w:rFonts w:ascii="Calibri" w:eastAsia="Arial" w:hAnsi="Calibri" w:cs="Calibri"/>
          <w:b/>
          <w:bCs/>
          <w:color w:val="auto"/>
          <w:sz w:val="28"/>
          <w:szCs w:val="28"/>
        </w:rPr>
        <w:t>5.2 Non-Functional Requirements</w:t>
      </w:r>
    </w:p>
    <w:tbl>
      <w:tblPr>
        <w:tblW w:w="82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221"/>
      </w:tblGrid>
      <w:tr w:rsidR="00A7089A" w:rsidRPr="00D91A33" w14:paraId="20B1C179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B120" w14:textId="77777777" w:rsidR="00A7089A" w:rsidRPr="00D91A33" w:rsidRDefault="00A7089A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6221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C3C9" w14:textId="77777777" w:rsidR="00A7089A" w:rsidRPr="00D91A33" w:rsidRDefault="00A7089A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</w:tr>
      <w:tr w:rsidR="00A7089A" w:rsidRPr="00D91A33" w14:paraId="0D2203F8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156C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62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C199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Sustain 20,000–1,00,000 EPS with zero log drops. Standard search queries must return results in under 5 seconds.</w:t>
            </w:r>
          </w:p>
        </w:tc>
      </w:tr>
      <w:tr w:rsidR="00A7089A" w:rsidRPr="00D91A33" w14:paraId="53CEF739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FE75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62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C5A5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Horizontal scaling via distributed cluster across multiple data centers with DC-DR active-active failover support.</w:t>
            </w:r>
          </w:p>
        </w:tc>
      </w:tr>
      <w:tr w:rsidR="00A7089A" w:rsidRPr="00D91A33" w14:paraId="298EB83A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2CF5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62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9863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99.9% uptime SLA with HA configuration. High-Availability and DC-DR deployment models must be supported.</w:t>
            </w:r>
          </w:p>
        </w:tc>
      </w:tr>
      <w:tr w:rsidR="00A7089A" w:rsidRPr="00D91A33" w14:paraId="538FC1DE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4DA1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62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FB0B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All log forwarding via SSL/TLS encrypted channels. Role-Based Access Control (RBAC) with multiple user roles and groups.</w:t>
            </w:r>
          </w:p>
        </w:tc>
      </w:tr>
      <w:tr w:rsidR="00A7089A" w:rsidRPr="00D91A33" w14:paraId="20AC6949" w14:textId="77777777" w:rsidTr="00A708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3891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6221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E121" w14:textId="77777777" w:rsidR="00A7089A" w:rsidRPr="00D91A33" w:rsidRDefault="00A7089A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Support On-Premises, Cloud, and Hybrid models. Multi-tenant architecture for MSSP deployments. Minimum spec: 12 vCPU, 16 GB RAM, Ubuntu 20.04 LTS.</w:t>
            </w:r>
          </w:p>
        </w:tc>
      </w:tr>
    </w:tbl>
    <w:p w14:paraId="114FD523" w14:textId="77777777" w:rsidR="00A7089A" w:rsidRPr="00D91A33" w:rsidRDefault="00A7089A" w:rsidP="00A7089A">
      <w:pPr>
        <w:spacing w:before="80"/>
        <w:rPr>
          <w:rFonts w:ascii="Calibri" w:hAnsi="Calibri" w:cs="Calibri"/>
        </w:rPr>
      </w:pPr>
    </w:p>
    <w:p w14:paraId="6EC945F6" w14:textId="77777777" w:rsidR="0092382F" w:rsidRPr="00D91A33" w:rsidRDefault="0092382F" w:rsidP="0092382F">
      <w:pPr>
        <w:spacing w:line="276" w:lineRule="auto"/>
        <w:rPr>
          <w:rFonts w:ascii="Calibri" w:hAnsi="Calibri" w:cs="Calibri"/>
        </w:rPr>
      </w:pPr>
    </w:p>
    <w:p w14:paraId="26285EE5" w14:textId="124224A9" w:rsidR="00D91A33" w:rsidRPr="00D91A33" w:rsidRDefault="00D91A33" w:rsidP="00D91A33">
      <w:pPr>
        <w:pStyle w:val="Heading1"/>
        <w:rPr>
          <w:rFonts w:ascii="Calibri" w:hAnsi="Calibri" w:cs="Calibri"/>
          <w:sz w:val="48"/>
          <w:szCs w:val="48"/>
        </w:rPr>
      </w:pPr>
      <w:r w:rsidRPr="00D91A33">
        <w:rPr>
          <w:rFonts w:ascii="Calibri" w:eastAsia="Arial" w:hAnsi="Calibri" w:cs="Calibri"/>
          <w:b/>
          <w:bCs/>
          <w:color w:val="0A1628"/>
          <w:sz w:val="32"/>
          <w:szCs w:val="32"/>
        </w:rPr>
        <w:lastRenderedPageBreak/>
        <w:t>6. Use Cases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80"/>
        <w:gridCol w:w="3360"/>
        <w:gridCol w:w="2800"/>
      </w:tblGrid>
      <w:tr w:rsidR="00D91A33" w:rsidRPr="00D91A33" w14:paraId="3DA73B15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36CD" w14:textId="77777777" w:rsidR="00D91A33" w:rsidRPr="00D91A33" w:rsidRDefault="00D91A33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4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5ED7" w14:textId="77777777" w:rsidR="00D91A33" w:rsidRPr="00D91A33" w:rsidRDefault="00D91A33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Use Case</w:t>
            </w:r>
          </w:p>
        </w:tc>
        <w:tc>
          <w:tcPr>
            <w:tcW w:w="33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4E6C" w14:textId="77777777" w:rsidR="00D91A33" w:rsidRPr="00D91A33" w:rsidRDefault="00D91A33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Flow Summary</w:t>
            </w:r>
          </w:p>
        </w:tc>
        <w:tc>
          <w:tcPr>
            <w:tcW w:w="28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69CA" w14:textId="77777777" w:rsidR="00D91A33" w:rsidRPr="00D91A33" w:rsidRDefault="00D91A33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91A3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Outcome</w:t>
            </w:r>
          </w:p>
        </w:tc>
      </w:tr>
      <w:tr w:rsidR="00D91A33" w:rsidRPr="00D91A33" w14:paraId="7EBDF476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6028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color w:val="0A1628"/>
                <w:sz w:val="20"/>
                <w:szCs w:val="20"/>
              </w:rPr>
              <w:t>UC-01</w:t>
            </w:r>
          </w:p>
        </w:tc>
        <w:tc>
          <w:tcPr>
            <w:tcW w:w="248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BBF8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Ransomware Attack Detection &amp; Containment</w:t>
            </w:r>
          </w:p>
        </w:tc>
        <w:tc>
          <w:tcPr>
            <w:tcW w:w="336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DFFB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tbSIEM detects rapid file encryption across endpoints via FIM &amp; correlation.</w:t>
            </w:r>
          </w:p>
          <w:p w14:paraId="154F4D38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Alert correlated with VirusTotal IOCs and mapped to MITRE T1486.</w:t>
            </w:r>
          </w:p>
          <w:p w14:paraId="1E521731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tbSOAR playbook auto-triggered: isolates endpoint, raises ServiceNow ticket, notifies CISO.</w:t>
            </w:r>
          </w:p>
        </w:tc>
        <w:tc>
          <w:tcPr>
            <w:tcW w:w="28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6EF8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Ransomware contained in minutes. Full CERT-In audit trail generated automatically.</w:t>
            </w:r>
          </w:p>
        </w:tc>
      </w:tr>
      <w:tr w:rsidR="00D91A33" w:rsidRPr="00D91A33" w14:paraId="6D5ACC6B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40F0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color w:val="0A1628"/>
                <w:sz w:val="20"/>
                <w:szCs w:val="20"/>
              </w:rPr>
              <w:t>UC-02</w:t>
            </w:r>
          </w:p>
        </w:tc>
        <w:tc>
          <w:tcPr>
            <w:tcW w:w="248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0A95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Insider Threat Detection via UEBA</w:t>
            </w:r>
          </w:p>
        </w:tc>
        <w:tc>
          <w:tcPr>
            <w:tcW w:w="336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D655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tbUEBA detects anomalous behavior: 2 AM login, 500+ file accesses, USB export.</w:t>
            </w:r>
          </w:p>
          <w:p w14:paraId="30C583C6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Risk score elevated to CRITICAL. Alert mapped to MITRE T1078.</w:t>
            </w:r>
          </w:p>
          <w:p w14:paraId="245D1760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SOC Analyst reviews activity timeline. HR &amp; IT notified via automated workflow.</w:t>
            </w:r>
          </w:p>
        </w:tc>
        <w:tc>
          <w:tcPr>
            <w:tcW w:w="28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8C8D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Insider threat identified before mass exfiltration. Account suspended. Evidence documented.</w:t>
            </w:r>
          </w:p>
        </w:tc>
      </w:tr>
      <w:tr w:rsidR="00D91A33" w:rsidRPr="00D91A33" w14:paraId="500FD6A3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24D9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color w:val="0A1628"/>
                <w:sz w:val="20"/>
                <w:szCs w:val="20"/>
              </w:rPr>
              <w:t>UC-03</w:t>
            </w:r>
          </w:p>
        </w:tc>
        <w:tc>
          <w:tcPr>
            <w:tcW w:w="248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7BF6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Cloud Misconfiguration Detection (AWS)</w:t>
            </w:r>
          </w:p>
        </w:tc>
        <w:tc>
          <w:tcPr>
            <w:tcW w:w="336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721F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tbSIEM ingests AWS CloudTrail logs via native API.</w:t>
            </w:r>
          </w:p>
          <w:p w14:paraId="30CDDC5D" w14:textId="2B9AB23A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SCA module detects public S3 bucket ACL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 w:rsidRPr="00D91A33">
              <w:rPr>
                <w:rFonts w:ascii="Calibri" w:hAnsi="Calibri" w:cs="Calibri"/>
                <w:sz w:val="20"/>
                <w:szCs w:val="20"/>
              </w:rPr>
              <w:t xml:space="preserve"> deviation from CIS benchmark.</w:t>
            </w:r>
          </w:p>
          <w:p w14:paraId="648BB21A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High-severity alert raised. tbSOAR auto-reverts bucket policy and logs change.</w:t>
            </w:r>
          </w:p>
        </w:tc>
        <w:tc>
          <w:tcPr>
            <w:tcW w:w="28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72E0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Misconfiguration remediated in minutes. Data exposure prevented. Compliance maintained.</w:t>
            </w:r>
          </w:p>
        </w:tc>
      </w:tr>
      <w:tr w:rsidR="00D91A33" w:rsidRPr="00D91A33" w14:paraId="4AB27975" w14:textId="77777777" w:rsidTr="00D91A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0E33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color w:val="0A1628"/>
                <w:sz w:val="20"/>
                <w:szCs w:val="20"/>
              </w:rPr>
              <w:t>UC-04</w:t>
            </w:r>
          </w:p>
        </w:tc>
        <w:tc>
          <w:tcPr>
            <w:tcW w:w="248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6BFB" w14:textId="77777777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b/>
                <w:bCs/>
                <w:sz w:val="20"/>
                <w:szCs w:val="20"/>
              </w:rPr>
              <w:t>CERT-In Compliance Audit Reporting</w:t>
            </w:r>
          </w:p>
        </w:tc>
        <w:tc>
          <w:tcPr>
            <w:tcW w:w="336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5187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Compliance Officer selects CERT-In template from reporting module.</w:t>
            </w:r>
          </w:p>
          <w:p w14:paraId="445A7D9C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System auto-generates 90-day event log, incident summary, and policy audit.</w:t>
            </w:r>
          </w:p>
          <w:p w14:paraId="5E91B425" w14:textId="77777777" w:rsidR="00D91A33" w:rsidRPr="00D91A33" w:rsidRDefault="00D91A33" w:rsidP="00D91A33">
            <w:pPr>
              <w:pStyle w:val="ListParagraph"/>
              <w:numPr>
                <w:ilvl w:val="1"/>
                <w:numId w:val="1"/>
              </w:numPr>
              <w:spacing w:after="55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Report exported as PDF and submitted to CERT-In auditor directly.</w:t>
            </w:r>
          </w:p>
        </w:tc>
        <w:tc>
          <w:tcPr>
            <w:tcW w:w="28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CD8E" w14:textId="5E9CDD90" w:rsidR="00D91A33" w:rsidRPr="00D91A33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D91A33">
              <w:rPr>
                <w:rFonts w:ascii="Calibri" w:hAnsi="Calibri" w:cs="Calibri"/>
                <w:sz w:val="20"/>
                <w:szCs w:val="20"/>
              </w:rPr>
              <w:t>100% audit readiness achieved in hours</w:t>
            </w:r>
            <w:r w:rsidR="000716FB">
              <w:rPr>
                <w:rFonts w:ascii="Calibri" w:hAnsi="Calibri" w:cs="Calibri"/>
                <w:sz w:val="20"/>
                <w:szCs w:val="20"/>
              </w:rPr>
              <w:t>.</w:t>
            </w:r>
            <w:r w:rsidRPr="00D91A3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716FB">
              <w:rPr>
                <w:rFonts w:ascii="Calibri" w:hAnsi="Calibri" w:cs="Calibri"/>
                <w:sz w:val="20"/>
                <w:szCs w:val="20"/>
              </w:rPr>
              <w:t>N</w:t>
            </w:r>
            <w:r w:rsidRPr="00D91A33">
              <w:rPr>
                <w:rFonts w:ascii="Calibri" w:hAnsi="Calibri" w:cs="Calibri"/>
                <w:sz w:val="20"/>
                <w:szCs w:val="20"/>
              </w:rPr>
              <w:t>o manual compilation. Zero compliance gaps.</w:t>
            </w:r>
          </w:p>
        </w:tc>
      </w:tr>
    </w:tbl>
    <w:p w14:paraId="25F65033" w14:textId="77777777" w:rsidR="00D91A33" w:rsidRDefault="00D91A33" w:rsidP="00D91A33">
      <w:pPr>
        <w:pStyle w:val="Heading1"/>
        <w:rPr>
          <w:rFonts w:ascii="Calibri" w:eastAsia="Arial" w:hAnsi="Calibri" w:cs="Calibri"/>
          <w:b/>
          <w:bCs/>
          <w:color w:val="0A1628"/>
          <w:sz w:val="32"/>
          <w:szCs w:val="32"/>
        </w:rPr>
      </w:pPr>
    </w:p>
    <w:p w14:paraId="4FFE08A0" w14:textId="77777777" w:rsidR="00D91A33" w:rsidRPr="00D91A33" w:rsidRDefault="00D91A33" w:rsidP="00D91A33"/>
    <w:p w14:paraId="1554F8DA" w14:textId="5918C2CE" w:rsidR="00D91A33" w:rsidRPr="00D91A33" w:rsidRDefault="00D91A33" w:rsidP="00D91A33">
      <w:pPr>
        <w:pStyle w:val="Heading1"/>
        <w:rPr>
          <w:rFonts w:ascii="Calibri" w:hAnsi="Calibri" w:cs="Calibri"/>
          <w:sz w:val="48"/>
          <w:szCs w:val="48"/>
        </w:rPr>
      </w:pPr>
      <w:r w:rsidRPr="00D91A33">
        <w:rPr>
          <w:rFonts w:ascii="Calibri" w:eastAsia="Arial" w:hAnsi="Calibri" w:cs="Calibri"/>
          <w:b/>
          <w:bCs/>
          <w:color w:val="0A1628"/>
          <w:sz w:val="32"/>
          <w:szCs w:val="32"/>
        </w:rPr>
        <w:lastRenderedPageBreak/>
        <w:t>7. Proposed Solution Architecture</w:t>
      </w:r>
    </w:p>
    <w:p w14:paraId="77DB885A" w14:textId="572D87A1" w:rsidR="00D91A33" w:rsidRDefault="00D91A33" w:rsidP="00D91A33">
      <w:pPr>
        <w:spacing w:after="80"/>
        <w:rPr>
          <w:rFonts w:ascii="Calibri" w:hAnsi="Calibri" w:cs="Calibri"/>
          <w:sz w:val="24"/>
          <w:szCs w:val="24"/>
        </w:rPr>
      </w:pPr>
      <w:r w:rsidRPr="00D91A33">
        <w:rPr>
          <w:rFonts w:ascii="Calibri" w:hAnsi="Calibri" w:cs="Calibri"/>
          <w:sz w:val="24"/>
          <w:szCs w:val="24"/>
        </w:rPr>
        <w:t>tbSIEM is built on a distributed, multi-node cluster architecture</w:t>
      </w:r>
      <w:r w:rsidR="00482AB3">
        <w:rPr>
          <w:rFonts w:ascii="Calibri" w:hAnsi="Calibri" w:cs="Calibri"/>
          <w:sz w:val="24"/>
          <w:szCs w:val="24"/>
        </w:rPr>
        <w:t>,</w:t>
      </w:r>
      <w:r w:rsidRPr="00D91A33">
        <w:rPr>
          <w:rFonts w:ascii="Calibri" w:hAnsi="Calibri" w:cs="Calibri"/>
          <w:sz w:val="24"/>
          <w:szCs w:val="24"/>
        </w:rPr>
        <w:t xml:space="preserve"> supporting On-Premises, Cloud, and Hybrid deployments with HA and DC-DR active-active failover. It is the core analytic engine of CyberSIO's SOC-in-a-Box, natively integrating with tbSOAR, tbUEBA, tbIAM, tbPAM, tbNAC, and tbPatchManager.</w:t>
      </w:r>
    </w:p>
    <w:p w14:paraId="5EDEF13F" w14:textId="77777777" w:rsidR="00482AB3" w:rsidRPr="00D91A33" w:rsidRDefault="00482AB3" w:rsidP="00D91A33">
      <w:pPr>
        <w:spacing w:after="80"/>
        <w:rPr>
          <w:rFonts w:ascii="Calibri" w:hAnsi="Calibri" w:cs="Calibri"/>
          <w:sz w:val="24"/>
          <w:szCs w:val="24"/>
        </w:rPr>
      </w:pP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80"/>
      </w:tblGrid>
      <w:tr w:rsidR="00D91A33" w:rsidRPr="00D91A33" w14:paraId="0C509C8F" w14:textId="77777777" w:rsidTr="00482A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D7A3" w14:textId="77777777" w:rsidR="00D91A33" w:rsidRPr="000716FB" w:rsidRDefault="00D91A33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16F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778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5445" w14:textId="77777777" w:rsidR="00D91A33" w:rsidRPr="000716FB" w:rsidRDefault="00D91A33" w:rsidP="00B36E4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716FB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Components &amp; Description</w:t>
            </w:r>
          </w:p>
        </w:tc>
      </w:tr>
      <w:tr w:rsidR="00D91A33" w:rsidRPr="00D91A33" w14:paraId="0DCFED2F" w14:textId="77777777" w:rsidTr="00482A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C3FD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color w:val="0A1628"/>
                <w:sz w:val="20"/>
                <w:szCs w:val="20"/>
              </w:rPr>
              <w:t>Layer 1 Data Collection</w:t>
            </w:r>
          </w:p>
        </w:tc>
        <w:tc>
          <w:tcPr>
            <w:tcW w:w="778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7091" w14:textId="77777777" w:rsidR="00D91A33" w:rsidRPr="000716FB" w:rsidRDefault="00D91A33" w:rsidP="00B36E47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Agent-based: </w:t>
            </w:r>
            <w:r w:rsidRPr="000716FB">
              <w:rPr>
                <w:rFonts w:ascii="Calibri" w:hAnsi="Calibri" w:cs="Calibri"/>
                <w:sz w:val="20"/>
                <w:szCs w:val="20"/>
              </w:rPr>
              <w:t>Lightweight Linux/Windows agents for log forwarding, FIM, and system auditing.</w:t>
            </w:r>
          </w:p>
          <w:p w14:paraId="6C6C323B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Agentless: </w:t>
            </w:r>
            <w:r w:rsidRPr="000716FB">
              <w:rPr>
                <w:rFonts w:ascii="Calibri" w:hAnsi="Calibri" w:cs="Calibri"/>
                <w:sz w:val="20"/>
                <w:szCs w:val="20"/>
              </w:rPr>
              <w:t>Syslog, API-based ingestion from 4,600+ sources including AWS, Azure, GCP, O365, OT/SCADA.</w:t>
            </w:r>
          </w:p>
        </w:tc>
      </w:tr>
      <w:tr w:rsidR="00D91A33" w:rsidRPr="00D91A33" w14:paraId="7208E85B" w14:textId="77777777" w:rsidTr="00482A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DF57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color w:val="0A1628"/>
                <w:sz w:val="20"/>
                <w:szCs w:val="20"/>
              </w:rPr>
              <w:t>Layer 2 Ingestion &amp; Normalization</w:t>
            </w:r>
          </w:p>
        </w:tc>
        <w:tc>
          <w:tcPr>
            <w:tcW w:w="778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0073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sz w:val="20"/>
                <w:szCs w:val="20"/>
              </w:rPr>
              <w:t>Logs normalized to CEF format. Custom parsers for bespoke formats. Capacity: 20,000–1,00,000 EPS with indexed, compressed storage and configurable retention.</w:t>
            </w:r>
          </w:p>
        </w:tc>
      </w:tr>
      <w:tr w:rsidR="00D91A33" w:rsidRPr="00D91A33" w14:paraId="205BC532" w14:textId="77777777" w:rsidTr="00482A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EE2F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color w:val="0A1628"/>
                <w:sz w:val="20"/>
                <w:szCs w:val="20"/>
              </w:rPr>
              <w:t>Layer 3 Analytics Engine</w:t>
            </w:r>
          </w:p>
        </w:tc>
        <w:tc>
          <w:tcPr>
            <w:tcW w:w="778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561F" w14:textId="77777777" w:rsidR="00D91A33" w:rsidRPr="000716FB" w:rsidRDefault="00D91A33" w:rsidP="00B36E47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Correlation Engine: </w:t>
            </w:r>
            <w:r w:rsidRPr="000716FB">
              <w:rPr>
                <w:rFonts w:ascii="Calibri" w:hAnsi="Calibri" w:cs="Calibri"/>
                <w:sz w:val="20"/>
                <w:szCs w:val="20"/>
              </w:rPr>
              <w:t>Real-time, multi-source event correlation with MITRE ATT&amp;CK-mapped detection rules.</w:t>
            </w:r>
          </w:p>
          <w:p w14:paraId="1A709CF6" w14:textId="77777777" w:rsidR="00D91A33" w:rsidRPr="000716FB" w:rsidRDefault="00D91A33" w:rsidP="00B36E47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tbUEBA: </w:t>
            </w:r>
            <w:r w:rsidRPr="000716FB">
              <w:rPr>
                <w:rFonts w:ascii="Calibri" w:hAnsi="Calibri" w:cs="Calibri"/>
                <w:sz w:val="20"/>
                <w:szCs w:val="20"/>
              </w:rPr>
              <w:t>AI/ML behavioral baselines for insider threat and anomaly detection.</w:t>
            </w:r>
          </w:p>
          <w:p w14:paraId="6D423798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Threat Intelligence: </w:t>
            </w:r>
            <w:r w:rsidRPr="000716FB">
              <w:rPr>
                <w:rFonts w:ascii="Calibri" w:hAnsi="Calibri" w:cs="Calibri"/>
                <w:sz w:val="20"/>
                <w:szCs w:val="20"/>
              </w:rPr>
              <w:t>VirusTotal, MISP, Maltiverse IOC feeds correlated in real-time.</w:t>
            </w:r>
          </w:p>
        </w:tc>
      </w:tr>
      <w:tr w:rsidR="00D91A33" w:rsidRPr="00D91A33" w14:paraId="0F3C5D44" w14:textId="77777777" w:rsidTr="00482A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D61E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color w:val="0A1628"/>
                <w:sz w:val="20"/>
                <w:szCs w:val="20"/>
              </w:rPr>
              <w:t>Layer 4 Response &amp; Orchestration</w:t>
            </w:r>
          </w:p>
        </w:tc>
        <w:tc>
          <w:tcPr>
            <w:tcW w:w="778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3DA1" w14:textId="77777777" w:rsidR="00D91A33" w:rsidRPr="000716FB" w:rsidRDefault="00D91A33" w:rsidP="00B36E47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tbSOAR integration: </w:t>
            </w:r>
            <w:r w:rsidRPr="000716FB">
              <w:rPr>
                <w:rFonts w:ascii="Calibri" w:hAnsi="Calibri" w:cs="Calibri"/>
                <w:sz w:val="20"/>
                <w:szCs w:val="20"/>
              </w:rPr>
              <w:t>Automated playbooks for 19+ high-severity scenarios. Containment, notification, and escalation.</w:t>
            </w:r>
          </w:p>
          <w:p w14:paraId="70E7FF5C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Ticketing: </w:t>
            </w:r>
            <w:r w:rsidRPr="000716FB">
              <w:rPr>
                <w:rFonts w:ascii="Calibri" w:hAnsi="Calibri" w:cs="Calibri"/>
                <w:sz w:val="20"/>
                <w:szCs w:val="20"/>
              </w:rPr>
              <w:t>Auto-creates incidents in Jira and ServiceNow with full alert context.</w:t>
            </w:r>
          </w:p>
        </w:tc>
      </w:tr>
      <w:tr w:rsidR="00D91A33" w:rsidRPr="00D91A33" w14:paraId="7C298715" w14:textId="77777777" w:rsidTr="00482A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C276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color w:val="0A1628"/>
                <w:sz w:val="20"/>
                <w:szCs w:val="20"/>
              </w:rPr>
              <w:t>Layer 5 Presentation &amp; Reporting</w:t>
            </w:r>
          </w:p>
        </w:tc>
        <w:tc>
          <w:tcPr>
            <w:tcW w:w="7780" w:type="dxa"/>
            <w:tcBorders>
              <w:top w:val="single" w:sz="1" w:space="0" w:color="D0D9E0"/>
              <w:left w:val="single" w:sz="1" w:space="0" w:color="D0D9E0"/>
              <w:bottom w:val="single" w:sz="1" w:space="0" w:color="D0D9E0"/>
              <w:right w:val="single" w:sz="1" w:space="0" w:color="D0D9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EAA7" w14:textId="77777777" w:rsidR="00D91A33" w:rsidRPr="000716FB" w:rsidRDefault="00D91A33" w:rsidP="00B36E47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SOC Dashboard: </w:t>
            </w:r>
            <w:r w:rsidRPr="000716FB">
              <w:rPr>
                <w:rFonts w:ascii="Calibri" w:hAnsi="Calibri" w:cs="Calibri"/>
                <w:sz w:val="20"/>
                <w:szCs w:val="20"/>
              </w:rPr>
              <w:t>Unified console showing Top MITRE ATT&amp;CKs, FIM events, SCA status, agent health, and rule match analytics.</w:t>
            </w:r>
          </w:p>
          <w:p w14:paraId="1788F4F1" w14:textId="77777777" w:rsidR="00D91A33" w:rsidRPr="000716FB" w:rsidRDefault="00D91A33" w:rsidP="00B36E47">
            <w:pPr>
              <w:rPr>
                <w:rFonts w:ascii="Calibri" w:hAnsi="Calibri" w:cs="Calibri"/>
                <w:sz w:val="20"/>
                <w:szCs w:val="20"/>
              </w:rPr>
            </w:pPr>
            <w:r w:rsidRPr="000716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Compliance Reports: </w:t>
            </w:r>
            <w:r w:rsidRPr="000716FB">
              <w:rPr>
                <w:rFonts w:ascii="Calibri" w:hAnsi="Calibri" w:cs="Calibri"/>
                <w:sz w:val="20"/>
                <w:szCs w:val="20"/>
              </w:rPr>
              <w:t>Pre-built templates for CERT-In, HIPAA, GDPR, PCI-DSS, NIST 800-53, SOC 2. PDF and email export.</w:t>
            </w:r>
          </w:p>
        </w:tc>
      </w:tr>
    </w:tbl>
    <w:p w14:paraId="3E58650A" w14:textId="77777777" w:rsidR="00D91A33" w:rsidRDefault="00D91A33" w:rsidP="0092382F">
      <w:pPr>
        <w:spacing w:line="276" w:lineRule="auto"/>
        <w:rPr>
          <w:rFonts w:ascii="Calibri" w:hAnsi="Calibri" w:cs="Calibri"/>
        </w:rPr>
      </w:pPr>
    </w:p>
    <w:tbl>
      <w:tblPr>
        <w:tblW w:w="10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4"/>
      </w:tblGrid>
      <w:tr w:rsidR="00482AB3" w14:paraId="69B3FDB8" w14:textId="77777777" w:rsidTr="00482A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94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6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8621" w14:textId="50D83B57" w:rsidR="00482AB3" w:rsidRDefault="00482AB3" w:rsidP="00B36E47">
            <w:pPr>
              <w:spacing w:after="50"/>
              <w:jc w:val="center"/>
            </w:pPr>
            <w:r>
              <w:rPr>
                <w:b/>
                <w:bCs/>
                <w:color w:val="0A1628"/>
              </w:rPr>
              <w:t>Proven in Production</w:t>
            </w:r>
            <w:r>
              <w:rPr>
                <w:b/>
                <w:bCs/>
                <w:color w:val="0A1628"/>
              </w:rPr>
              <w:t>,</w:t>
            </w:r>
            <w:r>
              <w:rPr>
                <w:b/>
                <w:bCs/>
                <w:color w:val="0A1628"/>
              </w:rPr>
              <w:t xml:space="preserve"> Government of India PSU (40,000 EPS Deployment)</w:t>
            </w:r>
          </w:p>
          <w:p w14:paraId="36FB81EC" w14:textId="77777777" w:rsidR="00482AB3" w:rsidRDefault="00482AB3" w:rsidP="00B36E47">
            <w:pPr>
              <w:jc w:val="center"/>
            </w:pPr>
            <w:r>
              <w:rPr>
                <w:color w:val="4A5568"/>
                <w:sz w:val="19"/>
                <w:szCs w:val="19"/>
              </w:rPr>
              <w:t xml:space="preserve">MTTR: 21 hrs → 2.9 hrs  </w:t>
            </w:r>
            <w:r>
              <w:rPr>
                <w:color w:val="00B4D8"/>
                <w:sz w:val="19"/>
                <w:szCs w:val="19"/>
              </w:rPr>
              <w:t xml:space="preserve"> | </w:t>
            </w:r>
            <w:r>
              <w:rPr>
                <w:color w:val="4A5568"/>
                <w:sz w:val="19"/>
                <w:szCs w:val="19"/>
              </w:rPr>
              <w:t xml:space="preserve">  False Positives: –69%  </w:t>
            </w:r>
            <w:r>
              <w:rPr>
                <w:color w:val="00B4D8"/>
                <w:sz w:val="19"/>
                <w:szCs w:val="19"/>
              </w:rPr>
              <w:t xml:space="preserve"> | </w:t>
            </w:r>
            <w:r>
              <w:rPr>
                <w:color w:val="4A5568"/>
                <w:sz w:val="19"/>
                <w:szCs w:val="19"/>
              </w:rPr>
              <w:t xml:space="preserve">  6 Ransomware Attacks Blocked  </w:t>
            </w:r>
            <w:r>
              <w:rPr>
                <w:color w:val="00B4D8"/>
                <w:sz w:val="19"/>
                <w:szCs w:val="19"/>
              </w:rPr>
              <w:t xml:space="preserve"> | </w:t>
            </w:r>
            <w:r>
              <w:rPr>
                <w:color w:val="4A5568"/>
                <w:sz w:val="19"/>
                <w:szCs w:val="19"/>
              </w:rPr>
              <w:t xml:space="preserve">  100% CERT-In Compliance  </w:t>
            </w:r>
            <w:r>
              <w:rPr>
                <w:color w:val="00B4D8"/>
                <w:sz w:val="19"/>
                <w:szCs w:val="19"/>
              </w:rPr>
              <w:t xml:space="preserve"> | </w:t>
            </w:r>
            <w:r>
              <w:rPr>
                <w:color w:val="4A5568"/>
                <w:sz w:val="19"/>
                <w:szCs w:val="19"/>
              </w:rPr>
              <w:t xml:space="preserve">  Zero Log Drops at 42,700 EPS</w:t>
            </w:r>
          </w:p>
        </w:tc>
      </w:tr>
    </w:tbl>
    <w:p w14:paraId="42106A30" w14:textId="77777777" w:rsidR="00482AB3" w:rsidRPr="00D91A33" w:rsidRDefault="00482AB3" w:rsidP="0092382F">
      <w:pPr>
        <w:spacing w:line="276" w:lineRule="auto"/>
        <w:rPr>
          <w:rFonts w:ascii="Calibri" w:hAnsi="Calibri" w:cs="Calibri"/>
        </w:rPr>
      </w:pPr>
    </w:p>
    <w:sectPr w:rsidR="00482AB3" w:rsidRPr="00D91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6B49" w14:textId="77777777" w:rsidR="007D685A" w:rsidRDefault="007D685A" w:rsidP="00A7089A">
      <w:r>
        <w:separator/>
      </w:r>
    </w:p>
  </w:endnote>
  <w:endnote w:type="continuationSeparator" w:id="0">
    <w:p w14:paraId="4650D68A" w14:textId="77777777" w:rsidR="007D685A" w:rsidRDefault="007D685A" w:rsidP="00A70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C674A" w14:textId="77777777" w:rsidR="007D685A" w:rsidRDefault="007D685A" w:rsidP="00A7089A">
      <w:r>
        <w:separator/>
      </w:r>
    </w:p>
  </w:footnote>
  <w:footnote w:type="continuationSeparator" w:id="0">
    <w:p w14:paraId="366AEEC6" w14:textId="77777777" w:rsidR="007D685A" w:rsidRDefault="007D685A" w:rsidP="00A708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44EE4"/>
    <w:multiLevelType w:val="hybridMultilevel"/>
    <w:tmpl w:val="AB12453A"/>
    <w:lvl w:ilvl="0" w:tplc="17BE4DC0">
      <w:start w:val="1"/>
      <w:numFmt w:val="bullet"/>
      <w:lvlText w:val="•"/>
      <w:lvlJc w:val="left"/>
      <w:pPr>
        <w:ind w:left="580" w:hanging="280"/>
      </w:pPr>
    </w:lvl>
    <w:lvl w:ilvl="1" w:tplc="3F3AEE8C">
      <w:start w:val="1"/>
      <w:numFmt w:val="bullet"/>
      <w:lvlText w:val="◦"/>
      <w:lvlJc w:val="left"/>
      <w:pPr>
        <w:ind w:left="860" w:hanging="280"/>
      </w:pPr>
    </w:lvl>
    <w:lvl w:ilvl="2" w:tplc="28EC651A">
      <w:numFmt w:val="decimal"/>
      <w:lvlText w:val=""/>
      <w:lvlJc w:val="left"/>
    </w:lvl>
    <w:lvl w:ilvl="3" w:tplc="256601CE">
      <w:numFmt w:val="decimal"/>
      <w:lvlText w:val=""/>
      <w:lvlJc w:val="left"/>
    </w:lvl>
    <w:lvl w:ilvl="4" w:tplc="794E357A">
      <w:numFmt w:val="decimal"/>
      <w:lvlText w:val=""/>
      <w:lvlJc w:val="left"/>
    </w:lvl>
    <w:lvl w:ilvl="5" w:tplc="DA2C7012">
      <w:numFmt w:val="decimal"/>
      <w:lvlText w:val=""/>
      <w:lvlJc w:val="left"/>
    </w:lvl>
    <w:lvl w:ilvl="6" w:tplc="FB4410C6">
      <w:numFmt w:val="decimal"/>
      <w:lvlText w:val=""/>
      <w:lvlJc w:val="left"/>
    </w:lvl>
    <w:lvl w:ilvl="7" w:tplc="CF50AC3C">
      <w:numFmt w:val="decimal"/>
      <w:lvlText w:val=""/>
      <w:lvlJc w:val="left"/>
    </w:lvl>
    <w:lvl w:ilvl="8" w:tplc="FD146EE4">
      <w:numFmt w:val="decimal"/>
      <w:lvlText w:val=""/>
      <w:lvlJc w:val="left"/>
    </w:lvl>
  </w:abstractNum>
  <w:num w:numId="1" w16cid:durableId="1719283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A5"/>
    <w:rsid w:val="000716FB"/>
    <w:rsid w:val="00482AB3"/>
    <w:rsid w:val="005D5584"/>
    <w:rsid w:val="00706C04"/>
    <w:rsid w:val="007D685A"/>
    <w:rsid w:val="008539A5"/>
    <w:rsid w:val="0092382F"/>
    <w:rsid w:val="00A56CA4"/>
    <w:rsid w:val="00A7089A"/>
    <w:rsid w:val="00AC5214"/>
    <w:rsid w:val="00BB0E36"/>
    <w:rsid w:val="00D856BD"/>
    <w:rsid w:val="00D9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A1CE"/>
  <w15:chartTrackingRefBased/>
  <w15:docId w15:val="{34E501E6-5422-4244-9846-36B81F8B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9A5"/>
    <w:pPr>
      <w:spacing w:after="0" w:line="240" w:lineRule="auto"/>
    </w:pPr>
    <w:rPr>
      <w:rFonts w:ascii="Arial" w:eastAsia="Arial" w:hAnsi="Arial" w:cs="Arial"/>
      <w:color w:val="1A202C"/>
      <w:kern w:val="0"/>
      <w:sz w:val="21"/>
      <w:szCs w:val="21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A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5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08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89A"/>
    <w:rPr>
      <w:rFonts w:ascii="Arial" w:eastAsia="Arial" w:hAnsi="Arial" w:cs="Arial"/>
      <w:color w:val="1A202C"/>
      <w:kern w:val="0"/>
      <w:sz w:val="21"/>
      <w:szCs w:val="21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08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89A"/>
    <w:rPr>
      <w:rFonts w:ascii="Arial" w:eastAsia="Arial" w:hAnsi="Arial" w:cs="Arial"/>
      <w:color w:val="1A202C"/>
      <w:kern w:val="0"/>
      <w:sz w:val="21"/>
      <w:szCs w:val="21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kharbanda</dc:creator>
  <cp:keywords/>
  <dc:description/>
  <cp:lastModifiedBy>sanjana kharbanda</cp:lastModifiedBy>
  <cp:revision>2</cp:revision>
  <dcterms:created xsi:type="dcterms:W3CDTF">2026-04-11T12:19:00Z</dcterms:created>
  <dcterms:modified xsi:type="dcterms:W3CDTF">2026-04-11T12:19:00Z</dcterms:modified>
</cp:coreProperties>
</file>