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Customer Engagement &amp; Product Utilization Analytics for Retention Strategy</w:t>
      </w:r>
    </w:p>
    <w:p>
      <w:pPr>
        <w:jc w:val="center"/>
      </w:pPr>
      <w:r>
        <w:rPr>
          <w:i/>
        </w:rPr>
        <w:t>Executive Summary for Stakeholders</w:t>
      </w:r>
    </w:p>
    <w:p>
      <w:pPr>
        <w:pStyle w:val="Heading1"/>
      </w:pPr>
      <w:r>
        <w:t>Headline</w:t>
      </w:r>
    </w:p>
    <w:p>
      <w:r>
        <w:t>The bank's customer base shows a churn rate of 20.4%. Engagement is a major differentiator: active customers retain at 85.7% compared with 73.1% for inactive customers.</w:t>
      </w:r>
    </w:p>
    <w:p>
      <w:pPr>
        <w:pStyle w:val="Heading1"/>
      </w:pPr>
      <w:r>
        <w:t>What Management Should Know</w:t>
      </w:r>
    </w:p>
    <w:p>
      <w:pPr>
        <w:pStyle w:val="ListBullet"/>
      </w:pPr>
      <w:r>
        <w:t>Customer inactivity is a clear warning signal: the active-to-inactive retention ratio is 1.17x.</w:t>
      </w:r>
    </w:p>
    <w:p>
      <w:pPr>
        <w:pStyle w:val="ListBullet"/>
      </w:pPr>
      <w:r>
        <w:t>High-balance disengaged customers have a churn rate of 32.3% and deserve priority retention treatment.</w:t>
      </w:r>
    </w:p>
    <w:p>
      <w:pPr>
        <w:pStyle w:val="ListBullet"/>
      </w:pPr>
      <w:r>
        <w:t>Credit-card ownership has a retention difference of 0.6 percentage points between cardholders and non-cardholders.</w:t>
      </w:r>
    </w:p>
    <w:p>
      <w:pPr>
        <w:pStyle w:val="ListBullet"/>
      </w:pPr>
      <w:r>
        <w:t>Germany is the highest-churn geography at 32.4%, which warrants targeted investigation.</w:t>
      </w:r>
    </w:p>
    <w:p>
      <w:pPr>
        <w:pStyle w:val="Heading1"/>
      </w:pPr>
      <w:r>
        <w:t>Recommended Actions</w:t>
      </w:r>
    </w:p>
    <w:p>
      <w:r>
        <w:rPr>
          <w:b/>
        </w:rPr>
        <w:t xml:space="preserve">Build an engagement early-warning system. </w:t>
      </w:r>
      <w:r>
        <w:t>Flag inactive customers with deteriorating activity and route them into targeted digital, relationship-manager or service campaigns.</w:t>
      </w:r>
    </w:p>
    <w:p>
      <w:r>
        <w:rPr>
          <w:b/>
        </w:rPr>
        <w:t xml:space="preserve">Deepen relationships selectively. </w:t>
      </w:r>
      <w:r>
        <w:t>Promote relevant second-product adoption to customers with a shallow relationship, but avoid indiscriminate cross-selling.</w:t>
      </w:r>
    </w:p>
    <w:p>
      <w:r>
        <w:rPr>
          <w:b/>
        </w:rPr>
        <w:t xml:space="preserve">Protect high-value disengaged customers. </w:t>
      </w:r>
      <w:r>
        <w:t>Create a priority segment for high-balance inactive customers and intervene before churn.</w:t>
      </w:r>
    </w:p>
    <w:p>
      <w:r>
        <w:rPr>
          <w:b/>
        </w:rPr>
        <w:t xml:space="preserve">Use product-count signals carefully. </w:t>
      </w:r>
      <w:r>
        <w:t>Investigate customers with unusually high product counts rather than assuming more products always mean stronger loyalty.</w:t>
      </w:r>
    </w:p>
    <w:p>
      <w:r>
        <w:rPr>
          <w:b/>
        </w:rPr>
        <w:t xml:space="preserve">Measure retention by behaviour. </w:t>
      </w:r>
      <w:r>
        <w:t>Track the five project KPIs monthly and compare movement across geography, engagement and product segments.</w:t>
      </w:r>
    </w:p>
    <w:p>
      <w:pPr>
        <w:pStyle w:val="Heading1"/>
      </w:pPr>
      <w:r>
        <w:t>Decision Framework</w:t>
      </w:r>
    </w:p>
    <w:p>
      <w:r>
        <w:t>Use the dashboard to identify: (1) who is disengaging, (2) whether their product relationship is shallow, (3) whether they hold material balances, and (4) where churn is concentrated. Then target the smallest high-risk segment with the highest expected retention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