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Customer Engagement &amp; Product Utilization Analytics for Retention Strategy</w:t>
      </w:r>
    </w:p>
    <w:p>
      <w:pPr>
        <w:jc w:val="center"/>
      </w:pPr>
      <w:r>
        <w:rPr>
          <w:i/>
        </w:rPr>
        <w:t>European Bank Customer Churn Analysis — 2025 Dataset</w:t>
      </w:r>
    </w:p>
    <w:p>
      <w:pPr>
        <w:pStyle w:val="Heading1"/>
      </w:pPr>
      <w:r>
        <w:t>1. Executive Overview</w:t>
      </w:r>
    </w:p>
    <w:p>
      <w:r>
        <w:t>This project analyses 10,000 European Bank customer records to identify behavioural and product-usage factors associated with customer churn. The overall churn rate is 20.4%, meaning 2,037 customers exited while 7,963 were retained. The analysis deliberately focuses on engagement, product utilization and relationship depth rather than relying only on demographic variables.</w:t>
      </w:r>
    </w:p>
    <w:p>
      <w:pPr>
        <w:pStyle w:val="Heading1"/>
      </w:pPr>
      <w:r>
        <w:t>2. Background and Context</w:t>
      </w:r>
    </w:p>
    <w:p>
      <w:r>
        <w:t>Banks increasingly recognize that customer behaviour and engagement—not demographics alone—drive long-term retention. A customer can have a strong balance or salary and still churn because of low engagement, limited product adoption or a weak relationship with the bank. This project therefore reframes churn as a behavioural and relationship-strength problem.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Perform exploratory data analysis (EDA) on customer engagement, product utilization and churn.</w:t>
      </w:r>
    </w:p>
    <w:p>
      <w:pPr>
        <w:pStyle w:val="ListBullet"/>
      </w:pPr>
      <w:r>
        <w:t>Identify customer segments with elevated churn risk.</w:t>
      </w:r>
    </w:p>
    <w:p>
      <w:pPr>
        <w:pStyle w:val="ListBullet"/>
      </w:pPr>
      <w:r>
        <w:t>Develop decision-oriented KPIs for retention strategy.</w:t>
      </w:r>
    </w:p>
    <w:p>
      <w:pPr>
        <w:pStyle w:val="ListBullet"/>
      </w:pPr>
      <w:r>
        <w:t>Translate analytical findings into practical banking recommendations.</w:t>
      </w:r>
    </w:p>
    <w:p>
      <w:pPr>
        <w:pStyle w:val="ListBullet"/>
      </w:pPr>
      <w:r>
        <w:t>Provide a Streamlit dashboard for interactive monitoring.</w:t>
      </w:r>
    </w:p>
    <w:p>
      <w:pPr>
        <w:pStyle w:val="Heading1"/>
      </w:pPr>
      <w:r>
        <w:t>4. Dataset and Methodology</w:t>
      </w:r>
    </w:p>
    <w:p>
      <w:r>
        <w:t>The dataset contains 10,000 customer records and 14 fields covering credit score, geography, gender, age, tenure, balance, number of products, credit-card ownership, active-member status, estimated salary and churn outcome. The target variable is Exited (1 = churned, 0 = retained). Derived indicators were created for retention, engagement status, high balance and relationship strength.</w:t>
      </w:r>
    </w:p>
    <w:p>
      <w:pPr>
        <w:pStyle w:val="Heading1"/>
      </w:pPr>
      <w:r>
        <w:t>5. Key Performance Indicators (KPIs)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KPI</w:t>
            </w:r>
          </w:p>
        </w:tc>
        <w:tc>
          <w:tcPr>
            <w:tcW w:type="dxa" w:w="3312"/>
          </w:tcPr>
          <w:p>
            <w:r>
              <w:t>Value</w:t>
            </w:r>
          </w:p>
        </w:tc>
        <w:tc>
          <w:tcPr>
            <w:tcW w:type="dxa" w:w="3312"/>
          </w:tcPr>
          <w:p>
            <w:r>
              <w:t>Interpretation</w:t>
            </w:r>
          </w:p>
        </w:tc>
      </w:tr>
      <w:tr>
        <w:tc>
          <w:tcPr>
            <w:tcW w:type="dxa" w:w="3312"/>
          </w:tcPr>
          <w:p>
            <w:r>
              <w:t>Engagement Retention Ratio</w:t>
            </w:r>
          </w:p>
        </w:tc>
        <w:tc>
          <w:tcPr>
            <w:tcW w:type="dxa" w:w="3312"/>
          </w:tcPr>
          <w:p>
            <w:r>
              <w:t>1.17x</w:t>
            </w:r>
          </w:p>
        </w:tc>
        <w:tc>
          <w:tcPr>
            <w:tcW w:type="dxa" w:w="3312"/>
          </w:tcPr>
          <w:p>
            <w:r>
              <w:t>Active-member retention divided by inactive-member retention.</w:t>
            </w:r>
          </w:p>
        </w:tc>
      </w:tr>
      <w:tr>
        <w:tc>
          <w:tcPr>
            <w:tcW w:type="dxa" w:w="3312"/>
          </w:tcPr>
          <w:p>
            <w:r>
              <w:t>Product Depth Index</w:t>
            </w:r>
          </w:p>
        </w:tc>
        <w:tc>
          <w:tcPr>
            <w:tcW w:type="dxa" w:w="3312"/>
          </w:tcPr>
          <w:p>
            <w:r>
              <w:t>0.57</w:t>
            </w:r>
          </w:p>
        </w:tc>
        <w:tc>
          <w:tcPr>
            <w:tcW w:type="dxa" w:w="3312"/>
          </w:tcPr>
          <w:p>
            <w:r>
              <w:t>Average retention across product-count groups relative to overall retention.</w:t>
            </w:r>
          </w:p>
        </w:tc>
      </w:tr>
      <w:tr>
        <w:tc>
          <w:tcPr>
            <w:tcW w:type="dxa" w:w="3312"/>
          </w:tcPr>
          <w:p>
            <w:r>
              <w:t>High-Balance Disengagement Rate</w:t>
            </w:r>
          </w:p>
        </w:tc>
        <w:tc>
          <w:tcPr>
            <w:tcW w:type="dxa" w:w="3312"/>
          </w:tcPr>
          <w:p>
            <w:r>
              <w:t>32.3%</w:t>
            </w:r>
          </w:p>
        </w:tc>
        <w:tc>
          <w:tcPr>
            <w:tcW w:type="dxa" w:w="3312"/>
          </w:tcPr>
          <w:p>
            <w:r>
              <w:t>Churn among high-balance customers who are also inactive.</w:t>
            </w:r>
          </w:p>
        </w:tc>
      </w:tr>
      <w:tr>
        <w:tc>
          <w:tcPr>
            <w:tcW w:type="dxa" w:w="3312"/>
          </w:tcPr>
          <w:p>
            <w:r>
              <w:t>Credit Card Stickiness Score</w:t>
            </w:r>
          </w:p>
        </w:tc>
        <w:tc>
          <w:tcPr>
            <w:tcW w:type="dxa" w:w="3312"/>
          </w:tcPr>
          <w:p>
            <w:r>
              <w:t>0.6 pp</w:t>
            </w:r>
          </w:p>
        </w:tc>
        <w:tc>
          <w:tcPr>
            <w:tcW w:type="dxa" w:w="3312"/>
          </w:tcPr>
          <w:p>
            <w:r>
              <w:t>Retention difference between cardholders and non-cardholders.</w:t>
            </w:r>
          </w:p>
        </w:tc>
      </w:tr>
      <w:tr>
        <w:tc>
          <w:tcPr>
            <w:tcW w:type="dxa" w:w="3312"/>
          </w:tcPr>
          <w:p>
            <w:r>
              <w:t>Relationship Strength Index</w:t>
            </w:r>
          </w:p>
        </w:tc>
        <w:tc>
          <w:tcPr>
            <w:tcW w:type="dxa" w:w="3312"/>
          </w:tcPr>
          <w:p>
            <w:r>
              <w:t>1.06</w:t>
            </w:r>
          </w:p>
        </w:tc>
        <w:tc>
          <w:tcPr>
            <w:tcW w:type="dxa" w:w="3312"/>
          </w:tcPr>
          <w:p>
            <w:r>
              <w:t>Retained-customer relationship score relative to the full customer base.</w:t>
            </w:r>
          </w:p>
        </w:tc>
      </w:tr>
    </w:tbl>
    <w:p>
      <w:pPr>
        <w:pStyle w:val="Heading1"/>
      </w:pPr>
      <w:r>
        <w:t>6. Exploratory Data Analysis</w:t>
      </w:r>
    </w:p>
    <w:p>
      <w:r>
        <w:t>Overall retention is 79.6% and churn is 20.4%. The analysis shows that engagement is one of the clearest behavioural separators.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82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n_by_engag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2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Active customers have a retention rate of 85.7%, compared with 73.1% for inactive customers. This supports prioritizing engagement interventions before churn becomes irreversible.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828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n_by_geograph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2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Geographically, Germany has the highest observed churn rate at 32.4%, while France has the lowest at 16.2%. Geography should be treated as a segmentation signal, not a causal explanation.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828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n_by_produ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2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Product count is highly uneven in its relationship with churn. The 4-product segment has the highest churn rate at 100.0%. Extremely low or unusual product counts should be monitored because product breadth can indicate relationship depth—or, in some cases, product complexity.</w:t>
      </w:r>
    </w:p>
    <w:p>
      <w:pPr>
        <w:pStyle w:val="Heading1"/>
      </w:pPr>
      <w:r>
        <w:t>7. Customer Engagement Findings</w:t>
      </w:r>
    </w:p>
    <w:p>
      <w:pPr>
        <w:pStyle w:val="ListBullet"/>
      </w:pPr>
      <w:r>
        <w:t>Active customers retain at 85.7% versus 73.1% for inactive customers.</w:t>
      </w:r>
    </w:p>
    <w:p>
      <w:pPr>
        <w:pStyle w:val="ListBullet"/>
      </w:pPr>
      <w:r>
        <w:t>The active-to-inactive retention ratio is 1.17x, making engagement a strong retention signal.</w:t>
      </w:r>
    </w:p>
    <w:p>
      <w:pPr>
        <w:pStyle w:val="ListBullet"/>
      </w:pPr>
      <w:r>
        <w:t>A disengaged customer with a high balance is not automatically safe; inactivity can expose the bank to avoidable attrition.</w:t>
      </w:r>
    </w:p>
    <w:p>
      <w:pPr>
        <w:pStyle w:val="ListBullet"/>
      </w:pPr>
      <w:r>
        <w:t>Retention strategy should therefore trigger while customers are still present and behaviourally disengaging, rather than waiting for an account to close.</w:t>
      </w:r>
    </w:p>
    <w:p>
      <w:pPr>
        <w:pStyle w:val="Heading1"/>
      </w:pPr>
      <w:r>
        <w:t>8. Product Utilization Findings</w:t>
      </w:r>
    </w:p>
    <w:p>
      <w:pPr>
        <w:pStyle w:val="ListBullet"/>
      </w:pPr>
      <w:r>
        <w:t>1 product(s): 5,084 customers; churn 27.7%; retention 72.3%.</w:t>
      </w:r>
    </w:p>
    <w:p>
      <w:pPr>
        <w:pStyle w:val="ListBullet"/>
      </w:pPr>
      <w:r>
        <w:t>2 product(s): 4,590 customers; churn 7.6%; retention 92.4%.</w:t>
      </w:r>
    </w:p>
    <w:p>
      <w:pPr>
        <w:pStyle w:val="ListBullet"/>
      </w:pPr>
      <w:r>
        <w:t>3 product(s): 266 customers; churn 82.7%; retention 17.3%.</w:t>
      </w:r>
    </w:p>
    <w:p>
      <w:pPr>
        <w:pStyle w:val="ListBullet"/>
      </w:pPr>
      <w:r>
        <w:t>4 product(s): 60 customers; churn 100.0%; retention 0.0%.</w:t>
      </w:r>
    </w:p>
    <w:p>
      <w:pPr>
        <w:pStyle w:val="Heading1"/>
      </w:pPr>
      <w:r>
        <w:t>9. Recommendations</w:t>
      </w:r>
    </w:p>
    <w:p>
      <w:r>
        <w:rPr>
          <w:b/>
        </w:rPr>
        <w:t xml:space="preserve">Build an engagement early-warning system: </w:t>
      </w:r>
      <w:r>
        <w:t>Flag inactive customers with deteriorating activity and route them into targeted digital, relationship-manager or service campaigns.</w:t>
      </w:r>
    </w:p>
    <w:p>
      <w:r>
        <w:rPr>
          <w:b/>
        </w:rPr>
        <w:t xml:space="preserve">Deepen relationships selectively: </w:t>
      </w:r>
      <w:r>
        <w:t>Promote relevant second-product adoption to customers with a shallow relationship, but avoid indiscriminate cross-selling.</w:t>
      </w:r>
    </w:p>
    <w:p>
      <w:r>
        <w:rPr>
          <w:b/>
        </w:rPr>
        <w:t xml:space="preserve">Protect high-value disengaged customers: </w:t>
      </w:r>
      <w:r>
        <w:t>Create a priority segment for high-balance inactive customers and intervene before churn.</w:t>
      </w:r>
    </w:p>
    <w:p>
      <w:r>
        <w:rPr>
          <w:b/>
        </w:rPr>
        <w:t xml:space="preserve">Use product-count signals carefully: </w:t>
      </w:r>
      <w:r>
        <w:t>Investigate customers with unusually high product counts rather than assuming more products always mean stronger loyalty.</w:t>
      </w:r>
    </w:p>
    <w:p>
      <w:r>
        <w:rPr>
          <w:b/>
        </w:rPr>
        <w:t xml:space="preserve">Measure retention by behaviour: </w:t>
      </w:r>
      <w:r>
        <w:t>Track the five project KPIs monthly and compare movement across geography, engagement and product segments.</w:t>
      </w:r>
    </w:p>
    <w:p>
      <w:pPr>
        <w:pStyle w:val="Heading1"/>
      </w:pPr>
      <w:r>
        <w:t>10. Streamlit Dashboard</w:t>
      </w:r>
    </w:p>
    <w:p>
      <w:r>
        <w:t>The accompanying Streamlit application provides interactive filters for geography, engagement status, product count and churn. It displays the core KPIs, customer-level summaries and charts so stakeholders can move from portfolio-level results to actionable segments.</w:t>
      </w:r>
    </w:p>
    <w:p>
      <w:pPr>
        <w:pStyle w:val="Heading1"/>
      </w:pPr>
      <w:r>
        <w:t>11. Limitations</w:t>
      </w:r>
    </w:p>
    <w:p>
      <w:pPr>
        <w:pStyle w:val="ListBullet"/>
      </w:pPr>
      <w:r>
        <w:t>The dataset is observational; the analysis identifies associations, not causal effects.</w:t>
      </w:r>
    </w:p>
    <w:p>
      <w:pPr>
        <w:pStyle w:val="ListBullet"/>
      </w:pPr>
      <w:r>
        <w:t>The data contains a single Year value, so this project should not be interpreted as a time-series retention study.</w:t>
      </w:r>
    </w:p>
    <w:p>
      <w:pPr>
        <w:pStyle w:val="ListBullet"/>
      </w:pPr>
      <w:r>
        <w:t>The custom KPI definitions are analytical constructs designed for this project and should be validated against the bank's internal definitions before production use.</w:t>
      </w:r>
    </w:p>
    <w:p>
      <w:pPr>
        <w:pStyle w:val="Heading1"/>
      </w:pPr>
      <w:r>
        <w:t>12. Conclusion</w:t>
      </w:r>
    </w:p>
    <w:p>
      <w:r>
        <w:t>This project reframes customer churn from a behavioural and relationship-strength perspective. By focusing on engagement and product utilization rather than demographics alone, it provides actionable insights for retention strategy design, product optimization and customer loyalty enhancement.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