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0B6E4F"/>
          <w:sz w:val="56"/>
          <w:szCs w:val="56"/>
        </w:rPr>
        <w:t xml:space="preserve">HEALTHCARE DATA ANALYSIS</w:t>
      </w:r>
    </w:p>
    <w:p>
      <w:pPr>
        <w:spacing w:after="100" w:before="200"/>
        <w:jc w:val="center"/>
      </w:pPr>
      <w:r>
        <w:rPr>
          <w:i/>
          <w:iCs/>
          <w:color w:val="3C5049"/>
          <w:sz w:val="28"/>
          <w:szCs w:val="28"/>
        </w:rPr>
        <w:t xml:space="preserve">A Data Analytics Portfolio Project</w:t>
      </w:r>
    </w:p>
    <w:p>
      <w:pPr>
        <w:pBdr>
          <w:top w:val="single" w:color="0B6E4F" w:sz="6" w:space="8"/>
        </w:pBdr>
        <w:spacing w:before="800"/>
        <w:jc w:val="center"/>
      </w:pPr>
    </w:p>
    <w:p>
      <w:pPr>
        <w:spacing w:before="400"/>
        <w:jc w:val="center"/>
      </w:pPr>
      <w:r>
        <w:rPr>
          <w:color w:val="10241E"/>
          <w:sz w:val="22"/>
          <w:szCs w:val="22"/>
        </w:rPr>
        <w:t xml:space="preserve">Exploratory Data Analysis, SQL Analysis, Interactive Dashboard,</w:t>
      </w:r>
    </w:p>
    <w:p>
      <w:pPr>
        <w:spacing w:after="800"/>
        <w:jc w:val="center"/>
      </w:pPr>
      <w:r>
        <w:rPr>
          <w:color w:val="10241E"/>
          <w:sz w:val="22"/>
          <w:szCs w:val="22"/>
        </w:rPr>
        <w:t xml:space="preserve">and Business Insights from 54,860 Hospital Admission Records</w:t>
      </w:r>
    </w:p>
    <w:p>
      <w:pPr>
        <w:spacing w:before="1200"/>
        <w:jc w:val="center"/>
      </w:pPr>
      <w:r>
        <w:rPr>
          <w:color w:val="3C5049"/>
          <w:sz w:val="20"/>
          <w:szCs w:val="20"/>
        </w:rPr>
        <w:t xml:space="preserve">Prepared by: [Your Name]</w:t>
      </w:r>
    </w:p>
    <w:p>
      <w:pPr>
        <w:jc w:val="center"/>
      </w:pPr>
      <w:r>
        <w:rPr>
          <w:color w:val="3C5049"/>
          <w:sz w:val="20"/>
          <w:szCs w:val="20"/>
        </w:rPr>
        <w:t xml:space="preserve">Dataset Source: healthcare_dataset.csv</w:t>
      </w:r>
    </w:p>
    <w:p>
      <w:pPr>
        <w:jc w:val="center"/>
      </w:pPr>
      <w:r>
        <w:rPr>
          <w:color w:val="3C5049"/>
          <w:sz w:val="20"/>
          <w:szCs w:val="20"/>
        </w:rPr>
        <w:t xml:space="preserve">September 4, 2026</w:t>
      </w:r>
    </w:p>
    <w:p>
      <w:r>
        <w:br w:type="page"/>
      </w:r>
    </w:p>
    <w:p>
      <w:pPr>
        <w:sectPr>
          <w:pgSz w:w="12240" w:h="15840" w:orient="portrait"/>
          <w:pgMar w:top="1080" w:right="1200" w:bottom="1080" w:left="1200" w:header="708" w:footer="708" w:gutter="0"/>
          <w:pgNumType/>
          <w:docGrid w:linePitch="360"/>
        </w:sectPr>
      </w:pPr>
    </w:p>
    <w:p>
      <w:pPr>
        <w:pStyle w:val="Heading1"/>
        <w:spacing w:after="160" w:before="360"/>
      </w:pPr>
      <w:r>
        <w:rPr>
          <w:b/>
          <w:bCs/>
          <w:color w:val="0B6E4F"/>
          <w:sz w:val="30"/>
          <w:szCs w:val="30"/>
        </w:rPr>
        <w:t xml:space="preserve">Executive Summary</w:t>
      </w:r>
    </w:p>
    <w:p>
      <w:pPr>
        <w:spacing w:after="160" w:line="300"/>
      </w:pPr>
      <w:r>
        <w:rPr>
          <w:color w:val="10241E"/>
          <w:sz w:val="22"/>
          <w:szCs w:val="22"/>
        </w:rPr>
        <w:t xml:space="preserve">This report presents a complete exploratory data analysis of a healthcare admissions dataset containing 55,500 raw hospital admission records, spanning May 2019 to May 2024. After data cleaning, 54,860 valid records remained for analysis. The dataset captures patient demographics, medical conditions, admission and discharge details, billing amounts, insurance coverage, prescribed medication, and diagnostic test outcomes.</w:t>
      </w:r>
    </w:p>
    <w:p>
      <w:pPr>
        <w:spacing w:after="160" w:line="300"/>
      </w:pPr>
      <w:r>
        <w:rPr>
          <w:color w:val="10241E"/>
          <w:sz w:val="22"/>
          <w:szCs w:val="22"/>
        </w:rPr>
        <w:t xml:space="preserve">The analysis finds a patient population that is nearly evenly split by gender (50.0% male, 50.0% female) and evenly distributed across six medical conditions — Arthritis, Diabetes, Hypertension, Obesity, Cancer, and Asthma — each accounting for roughly 16-17% of admissions. Average billing per admission is $25,594.63, with Obesity carrying the highest average charge ($25,859.22) and Cancer the lowest ($25,205.92) among the six conditions, a narrow spread that suggests billing is not condition-driven in this dataset. Patients stay in hospital for an average of 15.5 days, and diagnostic test outcomes are split almost equally across Normal, Inconclusive, and Abnormal results.</w:t>
      </w:r>
    </w:p>
    <w:p>
      <w:pPr>
        <w:spacing w:after="160" w:line="300"/>
      </w:pPr>
      <w:r>
        <w:rPr>
          <w:color w:val="10241E"/>
          <w:sz w:val="22"/>
          <w:szCs w:val="22"/>
        </w:rPr>
        <w:t xml:space="preserve">Data quality issues addressed during cleaning included 534 fully duplicated records and 108 records with negative billing amounts (invalid charges), both removed prior to analysis. The cleaned dataset, all supporting visualizations, SQL queries, and an interactive dashboard are included alongside this report.</w:t>
      </w:r>
    </w:p>
    <w:p>
      <w:pPr>
        <w:pStyle w:val="Heading1"/>
        <w:spacing w:after="160" w:before="360"/>
      </w:pPr>
      <w:r>
        <w:rPr>
          <w:b/>
          <w:bCs/>
          <w:color w:val="0B6E4F"/>
          <w:sz w:val="30"/>
          <w:szCs w:val="30"/>
        </w:rPr>
        <w:t xml:space="preserve">Project Overview</w:t>
      </w:r>
    </w:p>
    <w:p>
      <w:pPr>
        <w:spacing w:after="160" w:line="300"/>
      </w:pPr>
      <w:r>
        <w:rPr>
          <w:color w:val="10241E"/>
          <w:sz w:val="22"/>
          <w:szCs w:val="22"/>
        </w:rPr>
        <w:t xml:space="preserve">Project objective: to independently explore, clean, and analyze a real-world healthcare admissions dataset, and to produce a complete, professional analytics deliverable consisting of a Python EDA pipeline, a set of SQL analysis queries, an interactive HTML dashboard, and this written report.</w:t>
      </w:r>
    </w:p>
    <w:p>
      <w:pPr>
        <w:pStyle w:val="Heading2"/>
        <w:spacing w:after="120" w:before="260"/>
      </w:pPr>
      <w:r>
        <w:rPr>
          <w:b/>
          <w:bCs/>
          <w:color w:val="10241E"/>
          <w:sz w:val="24"/>
          <w:szCs w:val="24"/>
        </w:rPr>
        <w:t xml:space="preserve">Deliverables</w:t>
      </w:r>
    </w:p>
    <w:p>
      <w:pPr>
        <w:pStyle w:val="ListParagraph"/>
        <w:numPr>
          <w:ilvl w:val="0"/>
          <w:numId w:val="1"/>
        </w:numPr>
        <w:spacing w:after="80" w:line="280"/>
      </w:pPr>
      <w:r>
        <w:rPr>
          <w:color w:val="10241E"/>
          <w:sz w:val="22"/>
          <w:szCs w:val="22"/>
        </w:rPr>
        <w:t xml:space="preserve">Cleaned dataset (Data/cleaned_healthcare_data.csv)</w:t>
      </w:r>
    </w:p>
    <w:p>
      <w:pPr>
        <w:pStyle w:val="ListParagraph"/>
        <w:numPr>
          <w:ilvl w:val="0"/>
          <w:numId w:val="1"/>
        </w:numPr>
        <w:spacing w:after="80" w:line="280"/>
      </w:pPr>
      <w:r>
        <w:rPr>
          <w:color w:val="10241E"/>
          <w:sz w:val="22"/>
          <w:szCs w:val="22"/>
        </w:rPr>
        <w:t xml:space="preserve">Python EDA script producing 15 charts (Notebook/healthcare_eda.py)</w:t>
      </w:r>
    </w:p>
    <w:p>
      <w:pPr>
        <w:pStyle w:val="ListParagraph"/>
        <w:numPr>
          <w:ilvl w:val="0"/>
          <w:numId w:val="1"/>
        </w:numPr>
        <w:spacing w:after="80" w:line="280"/>
      </w:pPr>
      <w:r>
        <w:rPr>
          <w:color w:val="10241E"/>
          <w:sz w:val="22"/>
          <w:szCs w:val="22"/>
        </w:rPr>
        <w:t xml:space="preserve">SQL database schema and 20+ analysis queries (SQL/)</w:t>
      </w:r>
    </w:p>
    <w:p>
      <w:pPr>
        <w:pStyle w:val="ListParagraph"/>
        <w:numPr>
          <w:ilvl w:val="0"/>
          <w:numId w:val="1"/>
        </w:numPr>
        <w:spacing w:after="80" w:line="280"/>
      </w:pPr>
      <w:r>
        <w:rPr>
          <w:color w:val="10241E"/>
          <w:sz w:val="22"/>
          <w:szCs w:val="22"/>
        </w:rPr>
        <w:t xml:space="preserve">Single-page interactive HTML dashboard with filtering (Dashboard/healthcare_dashboard.html)</w:t>
      </w:r>
    </w:p>
    <w:p>
      <w:pPr>
        <w:pStyle w:val="ListParagraph"/>
        <w:numPr>
          <w:ilvl w:val="0"/>
          <w:numId w:val="1"/>
        </w:numPr>
        <w:spacing w:after="80" w:line="280"/>
      </w:pPr>
      <w:r>
        <w:rPr>
          <w:color w:val="10241E"/>
          <w:sz w:val="22"/>
          <w:szCs w:val="22"/>
        </w:rPr>
        <w:t xml:space="preserve">This Word report summarizing methodology, findings, and recommendations</w:t>
      </w:r>
    </w:p>
    <w:p>
      <w:pPr>
        <w:pStyle w:val="Heading1"/>
        <w:spacing w:after="160" w:before="360"/>
      </w:pPr>
      <w:r>
        <w:rPr>
          <w:b/>
          <w:bCs/>
          <w:color w:val="0B6E4F"/>
          <w:sz w:val="30"/>
          <w:szCs w:val="30"/>
        </w:rPr>
        <w:t xml:space="preserve">Dataset Description</w:t>
      </w:r>
    </w:p>
    <w:p>
      <w:pPr>
        <w:spacing w:after="160" w:line="300"/>
      </w:pPr>
      <w:r>
        <w:rPr>
          <w:color w:val="10241E"/>
          <w:sz w:val="22"/>
          <w:szCs w:val="22"/>
        </w:rPr>
        <w:t xml:space="preserve">The source file, healthcare_dataset.csv, contains 55,500 rows and 15 columns. Each row represents one hospital admission record. The table below summarizes the structure of the raw dataset.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5500"/>
        <w:gridCol w:w="4200"/>
      </w:tblGrid>
      <w:tr>
        <w:trPr>
          <w:tblHeader/>
        </w:trPr>
        <w:tc>
          <w:tcPr>
            <w:tcW w:type="dxa" w:w="5500"/>
            <w:shd w:fill="0B6E4F" w:val="clear"/>
            <w:tcMar>
              <w:top w:type="dxa" w:w="100"/>
              <w:left w:type="dxa" w:w="120"/>
              <w:bottom w:type="dxa" w:w="100"/>
              <w:right w:type="dxa" w:w="120"/>
            </w:tcMar>
            <w:vAlign w:val="center"/>
          </w:tcPr>
          <w:p>
            <w:r>
              <w:rPr>
                <w:b/>
                <w:bCs/>
                <w:color w:val="FFFFFF"/>
                <w:sz w:val="20"/>
                <w:szCs w:val="20"/>
              </w:rPr>
              <w:t xml:space="preserve">Property</w:t>
            </w:r>
          </w:p>
        </w:tc>
        <w:tc>
          <w:tcPr>
            <w:tcW w:type="dxa" w:w="4200"/>
            <w:shd w:fill="0B6E4F" w:val="clear"/>
            <w:tcMar>
              <w:top w:type="dxa" w:w="100"/>
              <w:left w:type="dxa" w:w="120"/>
              <w:bottom w:type="dxa" w:w="100"/>
              <w:right w:type="dxa" w:w="120"/>
            </w:tcMar>
            <w:vAlign w:val="center"/>
          </w:tcPr>
          <w:p>
            <w:r>
              <w:rPr>
                <w:b/>
                <w:bCs/>
                <w:color w:val="FFFFFF"/>
                <w:sz w:val="20"/>
                <w:szCs w:val="20"/>
              </w:rPr>
              <w:t xml:space="preserve">Value</w:t>
            </w:r>
          </w:p>
        </w:tc>
      </w:tr>
      <w:tr>
        <w:tc>
          <w:tcPr>
            <w:tcW w:type="dxa" w:w="5500"/>
            <w:tcMar>
              <w:top w:type="dxa" w:w="100"/>
              <w:left w:type="dxa" w:w="120"/>
              <w:bottom w:type="dxa" w:w="100"/>
              <w:right w:type="dxa" w:w="120"/>
            </w:tcMar>
            <w:vAlign w:val="center"/>
          </w:tcPr>
          <w:p>
            <w:r>
              <w:rPr>
                <w:b w:val="false"/>
                <w:bCs w:val="false"/>
                <w:color w:val="10241E"/>
                <w:sz w:val="20"/>
                <w:szCs w:val="20"/>
              </w:rPr>
              <w:t xml:space="preserve">Total records (raw)</w:t>
            </w:r>
          </w:p>
        </w:tc>
        <w:tc>
          <w:tcPr>
            <w:tcW w:type="dxa" w:w="4200"/>
            <w:tcMar>
              <w:top w:type="dxa" w:w="100"/>
              <w:left w:type="dxa" w:w="120"/>
              <w:bottom w:type="dxa" w:w="100"/>
              <w:right w:type="dxa" w:w="120"/>
            </w:tcMar>
            <w:vAlign w:val="center"/>
          </w:tcPr>
          <w:p>
            <w:r>
              <w:rPr>
                <w:b w:val="false"/>
                <w:bCs w:val="false"/>
                <w:color w:val="10241E"/>
                <w:sz w:val="20"/>
                <w:szCs w:val="20"/>
              </w:rPr>
              <w:t xml:space="preserve">55,500</w:t>
            </w:r>
          </w:p>
        </w:tc>
      </w:tr>
      <w:tr>
        <w:tc>
          <w:tcPr>
            <w:tcW w:type="dxa" w:w="5500"/>
            <w:shd w:fill="F4F7F5" w:val="clear"/>
            <w:tcMar>
              <w:top w:type="dxa" w:w="100"/>
              <w:left w:type="dxa" w:w="120"/>
              <w:bottom w:type="dxa" w:w="100"/>
              <w:right w:type="dxa" w:w="120"/>
            </w:tcMar>
            <w:vAlign w:val="center"/>
          </w:tcPr>
          <w:p>
            <w:r>
              <w:rPr>
                <w:b w:val="false"/>
                <w:bCs w:val="false"/>
                <w:color w:val="10241E"/>
                <w:sz w:val="20"/>
                <w:szCs w:val="20"/>
              </w:rPr>
              <w:t xml:space="preserve">Total columns</w:t>
            </w:r>
          </w:p>
        </w:tc>
        <w:tc>
          <w:tcPr>
            <w:tcW w:type="dxa" w:w="4200"/>
            <w:shd w:fill="F4F7F5" w:val="clear"/>
            <w:tcMar>
              <w:top w:type="dxa" w:w="100"/>
              <w:left w:type="dxa" w:w="120"/>
              <w:bottom w:type="dxa" w:w="100"/>
              <w:right w:type="dxa" w:w="120"/>
            </w:tcMar>
            <w:vAlign w:val="center"/>
          </w:tcPr>
          <w:p>
            <w:r>
              <w:rPr>
                <w:b w:val="false"/>
                <w:bCs w:val="false"/>
                <w:color w:val="10241E"/>
                <w:sz w:val="20"/>
                <w:szCs w:val="20"/>
              </w:rPr>
              <w:t xml:space="preserve">15</w:t>
            </w:r>
          </w:p>
        </w:tc>
      </w:tr>
      <w:tr>
        <w:tc>
          <w:tcPr>
            <w:tcW w:type="dxa" w:w="5500"/>
            <w:tcMar>
              <w:top w:type="dxa" w:w="100"/>
              <w:left w:type="dxa" w:w="120"/>
              <w:bottom w:type="dxa" w:w="100"/>
              <w:right w:type="dxa" w:w="120"/>
            </w:tcMar>
            <w:vAlign w:val="center"/>
          </w:tcPr>
          <w:p>
            <w:r>
              <w:rPr>
                <w:b w:val="false"/>
                <w:bCs w:val="false"/>
                <w:color w:val="10241E"/>
                <w:sz w:val="20"/>
                <w:szCs w:val="20"/>
              </w:rPr>
              <w:t xml:space="preserve">Date range</w:t>
            </w:r>
          </w:p>
        </w:tc>
        <w:tc>
          <w:tcPr>
            <w:tcW w:type="dxa" w:w="4200"/>
            <w:tcMar>
              <w:top w:type="dxa" w:w="100"/>
              <w:left w:type="dxa" w:w="120"/>
              <w:bottom w:type="dxa" w:w="100"/>
              <w:right w:type="dxa" w:w="120"/>
            </w:tcMar>
            <w:vAlign w:val="center"/>
          </w:tcPr>
          <w:p>
            <w:r>
              <w:rPr>
                <w:b w:val="false"/>
                <w:bCs w:val="false"/>
                <w:color w:val="10241E"/>
                <w:sz w:val="20"/>
                <w:szCs w:val="20"/>
              </w:rPr>
              <w:t xml:space="preserve">May 8, 2019 – May 7, 2024</w:t>
            </w:r>
          </w:p>
        </w:tc>
      </w:tr>
      <w:tr>
        <w:tc>
          <w:tcPr>
            <w:tcW w:type="dxa" w:w="5500"/>
            <w:shd w:fill="F4F7F5" w:val="clear"/>
            <w:tcMar>
              <w:top w:type="dxa" w:w="100"/>
              <w:left w:type="dxa" w:w="120"/>
              <w:bottom w:type="dxa" w:w="100"/>
              <w:right w:type="dxa" w:w="120"/>
            </w:tcMar>
            <w:vAlign w:val="center"/>
          </w:tcPr>
          <w:p>
            <w:r>
              <w:rPr>
                <w:b w:val="false"/>
                <w:bCs w:val="false"/>
                <w:color w:val="10241E"/>
                <w:sz w:val="20"/>
                <w:szCs w:val="20"/>
              </w:rPr>
              <w:t xml:space="preserve">Missing values</w:t>
            </w:r>
          </w:p>
        </w:tc>
        <w:tc>
          <w:tcPr>
            <w:tcW w:type="dxa" w:w="4200"/>
            <w:shd w:fill="F4F7F5" w:val="clear"/>
            <w:tcMar>
              <w:top w:type="dxa" w:w="100"/>
              <w:left w:type="dxa" w:w="120"/>
              <w:bottom w:type="dxa" w:w="100"/>
              <w:right w:type="dxa" w:w="120"/>
            </w:tcMar>
            <w:vAlign w:val="center"/>
          </w:tcPr>
          <w:p>
            <w:r>
              <w:rPr>
                <w:b w:val="false"/>
                <w:bCs w:val="false"/>
                <w:color w:val="10241E"/>
                <w:sz w:val="20"/>
                <w:szCs w:val="20"/>
              </w:rPr>
              <w:t xml:space="preserve">0 (no nulls in any column)</w:t>
            </w:r>
          </w:p>
        </w:tc>
      </w:tr>
      <w:tr>
        <w:tc>
          <w:tcPr>
            <w:tcW w:type="dxa" w:w="5500"/>
            <w:tcMar>
              <w:top w:type="dxa" w:w="100"/>
              <w:left w:type="dxa" w:w="120"/>
              <w:bottom w:type="dxa" w:w="100"/>
              <w:right w:type="dxa" w:w="120"/>
            </w:tcMar>
            <w:vAlign w:val="center"/>
          </w:tcPr>
          <w:p>
            <w:r>
              <w:rPr>
                <w:b w:val="false"/>
                <w:bCs w:val="false"/>
                <w:color w:val="10241E"/>
                <w:sz w:val="20"/>
                <w:szCs w:val="20"/>
              </w:rPr>
              <w:t xml:space="preserve">Fully duplicated records</w:t>
            </w:r>
          </w:p>
        </w:tc>
        <w:tc>
          <w:tcPr>
            <w:tcW w:type="dxa" w:w="4200"/>
            <w:tcMar>
              <w:top w:type="dxa" w:w="100"/>
              <w:left w:type="dxa" w:w="120"/>
              <w:bottom w:type="dxa" w:w="100"/>
              <w:right w:type="dxa" w:w="120"/>
            </w:tcMar>
            <w:vAlign w:val="center"/>
          </w:tcPr>
          <w:p>
            <w:r>
              <w:rPr>
                <w:b w:val="false"/>
                <w:bCs w:val="false"/>
                <w:color w:val="10241E"/>
                <w:sz w:val="20"/>
                <w:szCs w:val="20"/>
              </w:rPr>
              <w:t xml:space="preserve">534</w:t>
            </w:r>
          </w:p>
        </w:tc>
      </w:tr>
      <w:tr>
        <w:tc>
          <w:tcPr>
            <w:tcW w:type="dxa" w:w="5500"/>
            <w:shd w:fill="F4F7F5" w:val="clear"/>
            <w:tcMar>
              <w:top w:type="dxa" w:w="100"/>
              <w:left w:type="dxa" w:w="120"/>
              <w:bottom w:type="dxa" w:w="100"/>
              <w:right w:type="dxa" w:w="120"/>
            </w:tcMar>
            <w:vAlign w:val="center"/>
          </w:tcPr>
          <w:p>
            <w:r>
              <w:rPr>
                <w:b w:val="false"/>
                <w:bCs w:val="false"/>
                <w:color w:val="10241E"/>
                <w:sz w:val="20"/>
                <w:szCs w:val="20"/>
              </w:rPr>
              <w:t xml:space="preserve">Records with negative billing amount</w:t>
            </w:r>
          </w:p>
        </w:tc>
        <w:tc>
          <w:tcPr>
            <w:tcW w:type="dxa" w:w="4200"/>
            <w:shd w:fill="F4F7F5" w:val="clear"/>
            <w:tcMar>
              <w:top w:type="dxa" w:w="100"/>
              <w:left w:type="dxa" w:w="120"/>
              <w:bottom w:type="dxa" w:w="100"/>
              <w:right w:type="dxa" w:w="120"/>
            </w:tcMar>
            <w:vAlign w:val="center"/>
          </w:tcPr>
          <w:p>
            <w:r>
              <w:rPr>
                <w:b w:val="false"/>
                <w:bCs w:val="false"/>
                <w:color w:val="10241E"/>
                <w:sz w:val="20"/>
                <w:szCs w:val="20"/>
              </w:rPr>
              <w:t xml:space="preserve">108</w:t>
            </w:r>
          </w:p>
        </w:tc>
      </w:tr>
      <w:tr>
        <w:tc>
          <w:tcPr>
            <w:tcW w:type="dxa" w:w="5500"/>
            <w:tcMar>
              <w:top w:type="dxa" w:w="100"/>
              <w:left w:type="dxa" w:w="120"/>
              <w:bottom w:type="dxa" w:w="100"/>
              <w:right w:type="dxa" w:w="120"/>
            </w:tcMar>
            <w:vAlign w:val="center"/>
          </w:tcPr>
          <w:p>
            <w:r>
              <w:rPr>
                <w:b w:val="false"/>
                <w:bCs w:val="false"/>
                <w:color w:val="10241E"/>
                <w:sz w:val="20"/>
                <w:szCs w:val="20"/>
              </w:rPr>
              <w:t xml:space="preserve">Unique patient names</w:t>
            </w:r>
          </w:p>
        </w:tc>
        <w:tc>
          <w:tcPr>
            <w:tcW w:type="dxa" w:w="4200"/>
            <w:tcMar>
              <w:top w:type="dxa" w:w="100"/>
              <w:left w:type="dxa" w:w="120"/>
              <w:bottom w:type="dxa" w:w="100"/>
              <w:right w:type="dxa" w:w="120"/>
            </w:tcMar>
            <w:vAlign w:val="center"/>
          </w:tcPr>
          <w:p>
            <w:r>
              <w:rPr>
                <w:b w:val="false"/>
                <w:bCs w:val="false"/>
                <w:color w:val="10241E"/>
                <w:sz w:val="20"/>
                <w:szCs w:val="20"/>
              </w:rPr>
              <w:t xml:space="preserve">49,992</w:t>
            </w:r>
          </w:p>
        </w:tc>
      </w:tr>
      <w:tr>
        <w:tc>
          <w:tcPr>
            <w:tcW w:type="dxa" w:w="5500"/>
            <w:shd w:fill="F4F7F5" w:val="clear"/>
            <w:tcMar>
              <w:top w:type="dxa" w:w="100"/>
              <w:left w:type="dxa" w:w="120"/>
              <w:bottom w:type="dxa" w:w="100"/>
              <w:right w:type="dxa" w:w="120"/>
            </w:tcMar>
            <w:vAlign w:val="center"/>
          </w:tcPr>
          <w:p>
            <w:r>
              <w:rPr>
                <w:b w:val="false"/>
                <w:bCs w:val="false"/>
                <w:color w:val="10241E"/>
                <w:sz w:val="20"/>
                <w:szCs w:val="20"/>
              </w:rPr>
              <w:t xml:space="preserve">Unique hospitals</w:t>
            </w:r>
          </w:p>
        </w:tc>
        <w:tc>
          <w:tcPr>
            <w:tcW w:type="dxa" w:w="4200"/>
            <w:shd w:fill="F4F7F5" w:val="clear"/>
            <w:tcMar>
              <w:top w:type="dxa" w:w="100"/>
              <w:left w:type="dxa" w:w="120"/>
              <w:bottom w:type="dxa" w:w="100"/>
              <w:right w:type="dxa" w:w="120"/>
            </w:tcMar>
            <w:vAlign w:val="center"/>
          </w:tcPr>
          <w:p>
            <w:r>
              <w:rPr>
                <w:b w:val="false"/>
                <w:bCs w:val="false"/>
                <w:color w:val="10241E"/>
                <w:sz w:val="20"/>
                <w:szCs w:val="20"/>
              </w:rPr>
              <w:t xml:space="preserve">39,876</w:t>
            </w:r>
          </w:p>
        </w:tc>
      </w:tr>
      <w:tr>
        <w:tc>
          <w:tcPr>
            <w:tcW w:type="dxa" w:w="5500"/>
            <w:tcMar>
              <w:top w:type="dxa" w:w="100"/>
              <w:left w:type="dxa" w:w="120"/>
              <w:bottom w:type="dxa" w:w="100"/>
              <w:right w:type="dxa" w:w="120"/>
            </w:tcMar>
            <w:vAlign w:val="center"/>
          </w:tcPr>
          <w:p>
            <w:r>
              <w:rPr>
                <w:b w:val="false"/>
                <w:bCs w:val="false"/>
                <w:color w:val="10241E"/>
                <w:sz w:val="20"/>
                <w:szCs w:val="20"/>
              </w:rPr>
              <w:t xml:space="preserve">Unique doctors</w:t>
            </w:r>
          </w:p>
        </w:tc>
        <w:tc>
          <w:tcPr>
            <w:tcW w:type="dxa" w:w="4200"/>
            <w:tcMar>
              <w:top w:type="dxa" w:w="100"/>
              <w:left w:type="dxa" w:w="120"/>
              <w:bottom w:type="dxa" w:w="100"/>
              <w:right w:type="dxa" w:w="120"/>
            </w:tcMar>
            <w:vAlign w:val="center"/>
          </w:tcPr>
          <w:p>
            <w:r>
              <w:rPr>
                <w:b w:val="false"/>
                <w:bCs w:val="false"/>
                <w:color w:val="10241E"/>
                <w:sz w:val="20"/>
                <w:szCs w:val="20"/>
              </w:rPr>
              <w:t xml:space="preserve">40,341</w:t>
            </w:r>
          </w:p>
        </w:tc>
      </w:tr>
    </w:tbl>
    <w:p>
      <w:pPr>
        <w:spacing w:before="240"/>
      </w:pPr>
    </w:p>
    <w:p>
      <w:pPr>
        <w:pStyle w:val="Heading1"/>
        <w:spacing w:after="160" w:before="360"/>
      </w:pPr>
      <w:r>
        <w:rPr>
          <w:b/>
          <w:bCs/>
          <w:color w:val="0B6E4F"/>
          <w:sz w:val="30"/>
          <w:szCs w:val="30"/>
        </w:rPr>
        <w:t xml:space="preserve">Data Dictionary / Important Columns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900"/>
      </w:tblGrid>
      <w:tr>
        <w:trPr>
          <w:tblHeader/>
        </w:trPr>
        <w:tc>
          <w:tcPr>
            <w:tcW w:type="dxa" w:w="2200"/>
            <w:shd w:fill="0B6E4F" w:val="clear"/>
            <w:tcMar>
              <w:top w:type="dxa" w:w="100"/>
              <w:left w:type="dxa" w:w="120"/>
              <w:bottom w:type="dxa" w:w="100"/>
              <w:right w:type="dxa" w:w="120"/>
            </w:tcMar>
            <w:vAlign w:val="center"/>
          </w:tcPr>
          <w:p>
            <w:r>
              <w:rPr>
                <w:b/>
                <w:bCs/>
                <w:color w:val="FFFFFF"/>
                <w:sz w:val="20"/>
                <w:szCs w:val="20"/>
              </w:rPr>
              <w:t xml:space="preserve">Column</w:t>
            </w:r>
          </w:p>
        </w:tc>
        <w:tc>
          <w:tcPr>
            <w:tcW w:type="dxa" w:w="1600"/>
            <w:shd w:fill="0B6E4F" w:val="clear"/>
            <w:tcMar>
              <w:top w:type="dxa" w:w="100"/>
              <w:left w:type="dxa" w:w="120"/>
              <w:bottom w:type="dxa" w:w="100"/>
              <w:right w:type="dxa" w:w="120"/>
            </w:tcMar>
            <w:vAlign w:val="center"/>
          </w:tcPr>
          <w:p>
            <w:r>
              <w:rPr>
                <w:b/>
                <w:bCs/>
                <w:color w:val="FFFFFF"/>
                <w:sz w:val="20"/>
                <w:szCs w:val="20"/>
              </w:rPr>
              <w:t xml:space="preserve">Type</w:t>
            </w:r>
          </w:p>
        </w:tc>
        <w:tc>
          <w:tcPr>
            <w:tcW w:type="dxa" w:w="5900"/>
            <w:shd w:fill="0B6E4F" w:val="clear"/>
            <w:tcMar>
              <w:top w:type="dxa" w:w="100"/>
              <w:left w:type="dxa" w:w="120"/>
              <w:bottom w:type="dxa" w:w="100"/>
              <w:right w:type="dxa" w:w="120"/>
            </w:tcMar>
            <w:vAlign w:val="center"/>
          </w:tcPr>
          <w:p>
            <w:r>
              <w:rPr>
                <w:b/>
                <w:bCs/>
                <w:color w:val="FFFFFF"/>
                <w:sz w:val="20"/>
                <w:szCs w:val="20"/>
              </w:rPr>
              <w:t xml:space="preserve">Description</w:t>
            </w:r>
          </w:p>
        </w:tc>
      </w:tr>
      <w:tr>
        <w:tc>
          <w:tcPr>
            <w:tcW w:type="dxa" w:w="2200"/>
            <w:tcMar>
              <w:top w:type="dxa" w:w="100"/>
              <w:left w:type="dxa" w:w="120"/>
              <w:bottom w:type="dxa" w:w="100"/>
              <w:right w:type="dxa" w:w="120"/>
            </w:tcMar>
            <w:vAlign w:val="center"/>
          </w:tcPr>
          <w:p>
            <w:r>
              <w:rPr>
                <w:b w:val="false"/>
                <w:bCs w:val="false"/>
                <w:color w:val="10241E"/>
                <w:sz w:val="20"/>
                <w:szCs w:val="20"/>
              </w:rPr>
              <w:t xml:space="preserve">Name</w:t>
            </w:r>
          </w:p>
        </w:tc>
        <w:tc>
          <w:tcPr>
            <w:tcW w:type="dxa" w:w="1600"/>
            <w:tcMar>
              <w:top w:type="dxa" w:w="100"/>
              <w:left w:type="dxa" w:w="120"/>
              <w:bottom w:type="dxa" w:w="100"/>
              <w:right w:type="dxa" w:w="120"/>
            </w:tcMar>
            <w:vAlign w:val="center"/>
          </w:tcPr>
          <w:p>
            <w:r>
              <w:rPr>
                <w:b w:val="false"/>
                <w:bCs w:val="false"/>
                <w:color w:val="10241E"/>
                <w:sz w:val="20"/>
                <w:szCs w:val="20"/>
              </w:rPr>
              <w:t xml:space="preserve">Text</w:t>
            </w:r>
          </w:p>
        </w:tc>
        <w:tc>
          <w:tcPr>
            <w:tcW w:type="dxa" w:w="5900"/>
            <w:tcMar>
              <w:top w:type="dxa" w:w="100"/>
              <w:left w:type="dxa" w:w="120"/>
              <w:bottom w:type="dxa" w:w="100"/>
              <w:right w:type="dxa" w:w="120"/>
            </w:tcMar>
            <w:vAlign w:val="center"/>
          </w:tcPr>
          <w:p>
            <w:r>
              <w:rPr>
                <w:b w:val="false"/>
                <w:bCs w:val="false"/>
                <w:color w:val="10241E"/>
                <w:sz w:val="20"/>
                <w:szCs w:val="20"/>
              </w:rPr>
              <w:t xml:space="preserve">Patient full name</w:t>
            </w:r>
          </w:p>
        </w:tc>
      </w:tr>
      <w:tr>
        <w:tc>
          <w:tcPr>
            <w:tcW w:type="dxa" w:w="2200"/>
            <w:shd w:fill="F4F7F5" w:val="clear"/>
            <w:tcMar>
              <w:top w:type="dxa" w:w="100"/>
              <w:left w:type="dxa" w:w="120"/>
              <w:bottom w:type="dxa" w:w="100"/>
              <w:right w:type="dxa" w:w="120"/>
            </w:tcMar>
            <w:vAlign w:val="center"/>
          </w:tcPr>
          <w:p>
            <w:r>
              <w:rPr>
                <w:b w:val="false"/>
                <w:bCs w:val="false"/>
                <w:color w:val="10241E"/>
                <w:sz w:val="20"/>
                <w:szCs w:val="20"/>
              </w:rPr>
              <w:t xml:space="preserve">Age</w:t>
            </w:r>
          </w:p>
        </w:tc>
        <w:tc>
          <w:tcPr>
            <w:tcW w:type="dxa" w:w="1600"/>
            <w:shd w:fill="F4F7F5" w:val="clear"/>
            <w:tcMar>
              <w:top w:type="dxa" w:w="100"/>
              <w:left w:type="dxa" w:w="120"/>
              <w:bottom w:type="dxa" w:w="100"/>
              <w:right w:type="dxa" w:w="120"/>
            </w:tcMar>
            <w:vAlign w:val="center"/>
          </w:tcPr>
          <w:p>
            <w:r>
              <w:rPr>
                <w:b w:val="false"/>
                <w:bCs w:val="false"/>
                <w:color w:val="10241E"/>
                <w:sz w:val="20"/>
                <w:szCs w:val="20"/>
              </w:rPr>
              <w:t xml:space="preserve">Integer</w:t>
            </w:r>
          </w:p>
        </w:tc>
        <w:tc>
          <w:tcPr>
            <w:tcW w:type="dxa" w:w="5900"/>
            <w:shd w:fill="F4F7F5" w:val="clear"/>
            <w:tcMar>
              <w:top w:type="dxa" w:w="100"/>
              <w:left w:type="dxa" w:w="120"/>
              <w:bottom w:type="dxa" w:w="100"/>
              <w:right w:type="dxa" w:w="120"/>
            </w:tcMar>
            <w:vAlign w:val="center"/>
          </w:tcPr>
          <w:p>
            <w:r>
              <w:rPr>
                <w:b w:val="false"/>
                <w:bCs w:val="false"/>
                <w:color w:val="10241E"/>
                <w:sz w:val="20"/>
                <w:szCs w:val="20"/>
              </w:rPr>
              <w:t xml:space="preserve">Patient age in years (observed range: 13-89)</w:t>
            </w:r>
          </w:p>
        </w:tc>
      </w:tr>
      <w:tr>
        <w:tc>
          <w:tcPr>
            <w:tcW w:type="dxa" w:w="2200"/>
            <w:tcMar>
              <w:top w:type="dxa" w:w="100"/>
              <w:left w:type="dxa" w:w="120"/>
              <w:bottom w:type="dxa" w:w="100"/>
              <w:right w:type="dxa" w:w="120"/>
            </w:tcMar>
            <w:vAlign w:val="center"/>
          </w:tcPr>
          <w:p>
            <w:r>
              <w:rPr>
                <w:b w:val="false"/>
                <w:bCs w:val="false"/>
                <w:color w:val="10241E"/>
                <w:sz w:val="20"/>
                <w:szCs w:val="20"/>
              </w:rPr>
              <w:t xml:space="preserve">Gender</w:t>
            </w:r>
          </w:p>
        </w:tc>
        <w:tc>
          <w:tcPr>
            <w:tcW w:type="dxa" w:w="1600"/>
            <w:tcMar>
              <w:top w:type="dxa" w:w="100"/>
              <w:left w:type="dxa" w:w="120"/>
              <w:bottom w:type="dxa" w:w="100"/>
              <w:right w:type="dxa" w:w="120"/>
            </w:tcMar>
            <w:vAlign w:val="center"/>
          </w:tcPr>
          <w:p>
            <w:r>
              <w:rPr>
                <w:b w:val="false"/>
                <w:bCs w:val="false"/>
                <w:color w:val="10241E"/>
                <w:sz w:val="20"/>
                <w:szCs w:val="20"/>
              </w:rPr>
              <w:t xml:space="preserve">Category</w:t>
            </w:r>
          </w:p>
        </w:tc>
        <w:tc>
          <w:tcPr>
            <w:tcW w:type="dxa" w:w="5900"/>
            <w:tcMar>
              <w:top w:type="dxa" w:w="100"/>
              <w:left w:type="dxa" w:w="120"/>
              <w:bottom w:type="dxa" w:w="100"/>
              <w:right w:type="dxa" w:w="120"/>
            </w:tcMar>
            <w:vAlign w:val="center"/>
          </w:tcPr>
          <w:p>
            <w:r>
              <w:rPr>
                <w:b w:val="false"/>
                <w:bCs w:val="false"/>
                <w:color w:val="10241E"/>
                <w:sz w:val="20"/>
                <w:szCs w:val="20"/>
              </w:rPr>
              <w:t xml:space="preserve">Male or Female</w:t>
            </w:r>
          </w:p>
        </w:tc>
      </w:tr>
      <w:tr>
        <w:tc>
          <w:tcPr>
            <w:tcW w:type="dxa" w:w="2200"/>
            <w:shd w:fill="F4F7F5" w:val="clear"/>
            <w:tcMar>
              <w:top w:type="dxa" w:w="100"/>
              <w:left w:type="dxa" w:w="120"/>
              <w:bottom w:type="dxa" w:w="100"/>
              <w:right w:type="dxa" w:w="120"/>
            </w:tcMar>
            <w:vAlign w:val="center"/>
          </w:tcPr>
          <w:p>
            <w:r>
              <w:rPr>
                <w:b w:val="false"/>
                <w:bCs w:val="false"/>
                <w:color w:val="10241E"/>
                <w:sz w:val="20"/>
                <w:szCs w:val="20"/>
              </w:rPr>
              <w:t xml:space="preserve">Blood Type</w:t>
            </w:r>
          </w:p>
        </w:tc>
        <w:tc>
          <w:tcPr>
            <w:tcW w:type="dxa" w:w="1600"/>
            <w:shd w:fill="F4F7F5" w:val="clear"/>
            <w:tcMar>
              <w:top w:type="dxa" w:w="100"/>
              <w:left w:type="dxa" w:w="120"/>
              <w:bottom w:type="dxa" w:w="100"/>
              <w:right w:type="dxa" w:w="120"/>
            </w:tcMar>
            <w:vAlign w:val="center"/>
          </w:tcPr>
          <w:p>
            <w:r>
              <w:rPr>
                <w:b w:val="false"/>
                <w:bCs w:val="false"/>
                <w:color w:val="10241E"/>
                <w:sz w:val="20"/>
                <w:szCs w:val="20"/>
              </w:rPr>
              <w:t xml:space="preserve">Category</w:t>
            </w:r>
          </w:p>
        </w:tc>
        <w:tc>
          <w:tcPr>
            <w:tcW w:type="dxa" w:w="5900"/>
            <w:shd w:fill="F4F7F5" w:val="clear"/>
            <w:tcMar>
              <w:top w:type="dxa" w:w="100"/>
              <w:left w:type="dxa" w:w="120"/>
              <w:bottom w:type="dxa" w:w="100"/>
              <w:right w:type="dxa" w:w="120"/>
            </w:tcMar>
            <w:vAlign w:val="center"/>
          </w:tcPr>
          <w:p>
            <w:r>
              <w:rPr>
                <w:b w:val="false"/>
                <w:bCs w:val="false"/>
                <w:color w:val="10241E"/>
                <w:sz w:val="20"/>
                <w:szCs w:val="20"/>
              </w:rPr>
              <w:t xml:space="preserve">One of 8 standard blood types (A+, A-, B+, B-, AB+, AB-, O+, O-)</w:t>
            </w:r>
          </w:p>
        </w:tc>
      </w:tr>
      <w:tr>
        <w:tc>
          <w:tcPr>
            <w:tcW w:type="dxa" w:w="2200"/>
            <w:tcMar>
              <w:top w:type="dxa" w:w="100"/>
              <w:left w:type="dxa" w:w="120"/>
              <w:bottom w:type="dxa" w:w="100"/>
              <w:right w:type="dxa" w:w="120"/>
            </w:tcMar>
            <w:vAlign w:val="center"/>
          </w:tcPr>
          <w:p>
            <w:r>
              <w:rPr>
                <w:b w:val="false"/>
                <w:bCs w:val="false"/>
                <w:color w:val="10241E"/>
                <w:sz w:val="20"/>
                <w:szCs w:val="20"/>
              </w:rPr>
              <w:t xml:space="preserve">Medical Condition</w:t>
            </w:r>
          </w:p>
        </w:tc>
        <w:tc>
          <w:tcPr>
            <w:tcW w:type="dxa" w:w="1600"/>
            <w:tcMar>
              <w:top w:type="dxa" w:w="100"/>
              <w:left w:type="dxa" w:w="120"/>
              <w:bottom w:type="dxa" w:w="100"/>
              <w:right w:type="dxa" w:w="120"/>
            </w:tcMar>
            <w:vAlign w:val="center"/>
          </w:tcPr>
          <w:p>
            <w:r>
              <w:rPr>
                <w:b w:val="false"/>
                <w:bCs w:val="false"/>
                <w:color w:val="10241E"/>
                <w:sz w:val="20"/>
                <w:szCs w:val="20"/>
              </w:rPr>
              <w:t xml:space="preserve">Category</w:t>
            </w:r>
          </w:p>
        </w:tc>
        <w:tc>
          <w:tcPr>
            <w:tcW w:type="dxa" w:w="5900"/>
            <w:tcMar>
              <w:top w:type="dxa" w:w="100"/>
              <w:left w:type="dxa" w:w="120"/>
              <w:bottom w:type="dxa" w:w="100"/>
              <w:right w:type="dxa" w:w="120"/>
            </w:tcMar>
            <w:vAlign w:val="center"/>
          </w:tcPr>
          <w:p>
            <w:r>
              <w:rPr>
                <w:b w:val="false"/>
                <w:bCs w:val="false"/>
                <w:color w:val="10241E"/>
                <w:sz w:val="20"/>
                <w:szCs w:val="20"/>
              </w:rPr>
              <w:t xml:space="preserve">Diagnosed condition: Arthritis, Asthma, Cancer, Diabetes, Hypertension, or Obesity</w:t>
            </w:r>
          </w:p>
        </w:tc>
      </w:tr>
      <w:tr>
        <w:tc>
          <w:tcPr>
            <w:tcW w:type="dxa" w:w="2200"/>
            <w:shd w:fill="F4F7F5" w:val="clear"/>
            <w:tcMar>
              <w:top w:type="dxa" w:w="100"/>
              <w:left w:type="dxa" w:w="120"/>
              <w:bottom w:type="dxa" w:w="100"/>
              <w:right w:type="dxa" w:w="120"/>
            </w:tcMar>
            <w:vAlign w:val="center"/>
          </w:tcPr>
          <w:p>
            <w:r>
              <w:rPr>
                <w:b w:val="false"/>
                <w:bCs w:val="false"/>
                <w:color w:val="10241E"/>
                <w:sz w:val="20"/>
                <w:szCs w:val="20"/>
              </w:rPr>
              <w:t xml:space="preserve">Date of Admission</w:t>
            </w:r>
          </w:p>
        </w:tc>
        <w:tc>
          <w:tcPr>
            <w:tcW w:type="dxa" w:w="1600"/>
            <w:shd w:fill="F4F7F5" w:val="clear"/>
            <w:tcMar>
              <w:top w:type="dxa" w:w="100"/>
              <w:left w:type="dxa" w:w="120"/>
              <w:bottom w:type="dxa" w:w="100"/>
              <w:right w:type="dxa" w:w="120"/>
            </w:tcMar>
            <w:vAlign w:val="center"/>
          </w:tcPr>
          <w:p>
            <w:r>
              <w:rPr>
                <w:b w:val="false"/>
                <w:bCs w:val="false"/>
                <w:color w:val="10241E"/>
                <w:sz w:val="20"/>
                <w:szCs w:val="20"/>
              </w:rPr>
              <w:t xml:space="preserve">Date</w:t>
            </w:r>
          </w:p>
        </w:tc>
        <w:tc>
          <w:tcPr>
            <w:tcW w:type="dxa" w:w="5900"/>
            <w:shd w:fill="F4F7F5" w:val="clear"/>
            <w:tcMar>
              <w:top w:type="dxa" w:w="100"/>
              <w:left w:type="dxa" w:w="120"/>
              <w:bottom w:type="dxa" w:w="100"/>
              <w:right w:type="dxa" w:w="120"/>
            </w:tcMar>
            <w:vAlign w:val="center"/>
          </w:tcPr>
          <w:p>
            <w:r>
              <w:rPr>
                <w:b w:val="false"/>
                <w:bCs w:val="false"/>
                <w:color w:val="10241E"/>
                <w:sz w:val="20"/>
                <w:szCs w:val="20"/>
              </w:rPr>
              <w:t xml:space="preserve">Date the patient was admitted</w:t>
            </w:r>
          </w:p>
        </w:tc>
      </w:tr>
      <w:tr>
        <w:tc>
          <w:tcPr>
            <w:tcW w:type="dxa" w:w="2200"/>
            <w:tcMar>
              <w:top w:type="dxa" w:w="100"/>
              <w:left w:type="dxa" w:w="120"/>
              <w:bottom w:type="dxa" w:w="100"/>
              <w:right w:type="dxa" w:w="120"/>
            </w:tcMar>
            <w:vAlign w:val="center"/>
          </w:tcPr>
          <w:p>
            <w:r>
              <w:rPr>
                <w:b w:val="false"/>
                <w:bCs w:val="false"/>
                <w:color w:val="10241E"/>
                <w:sz w:val="20"/>
                <w:szCs w:val="20"/>
              </w:rPr>
              <w:t xml:space="preserve">Doctor</w:t>
            </w:r>
          </w:p>
        </w:tc>
        <w:tc>
          <w:tcPr>
            <w:tcW w:type="dxa" w:w="1600"/>
            <w:tcMar>
              <w:top w:type="dxa" w:w="100"/>
              <w:left w:type="dxa" w:w="120"/>
              <w:bottom w:type="dxa" w:w="100"/>
              <w:right w:type="dxa" w:w="120"/>
            </w:tcMar>
            <w:vAlign w:val="center"/>
          </w:tcPr>
          <w:p>
            <w:r>
              <w:rPr>
                <w:b w:val="false"/>
                <w:bCs w:val="false"/>
                <w:color w:val="10241E"/>
                <w:sz w:val="20"/>
                <w:szCs w:val="20"/>
              </w:rPr>
              <w:t xml:space="preserve">Text</w:t>
            </w:r>
          </w:p>
        </w:tc>
        <w:tc>
          <w:tcPr>
            <w:tcW w:type="dxa" w:w="5900"/>
            <w:tcMar>
              <w:top w:type="dxa" w:w="100"/>
              <w:left w:type="dxa" w:w="120"/>
              <w:bottom w:type="dxa" w:w="100"/>
              <w:right w:type="dxa" w:w="120"/>
            </w:tcMar>
            <w:vAlign w:val="center"/>
          </w:tcPr>
          <w:p>
            <w:r>
              <w:rPr>
                <w:b w:val="false"/>
                <w:bCs w:val="false"/>
                <w:color w:val="10241E"/>
                <w:sz w:val="20"/>
                <w:szCs w:val="20"/>
              </w:rPr>
              <w:t xml:space="preserve">Attending physician name</w:t>
            </w:r>
          </w:p>
        </w:tc>
      </w:tr>
      <w:tr>
        <w:tc>
          <w:tcPr>
            <w:tcW w:type="dxa" w:w="2200"/>
            <w:shd w:fill="F4F7F5" w:val="clear"/>
            <w:tcMar>
              <w:top w:type="dxa" w:w="100"/>
              <w:left w:type="dxa" w:w="120"/>
              <w:bottom w:type="dxa" w:w="100"/>
              <w:right w:type="dxa" w:w="120"/>
            </w:tcMar>
            <w:vAlign w:val="center"/>
          </w:tcPr>
          <w:p>
            <w:r>
              <w:rPr>
                <w:b w:val="false"/>
                <w:bCs w:val="false"/>
                <w:color w:val="10241E"/>
                <w:sz w:val="20"/>
                <w:szCs w:val="20"/>
              </w:rPr>
              <w:t xml:space="preserve">Hospital</w:t>
            </w:r>
          </w:p>
        </w:tc>
        <w:tc>
          <w:tcPr>
            <w:tcW w:type="dxa" w:w="1600"/>
            <w:shd w:fill="F4F7F5" w:val="clear"/>
            <w:tcMar>
              <w:top w:type="dxa" w:w="100"/>
              <w:left w:type="dxa" w:w="120"/>
              <w:bottom w:type="dxa" w:w="100"/>
              <w:right w:type="dxa" w:w="120"/>
            </w:tcMar>
            <w:vAlign w:val="center"/>
          </w:tcPr>
          <w:p>
            <w:r>
              <w:rPr>
                <w:b w:val="false"/>
                <w:bCs w:val="false"/>
                <w:color w:val="10241E"/>
                <w:sz w:val="20"/>
                <w:szCs w:val="20"/>
              </w:rPr>
              <w:t xml:space="preserve">Text</w:t>
            </w:r>
          </w:p>
        </w:tc>
        <w:tc>
          <w:tcPr>
            <w:tcW w:type="dxa" w:w="5900"/>
            <w:shd w:fill="F4F7F5" w:val="clear"/>
            <w:tcMar>
              <w:top w:type="dxa" w:w="100"/>
              <w:left w:type="dxa" w:w="120"/>
              <w:bottom w:type="dxa" w:w="100"/>
              <w:right w:type="dxa" w:w="120"/>
            </w:tcMar>
            <w:vAlign w:val="center"/>
          </w:tcPr>
          <w:p>
            <w:r>
              <w:rPr>
                <w:b w:val="false"/>
                <w:bCs w:val="false"/>
                <w:color w:val="10241E"/>
                <w:sz w:val="20"/>
                <w:szCs w:val="20"/>
              </w:rPr>
              <w:t xml:space="preserve">Admitting hospital/facility name</w:t>
            </w:r>
          </w:p>
        </w:tc>
      </w:tr>
      <w:tr>
        <w:tc>
          <w:tcPr>
            <w:tcW w:type="dxa" w:w="2200"/>
            <w:tcMar>
              <w:top w:type="dxa" w:w="100"/>
              <w:left w:type="dxa" w:w="120"/>
              <w:bottom w:type="dxa" w:w="100"/>
              <w:right w:type="dxa" w:w="120"/>
            </w:tcMar>
            <w:vAlign w:val="center"/>
          </w:tcPr>
          <w:p>
            <w:r>
              <w:rPr>
                <w:b w:val="false"/>
                <w:bCs w:val="false"/>
                <w:color w:val="10241E"/>
                <w:sz w:val="20"/>
                <w:szCs w:val="20"/>
              </w:rPr>
              <w:t xml:space="preserve">Insurance Provider</w:t>
            </w:r>
          </w:p>
        </w:tc>
        <w:tc>
          <w:tcPr>
            <w:tcW w:type="dxa" w:w="1600"/>
            <w:tcMar>
              <w:top w:type="dxa" w:w="100"/>
              <w:left w:type="dxa" w:w="120"/>
              <w:bottom w:type="dxa" w:w="100"/>
              <w:right w:type="dxa" w:w="120"/>
            </w:tcMar>
            <w:vAlign w:val="center"/>
          </w:tcPr>
          <w:p>
            <w:r>
              <w:rPr>
                <w:b w:val="false"/>
                <w:bCs w:val="false"/>
                <w:color w:val="10241E"/>
                <w:sz w:val="20"/>
                <w:szCs w:val="20"/>
              </w:rPr>
              <w:t xml:space="preserve">Category</w:t>
            </w:r>
          </w:p>
        </w:tc>
        <w:tc>
          <w:tcPr>
            <w:tcW w:type="dxa" w:w="5900"/>
            <w:tcMar>
              <w:top w:type="dxa" w:w="100"/>
              <w:left w:type="dxa" w:w="120"/>
              <w:bottom w:type="dxa" w:w="100"/>
              <w:right w:type="dxa" w:w="120"/>
            </w:tcMar>
            <w:vAlign w:val="center"/>
          </w:tcPr>
          <w:p>
            <w:r>
              <w:rPr>
                <w:b w:val="false"/>
                <w:bCs w:val="false"/>
                <w:color w:val="10241E"/>
                <w:sz w:val="20"/>
                <w:szCs w:val="20"/>
              </w:rPr>
              <w:t xml:space="preserve">Blue Cross, Medicare, Aetna, UnitedHealthcare, or Cigna</w:t>
            </w:r>
          </w:p>
        </w:tc>
      </w:tr>
      <w:tr>
        <w:tc>
          <w:tcPr>
            <w:tcW w:type="dxa" w:w="2200"/>
            <w:shd w:fill="F4F7F5" w:val="clear"/>
            <w:tcMar>
              <w:top w:type="dxa" w:w="100"/>
              <w:left w:type="dxa" w:w="120"/>
              <w:bottom w:type="dxa" w:w="100"/>
              <w:right w:type="dxa" w:w="120"/>
            </w:tcMar>
            <w:vAlign w:val="center"/>
          </w:tcPr>
          <w:p>
            <w:r>
              <w:rPr>
                <w:b w:val="false"/>
                <w:bCs w:val="false"/>
                <w:color w:val="10241E"/>
                <w:sz w:val="20"/>
                <w:szCs w:val="20"/>
              </w:rPr>
              <w:t xml:space="preserve">Billing Amount</w:t>
            </w:r>
          </w:p>
        </w:tc>
        <w:tc>
          <w:tcPr>
            <w:tcW w:type="dxa" w:w="1600"/>
            <w:shd w:fill="F4F7F5" w:val="clear"/>
            <w:tcMar>
              <w:top w:type="dxa" w:w="100"/>
              <w:left w:type="dxa" w:w="120"/>
              <w:bottom w:type="dxa" w:w="100"/>
              <w:right w:type="dxa" w:w="120"/>
            </w:tcMar>
            <w:vAlign w:val="center"/>
          </w:tcPr>
          <w:p>
            <w:r>
              <w:rPr>
                <w:b w:val="false"/>
                <w:bCs w:val="false"/>
                <w:color w:val="10241E"/>
                <w:sz w:val="20"/>
                <w:szCs w:val="20"/>
              </w:rPr>
              <w:t xml:space="preserve">Decimal</w:t>
            </w:r>
          </w:p>
        </w:tc>
        <w:tc>
          <w:tcPr>
            <w:tcW w:type="dxa" w:w="5900"/>
            <w:shd w:fill="F4F7F5" w:val="clear"/>
            <w:tcMar>
              <w:top w:type="dxa" w:w="100"/>
              <w:left w:type="dxa" w:w="120"/>
              <w:bottom w:type="dxa" w:w="100"/>
              <w:right w:type="dxa" w:w="120"/>
            </w:tcMar>
            <w:vAlign w:val="center"/>
          </w:tcPr>
          <w:p>
            <w:r>
              <w:rPr>
                <w:b w:val="false"/>
                <w:bCs w:val="false"/>
                <w:color w:val="10241E"/>
                <w:sz w:val="20"/>
                <w:szCs w:val="20"/>
              </w:rPr>
              <w:t xml:space="preserve">Total billed amount in USD</w:t>
            </w:r>
          </w:p>
        </w:tc>
      </w:tr>
      <w:tr>
        <w:tc>
          <w:tcPr>
            <w:tcW w:type="dxa" w:w="2200"/>
            <w:tcMar>
              <w:top w:type="dxa" w:w="100"/>
              <w:left w:type="dxa" w:w="120"/>
              <w:bottom w:type="dxa" w:w="100"/>
              <w:right w:type="dxa" w:w="120"/>
            </w:tcMar>
            <w:vAlign w:val="center"/>
          </w:tcPr>
          <w:p>
            <w:r>
              <w:rPr>
                <w:b w:val="false"/>
                <w:bCs w:val="false"/>
                <w:color w:val="10241E"/>
                <w:sz w:val="20"/>
                <w:szCs w:val="20"/>
              </w:rPr>
              <w:t xml:space="preserve">Room Number</w:t>
            </w:r>
          </w:p>
        </w:tc>
        <w:tc>
          <w:tcPr>
            <w:tcW w:type="dxa" w:w="1600"/>
            <w:tcMar>
              <w:top w:type="dxa" w:w="100"/>
              <w:left w:type="dxa" w:w="120"/>
              <w:bottom w:type="dxa" w:w="100"/>
              <w:right w:type="dxa" w:w="120"/>
            </w:tcMar>
            <w:vAlign w:val="center"/>
          </w:tcPr>
          <w:p>
            <w:r>
              <w:rPr>
                <w:b w:val="false"/>
                <w:bCs w:val="false"/>
                <w:color w:val="10241E"/>
                <w:sz w:val="20"/>
                <w:szCs w:val="20"/>
              </w:rPr>
              <w:t xml:space="preserve">Integer</w:t>
            </w:r>
          </w:p>
        </w:tc>
        <w:tc>
          <w:tcPr>
            <w:tcW w:type="dxa" w:w="5900"/>
            <w:tcMar>
              <w:top w:type="dxa" w:w="100"/>
              <w:left w:type="dxa" w:w="120"/>
              <w:bottom w:type="dxa" w:w="100"/>
              <w:right w:type="dxa" w:w="120"/>
            </w:tcMar>
            <w:vAlign w:val="center"/>
          </w:tcPr>
          <w:p>
            <w:r>
              <w:rPr>
                <w:b w:val="false"/>
                <w:bCs w:val="false"/>
                <w:color w:val="10241E"/>
                <w:sz w:val="20"/>
                <w:szCs w:val="20"/>
              </w:rPr>
              <w:t xml:space="preserve">Assigned room number (101-500)</w:t>
            </w:r>
          </w:p>
        </w:tc>
      </w:tr>
      <w:tr>
        <w:tc>
          <w:tcPr>
            <w:tcW w:type="dxa" w:w="2200"/>
            <w:shd w:fill="F4F7F5" w:val="clear"/>
            <w:tcMar>
              <w:top w:type="dxa" w:w="100"/>
              <w:left w:type="dxa" w:w="120"/>
              <w:bottom w:type="dxa" w:w="100"/>
              <w:right w:type="dxa" w:w="120"/>
            </w:tcMar>
            <w:vAlign w:val="center"/>
          </w:tcPr>
          <w:p>
            <w:r>
              <w:rPr>
                <w:b w:val="false"/>
                <w:bCs w:val="false"/>
                <w:color w:val="10241E"/>
                <w:sz w:val="20"/>
                <w:szCs w:val="20"/>
              </w:rPr>
              <w:t xml:space="preserve">Admission Type</w:t>
            </w:r>
          </w:p>
        </w:tc>
        <w:tc>
          <w:tcPr>
            <w:tcW w:type="dxa" w:w="1600"/>
            <w:shd w:fill="F4F7F5" w:val="clear"/>
            <w:tcMar>
              <w:top w:type="dxa" w:w="100"/>
              <w:left w:type="dxa" w:w="120"/>
              <w:bottom w:type="dxa" w:w="100"/>
              <w:right w:type="dxa" w:w="120"/>
            </w:tcMar>
            <w:vAlign w:val="center"/>
          </w:tcPr>
          <w:p>
            <w:r>
              <w:rPr>
                <w:b w:val="false"/>
                <w:bCs w:val="false"/>
                <w:color w:val="10241E"/>
                <w:sz w:val="20"/>
                <w:szCs w:val="20"/>
              </w:rPr>
              <w:t xml:space="preserve">Category</w:t>
            </w:r>
          </w:p>
        </w:tc>
        <w:tc>
          <w:tcPr>
            <w:tcW w:type="dxa" w:w="5900"/>
            <w:shd w:fill="F4F7F5" w:val="clear"/>
            <w:tcMar>
              <w:top w:type="dxa" w:w="100"/>
              <w:left w:type="dxa" w:w="120"/>
              <w:bottom w:type="dxa" w:w="100"/>
              <w:right w:type="dxa" w:w="120"/>
            </w:tcMar>
            <w:vAlign w:val="center"/>
          </w:tcPr>
          <w:p>
            <w:r>
              <w:rPr>
                <w:b w:val="false"/>
                <w:bCs w:val="false"/>
                <w:color w:val="10241E"/>
                <w:sz w:val="20"/>
                <w:szCs w:val="20"/>
              </w:rPr>
              <w:t xml:space="preserve">Elective, Emergency, or Urgent</w:t>
            </w:r>
          </w:p>
        </w:tc>
      </w:tr>
      <w:tr>
        <w:tc>
          <w:tcPr>
            <w:tcW w:type="dxa" w:w="2200"/>
            <w:tcMar>
              <w:top w:type="dxa" w:w="100"/>
              <w:left w:type="dxa" w:w="120"/>
              <w:bottom w:type="dxa" w:w="100"/>
              <w:right w:type="dxa" w:w="120"/>
            </w:tcMar>
            <w:vAlign w:val="center"/>
          </w:tcPr>
          <w:p>
            <w:r>
              <w:rPr>
                <w:b w:val="false"/>
                <w:bCs w:val="false"/>
                <w:color w:val="10241E"/>
                <w:sz w:val="20"/>
                <w:szCs w:val="20"/>
              </w:rPr>
              <w:t xml:space="preserve">Discharge Date</w:t>
            </w:r>
          </w:p>
        </w:tc>
        <w:tc>
          <w:tcPr>
            <w:tcW w:type="dxa" w:w="1600"/>
            <w:tcMar>
              <w:top w:type="dxa" w:w="100"/>
              <w:left w:type="dxa" w:w="120"/>
              <w:bottom w:type="dxa" w:w="100"/>
              <w:right w:type="dxa" w:w="120"/>
            </w:tcMar>
            <w:vAlign w:val="center"/>
          </w:tcPr>
          <w:p>
            <w:r>
              <w:rPr>
                <w:b w:val="false"/>
                <w:bCs w:val="false"/>
                <w:color w:val="10241E"/>
                <w:sz w:val="20"/>
                <w:szCs w:val="20"/>
              </w:rPr>
              <w:t xml:space="preserve">Date</w:t>
            </w:r>
          </w:p>
        </w:tc>
        <w:tc>
          <w:tcPr>
            <w:tcW w:type="dxa" w:w="5900"/>
            <w:tcMar>
              <w:top w:type="dxa" w:w="100"/>
              <w:left w:type="dxa" w:w="120"/>
              <w:bottom w:type="dxa" w:w="100"/>
              <w:right w:type="dxa" w:w="120"/>
            </w:tcMar>
            <w:vAlign w:val="center"/>
          </w:tcPr>
          <w:p>
            <w:r>
              <w:rPr>
                <w:b w:val="false"/>
                <w:bCs w:val="false"/>
                <w:color w:val="10241E"/>
                <w:sz w:val="20"/>
                <w:szCs w:val="20"/>
              </w:rPr>
              <w:t xml:space="preserve">Date the patient was discharged</w:t>
            </w:r>
          </w:p>
        </w:tc>
      </w:tr>
      <w:tr>
        <w:tc>
          <w:tcPr>
            <w:tcW w:type="dxa" w:w="2200"/>
            <w:shd w:fill="F4F7F5" w:val="clear"/>
            <w:tcMar>
              <w:top w:type="dxa" w:w="100"/>
              <w:left w:type="dxa" w:w="120"/>
              <w:bottom w:type="dxa" w:w="100"/>
              <w:right w:type="dxa" w:w="120"/>
            </w:tcMar>
            <w:vAlign w:val="center"/>
          </w:tcPr>
          <w:p>
            <w:r>
              <w:rPr>
                <w:b w:val="false"/>
                <w:bCs w:val="false"/>
                <w:color w:val="10241E"/>
                <w:sz w:val="20"/>
                <w:szCs w:val="20"/>
              </w:rPr>
              <w:t xml:space="preserve">Medication</w:t>
            </w:r>
          </w:p>
        </w:tc>
        <w:tc>
          <w:tcPr>
            <w:tcW w:type="dxa" w:w="1600"/>
            <w:shd w:fill="F4F7F5" w:val="clear"/>
            <w:tcMar>
              <w:top w:type="dxa" w:w="100"/>
              <w:left w:type="dxa" w:w="120"/>
              <w:bottom w:type="dxa" w:w="100"/>
              <w:right w:type="dxa" w:w="120"/>
            </w:tcMar>
            <w:vAlign w:val="center"/>
          </w:tcPr>
          <w:p>
            <w:r>
              <w:rPr>
                <w:b w:val="false"/>
                <w:bCs w:val="false"/>
                <w:color w:val="10241E"/>
                <w:sz w:val="20"/>
                <w:szCs w:val="20"/>
              </w:rPr>
              <w:t xml:space="preserve">Category</w:t>
            </w:r>
          </w:p>
        </w:tc>
        <w:tc>
          <w:tcPr>
            <w:tcW w:type="dxa" w:w="5900"/>
            <w:shd w:fill="F4F7F5" w:val="clear"/>
            <w:tcMar>
              <w:top w:type="dxa" w:w="100"/>
              <w:left w:type="dxa" w:w="120"/>
              <w:bottom w:type="dxa" w:w="100"/>
              <w:right w:type="dxa" w:w="120"/>
            </w:tcMar>
            <w:vAlign w:val="center"/>
          </w:tcPr>
          <w:p>
            <w:r>
              <w:rPr>
                <w:b w:val="false"/>
                <w:bCs w:val="false"/>
                <w:color w:val="10241E"/>
                <w:sz w:val="20"/>
                <w:szCs w:val="20"/>
              </w:rPr>
              <w:t xml:space="preserve">Prescribed medication: Paracetamol, Ibuprofen, Aspirin, Penicillin, or Lipitor</w:t>
            </w:r>
          </w:p>
        </w:tc>
      </w:tr>
      <w:tr>
        <w:tc>
          <w:tcPr>
            <w:tcW w:type="dxa" w:w="2200"/>
            <w:tcMar>
              <w:top w:type="dxa" w:w="100"/>
              <w:left w:type="dxa" w:w="120"/>
              <w:bottom w:type="dxa" w:w="100"/>
              <w:right w:type="dxa" w:w="120"/>
            </w:tcMar>
            <w:vAlign w:val="center"/>
          </w:tcPr>
          <w:p>
            <w:r>
              <w:rPr>
                <w:b w:val="false"/>
                <w:bCs w:val="false"/>
                <w:color w:val="10241E"/>
                <w:sz w:val="20"/>
                <w:szCs w:val="20"/>
              </w:rPr>
              <w:t xml:space="preserve">Test Results</w:t>
            </w:r>
          </w:p>
        </w:tc>
        <w:tc>
          <w:tcPr>
            <w:tcW w:type="dxa" w:w="1600"/>
            <w:tcMar>
              <w:top w:type="dxa" w:w="100"/>
              <w:left w:type="dxa" w:w="120"/>
              <w:bottom w:type="dxa" w:w="100"/>
              <w:right w:type="dxa" w:w="120"/>
            </w:tcMar>
            <w:vAlign w:val="center"/>
          </w:tcPr>
          <w:p>
            <w:r>
              <w:rPr>
                <w:b w:val="false"/>
                <w:bCs w:val="false"/>
                <w:color w:val="10241E"/>
                <w:sz w:val="20"/>
                <w:szCs w:val="20"/>
              </w:rPr>
              <w:t xml:space="preserve">Category</w:t>
            </w:r>
          </w:p>
        </w:tc>
        <w:tc>
          <w:tcPr>
            <w:tcW w:type="dxa" w:w="5900"/>
            <w:tcMar>
              <w:top w:type="dxa" w:w="100"/>
              <w:left w:type="dxa" w:w="120"/>
              <w:bottom w:type="dxa" w:w="100"/>
              <w:right w:type="dxa" w:w="120"/>
            </w:tcMar>
            <w:vAlign w:val="center"/>
          </w:tcPr>
          <w:p>
            <w:r>
              <w:rPr>
                <w:b w:val="false"/>
                <w:bCs w:val="false"/>
                <w:color w:val="10241E"/>
                <w:sz w:val="20"/>
                <w:szCs w:val="20"/>
              </w:rPr>
              <w:t xml:space="preserve">Normal, Abnormal, or Inconclusive</w:t>
            </w:r>
          </w:p>
        </w:tc>
      </w:tr>
    </w:tbl>
    <w:p>
      <w:pPr>
        <w:spacing w:before="240"/>
      </w:pPr>
    </w:p>
    <w:p>
      <w:pPr>
        <w:pStyle w:val="Heading1"/>
        <w:spacing w:after="160" w:before="360"/>
      </w:pPr>
      <w:r>
        <w:rPr>
          <w:b/>
          <w:bCs/>
          <w:color w:val="0B6E4F"/>
          <w:sz w:val="30"/>
          <w:szCs w:val="30"/>
        </w:rPr>
        <w:t xml:space="preserve">Data Cleaning and Preparation</w:t>
      </w:r>
    </w:p>
    <w:p>
      <w:pPr>
        <w:spacing w:after="160" w:line="300"/>
      </w:pPr>
      <w:r>
        <w:rPr>
          <w:color w:val="10241E"/>
          <w:sz w:val="22"/>
          <w:szCs w:val="22"/>
        </w:rPr>
        <w:t xml:space="preserve">The following cleaning steps were applied programmatically in Notebook/healthcare_eda.py, in order:</w:t>
      </w:r>
    </w:p>
    <w:p>
      <w:pPr>
        <w:pStyle w:val="ListParagraph"/>
        <w:numPr>
          <w:ilvl w:val="0"/>
          <w:numId w:val="1"/>
        </w:numPr>
        <w:spacing w:after="80" w:line="280"/>
      </w:pPr>
      <w:r>
        <w:rPr>
          <w:color w:val="10241E"/>
          <w:sz w:val="22"/>
          <w:szCs w:val="22"/>
        </w:rPr>
        <w:t xml:space="preserve">Standardized patient name capitalization to Title Case (source names had inconsistent mixed casing, e.g. 'BobBY JacksOn').</w:t>
      </w:r>
    </w:p>
    <w:p>
      <w:pPr>
        <w:pStyle w:val="ListParagraph"/>
        <w:numPr>
          <w:ilvl w:val="0"/>
          <w:numId w:val="1"/>
        </w:numPr>
        <w:spacing w:after="80" w:line="280"/>
      </w:pPr>
      <w:r>
        <w:rPr>
          <w:color w:val="10241E"/>
          <w:sz w:val="22"/>
          <w:szCs w:val="22"/>
        </w:rPr>
        <w:t xml:space="preserve">Stripped leading/trailing whitespace from all text columns.</w:t>
      </w:r>
    </w:p>
    <w:p>
      <w:pPr>
        <w:pStyle w:val="ListParagraph"/>
        <w:numPr>
          <w:ilvl w:val="0"/>
          <w:numId w:val="1"/>
        </w:numPr>
        <w:spacing w:after="80" w:line="280"/>
      </w:pPr>
      <w:r>
        <w:rPr>
          <w:color w:val="10241E"/>
          <w:sz w:val="22"/>
          <w:szCs w:val="22"/>
        </w:rPr>
        <w:t xml:space="preserve">Converted 'Date of Admission' and 'Discharge Date' from text to proper datetime values.</w:t>
      </w:r>
    </w:p>
    <w:p>
      <w:pPr>
        <w:pStyle w:val="ListParagraph"/>
        <w:numPr>
          <w:ilvl w:val="0"/>
          <w:numId w:val="1"/>
        </w:numPr>
        <w:spacing w:after="80" w:line="280"/>
      </w:pPr>
      <w:r>
        <w:rPr>
          <w:color w:val="10241E"/>
          <w:sz w:val="22"/>
          <w:szCs w:val="22"/>
        </w:rPr>
        <w:t xml:space="preserve">Removed 534 fully duplicated records.</w:t>
      </w:r>
    </w:p>
    <w:p>
      <w:pPr>
        <w:pStyle w:val="ListParagraph"/>
        <w:numPr>
          <w:ilvl w:val="0"/>
          <w:numId w:val="1"/>
        </w:numPr>
        <w:spacing w:after="80" w:line="280"/>
      </w:pPr>
      <w:r>
        <w:rPr>
          <w:color w:val="10241E"/>
          <w:sz w:val="22"/>
          <w:szCs w:val="22"/>
        </w:rPr>
        <w:t xml:space="preserve">Removed 108 records with a negative Billing Amount, which are not valid charges (106 remained after duplicate removal).</w:t>
      </w:r>
    </w:p>
    <w:p>
      <w:pPr>
        <w:pStyle w:val="ListParagraph"/>
        <w:numPr>
          <w:ilvl w:val="0"/>
          <w:numId w:val="1"/>
        </w:numPr>
        <w:spacing w:after="80" w:line="280"/>
      </w:pPr>
      <w:r>
        <w:rPr>
          <w:color w:val="10241E"/>
          <w:sz w:val="22"/>
          <w:szCs w:val="22"/>
        </w:rPr>
        <w:t xml:space="preserve">Derived a new 'Length of Stay' field (in days) from the admission and discharge dates.</w:t>
      </w:r>
    </w:p>
    <w:p>
      <w:pPr>
        <w:pStyle w:val="ListParagraph"/>
        <w:numPr>
          <w:ilvl w:val="0"/>
          <w:numId w:val="1"/>
        </w:numPr>
        <w:spacing w:after="80" w:line="280"/>
      </w:pPr>
      <w:r>
        <w:rPr>
          <w:color w:val="10241E"/>
          <w:sz w:val="22"/>
          <w:szCs w:val="22"/>
        </w:rPr>
        <w:t xml:space="preserve">Derived 'Admission Year', 'Admission Month', and 'Admission Year-Month' fields to support time-based analysis.</w:t>
      </w:r>
    </w:p>
    <w:p>
      <w:pPr>
        <w:pStyle w:val="ListParagraph"/>
        <w:numPr>
          <w:ilvl w:val="0"/>
          <w:numId w:val="1"/>
        </w:numPr>
        <w:spacing w:after="80" w:line="280"/>
      </w:pPr>
      <w:r>
        <w:rPr>
          <w:color w:val="10241E"/>
          <w:sz w:val="22"/>
          <w:szCs w:val="22"/>
        </w:rPr>
        <w:t xml:space="preserve">Checked Billing Amount for outliers using the IQR method; no statistical outliers were found, so no values were removed on this basis — high charges in the dataset are plausible healthcare costs.</w:t>
      </w:r>
    </w:p>
    <w:p>
      <w:pPr>
        <w:spacing w:after="160" w:line="300"/>
      </w:pPr>
      <w:r>
        <w:rPr>
          <w:color w:val="10241E"/>
          <w:sz w:val="22"/>
          <w:szCs w:val="22"/>
        </w:rPr>
        <w:t xml:space="preserve">After cleaning, the dataset contains 54,860 records across 19 columns (15 original + 4 derived), saved to Data/cleaned_healthcare_data.csv.</w:t>
      </w:r>
    </w:p>
    <w:p>
      <w:pPr>
        <w:pStyle w:val="Heading1"/>
        <w:spacing w:after="160" w:before="360"/>
      </w:pPr>
      <w:r>
        <w:rPr>
          <w:b/>
          <w:bCs/>
          <w:color w:val="0B6E4F"/>
          <w:sz w:val="30"/>
          <w:szCs w:val="30"/>
        </w:rPr>
        <w:t xml:space="preserve">Exploratory Data Analysis</w:t>
      </w:r>
    </w:p>
    <w:p>
      <w:pPr>
        <w:spacing w:after="160" w:line="300"/>
      </w:pPr>
      <w:r>
        <w:rPr>
          <w:color w:val="10241E"/>
          <w:sz w:val="22"/>
          <w:szCs w:val="22"/>
        </w:rPr>
        <w:t xml:space="preserve">Fifteen charts were generated to explore patient demographics, medical conditions, billing, admissions, and outcomes. The most relevant charts are reproduced below; the complete set is available in the Visualization/ folder.</w:t>
      </w:r>
    </w:p>
    <w:p>
      <w:pPr>
        <w:pStyle w:val="Heading2"/>
        <w:spacing w:after="120" w:before="260"/>
      </w:pPr>
      <w:r>
        <w:rPr>
          <w:b/>
          <w:bCs/>
          <w:color w:val="10241E"/>
          <w:sz w:val="24"/>
          <w:szCs w:val="24"/>
        </w:rPr>
        <w:t xml:space="preserve">Patient Age Distribution</w:t>
      </w:r>
    </w:p>
    <w:p>
      <w:pPr>
        <w:spacing w:after="40" w:before="120"/>
        <w:jc w:val="center"/>
      </w:pPr>
      <w:r>
        <w:drawing>
          <wp:inline distT="0" distB="0" distL="0" distR="0">
            <wp:extent cx="4381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762250"/>
                    </a:xfrm>
                    <a:prstGeom prst="rect">
                      <a:avLst/>
                    </a:prstGeom>
                  </pic:spPr>
                </pic:pic>
              </a:graphicData>
            </a:graphic>
          </wp:inline>
        </w:drawing>
      </w:r>
    </w:p>
    <w:p>
      <w:pPr>
        <w:spacing w:after="240" w:before="60"/>
        <w:jc w:val="center"/>
      </w:pPr>
      <w:r>
        <w:rPr>
          <w:i/>
          <w:iCs/>
          <w:color w:val="3C5049"/>
          <w:sz w:val="18"/>
          <w:szCs w:val="18"/>
        </w:rPr>
        <w:t xml:space="preserve">Figure 1. Patient ages range from 13 to 89, with a broad, roughly uniform spread across adult age groups (mean age 51.5 years).</w:t>
      </w:r>
    </w:p>
    <w:p>
      <w:pPr>
        <w:pStyle w:val="Heading2"/>
        <w:spacing w:after="120" w:before="260"/>
      </w:pPr>
      <w:r>
        <w:rPr>
          <w:b/>
          <w:bCs/>
          <w:color w:val="10241E"/>
          <w:sz w:val="24"/>
          <w:szCs w:val="24"/>
        </w:rPr>
        <w:t xml:space="preserve">Gender Distribution</w:t>
      </w:r>
    </w:p>
    <w:p>
      <w:pPr>
        <w:spacing w:after="40" w:before="120"/>
        <w:jc w:val="center"/>
      </w:pPr>
      <w:r>
        <w:drawing>
          <wp:inline distT="0" distB="0" distL="0" distR="0">
            <wp:extent cx="3238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38500" cy="3238500"/>
                    </a:xfrm>
                    <a:prstGeom prst="rect">
                      <a:avLst/>
                    </a:prstGeom>
                  </pic:spPr>
                </pic:pic>
              </a:graphicData>
            </a:graphic>
          </wp:inline>
        </w:drawing>
      </w:r>
    </w:p>
    <w:p>
      <w:pPr>
        <w:spacing w:after="240" w:before="60"/>
        <w:jc w:val="center"/>
      </w:pPr>
      <w:r>
        <w:rPr>
          <w:i/>
          <w:iCs/>
          <w:color w:val="3C5049"/>
          <w:sz w:val="18"/>
          <w:szCs w:val="18"/>
        </w:rPr>
        <w:t xml:space="preserve">Figure 2. The patient population is nearly evenly split: 50.0% male, 50.0% female.</w:t>
      </w:r>
    </w:p>
    <w:p>
      <w:pPr>
        <w:pStyle w:val="Heading2"/>
        <w:spacing w:after="120" w:before="260"/>
      </w:pPr>
      <w:r>
        <w:rPr>
          <w:b/>
          <w:bCs/>
          <w:color w:val="10241E"/>
          <w:sz w:val="24"/>
          <w:szCs w:val="24"/>
        </w:rPr>
        <w:t xml:space="preserve">Medical Condition Frequency</w:t>
      </w:r>
    </w:p>
    <w:p>
      <w:pPr>
        <w:spacing w:after="40" w:before="120"/>
        <w:jc w:val="center"/>
      </w:pPr>
      <w:r>
        <w:drawing>
          <wp:inline distT="0" distB="0" distL="0" distR="0">
            <wp:extent cx="4381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2476500"/>
                    </a:xfrm>
                    <a:prstGeom prst="rect">
                      <a:avLst/>
                    </a:prstGeom>
                  </pic:spPr>
                </pic:pic>
              </a:graphicData>
            </a:graphic>
          </wp:inline>
        </w:drawing>
      </w:r>
    </w:p>
    <w:p>
      <w:pPr>
        <w:spacing w:after="240" w:before="60"/>
        <w:jc w:val="center"/>
      </w:pPr>
      <w:r>
        <w:rPr>
          <w:i/>
          <w:iCs/>
          <w:color w:val="3C5049"/>
          <w:sz w:val="18"/>
          <w:szCs w:val="18"/>
        </w:rPr>
        <w:t xml:space="preserve">Figure 3. Case volume is well balanced across the six recorded conditions, each between 9,077 and 9,207 patients.</w:t>
      </w:r>
    </w:p>
    <w:p>
      <w:pPr>
        <w:pStyle w:val="Heading2"/>
        <w:spacing w:after="120" w:before="260"/>
      </w:pPr>
      <w:r>
        <w:rPr>
          <w:b/>
          <w:bCs/>
          <w:color w:val="10241E"/>
          <w:sz w:val="24"/>
          <w:szCs w:val="24"/>
        </w:rPr>
        <w:t xml:space="preserve">Billing Amount Distribution</w:t>
      </w:r>
    </w:p>
    <w:p>
      <w:pPr>
        <w:spacing w:after="40" w:before="120"/>
        <w:jc w:val="center"/>
      </w:pPr>
      <w:r>
        <w:drawing>
          <wp:inline distT="0" distB="0" distL="0" distR="0">
            <wp:extent cx="4381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2762250"/>
                    </a:xfrm>
                    <a:prstGeom prst="rect">
                      <a:avLst/>
                    </a:prstGeom>
                  </pic:spPr>
                </pic:pic>
              </a:graphicData>
            </a:graphic>
          </wp:inline>
        </w:drawing>
      </w:r>
    </w:p>
    <w:p>
      <w:pPr>
        <w:spacing w:after="240" w:before="60"/>
        <w:jc w:val="center"/>
      </w:pPr>
      <w:r>
        <w:rPr>
          <w:i/>
          <w:iCs/>
          <w:color w:val="3C5049"/>
          <w:sz w:val="18"/>
          <w:szCs w:val="18"/>
        </w:rPr>
        <w:t xml:space="preserve">Figure 4. Billing amounts are broadly, near-uniformly distributed from roughly $9 to $52,764, with no single dominant cost tier.</w:t>
      </w:r>
    </w:p>
    <w:p>
      <w:pPr>
        <w:pStyle w:val="Heading2"/>
        <w:spacing w:after="120" w:before="260"/>
      </w:pPr>
      <w:r>
        <w:rPr>
          <w:b/>
          <w:bCs/>
          <w:color w:val="10241E"/>
          <w:sz w:val="24"/>
          <w:szCs w:val="24"/>
        </w:rPr>
        <w:t xml:space="preserve">Average Billing by Medical Condition</w:t>
      </w:r>
    </w:p>
    <w:p>
      <w:pPr>
        <w:spacing w:after="40" w:before="120"/>
        <w:jc w:val="center"/>
      </w:pPr>
      <w:r>
        <w:drawing>
          <wp:inline distT="0" distB="0" distL="0" distR="0">
            <wp:extent cx="4381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2476500"/>
                    </a:xfrm>
                    <a:prstGeom prst="rect">
                      <a:avLst/>
                    </a:prstGeom>
                  </pic:spPr>
                </pic:pic>
              </a:graphicData>
            </a:graphic>
          </wp:inline>
        </w:drawing>
      </w:r>
    </w:p>
    <w:p>
      <w:pPr>
        <w:spacing w:after="240" w:before="60"/>
        <w:jc w:val="center"/>
      </w:pPr>
      <w:r>
        <w:rPr>
          <w:i/>
          <w:iCs/>
          <w:color w:val="3C5049"/>
          <w:sz w:val="18"/>
          <w:szCs w:val="18"/>
        </w:rPr>
        <w:t xml:space="preserve">Figure 5. Average billing is similar across conditions ($25,206-$25,859), indicating condition alone does not strongly predict cost in this dataset.</w:t>
      </w:r>
    </w:p>
    <w:p>
      <w:pPr>
        <w:pStyle w:val="Heading2"/>
        <w:spacing w:after="120" w:before="260"/>
      </w:pPr>
      <w:r>
        <w:rPr>
          <w:b/>
          <w:bCs/>
          <w:color w:val="10241E"/>
          <w:sz w:val="24"/>
          <w:szCs w:val="24"/>
        </w:rPr>
        <w:t xml:space="preserve">Monthly Admissions Trend</w:t>
      </w:r>
    </w:p>
    <w:p>
      <w:pPr>
        <w:spacing w:after="40" w:before="120"/>
        <w:jc w:val="center"/>
      </w:pPr>
      <w:r>
        <w:drawing>
          <wp:inline distT="0" distB="0" distL="0" distR="0">
            <wp:extent cx="4762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190750"/>
                    </a:xfrm>
                    <a:prstGeom prst="rect">
                      <a:avLst/>
                    </a:prstGeom>
                  </pic:spPr>
                </pic:pic>
              </a:graphicData>
            </a:graphic>
          </wp:inline>
        </w:drawing>
      </w:r>
    </w:p>
    <w:p>
      <w:pPr>
        <w:spacing w:after="240" w:before="60"/>
        <w:jc w:val="center"/>
      </w:pPr>
      <w:r>
        <w:rPr>
          <w:i/>
          <w:iCs/>
          <w:color w:val="3C5049"/>
          <w:sz w:val="18"/>
          <w:szCs w:val="18"/>
        </w:rPr>
        <w:t xml:space="preserve">Figure 6. Admission volume has remained relatively stable month-over-month from 2019 through early 2024, with no strong seasonal pattern.</w:t>
      </w:r>
    </w:p>
    <w:p>
      <w:pPr>
        <w:pStyle w:val="Heading2"/>
        <w:spacing w:after="120" w:before="260"/>
      </w:pPr>
      <w:r>
        <w:rPr>
          <w:b/>
          <w:bCs/>
          <w:color w:val="10241E"/>
          <w:sz w:val="24"/>
          <w:szCs w:val="24"/>
        </w:rPr>
        <w:t xml:space="preserve">Correlation Between Numeric Fields</w:t>
      </w:r>
    </w:p>
    <w:p>
      <w:pPr>
        <w:spacing w:after="40" w:before="120"/>
        <w:jc w:val="center"/>
      </w:pPr>
      <w:r>
        <w:drawing>
          <wp:inline distT="0" distB="0" distL="0" distR="0">
            <wp:extent cx="3238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38500" cy="2762250"/>
                    </a:xfrm>
                    <a:prstGeom prst="rect">
                      <a:avLst/>
                    </a:prstGeom>
                  </pic:spPr>
                </pic:pic>
              </a:graphicData>
            </a:graphic>
          </wp:inline>
        </w:drawing>
      </w:r>
    </w:p>
    <w:p>
      <w:pPr>
        <w:spacing w:after="240" w:before="60"/>
        <w:jc w:val="center"/>
      </w:pPr>
      <w:r>
        <w:rPr>
          <w:i/>
          <w:iCs/>
          <w:color w:val="3C5049"/>
          <w:sz w:val="18"/>
          <w:szCs w:val="18"/>
        </w:rPr>
        <w:t xml:space="preserve">Figure 7. Age, Billing Amount, Room Number, and Length of Stay show negligible correlation with one another (all values near 0), suggesting these fields vary independently in the dataset.</w:t>
      </w:r>
    </w:p>
    <w:p>
      <w:pPr>
        <w:pStyle w:val="Heading2"/>
        <w:spacing w:after="120" w:before="260"/>
      </w:pPr>
      <w:r>
        <w:rPr>
          <w:b/>
          <w:bCs/>
          <w:color w:val="10241E"/>
          <w:sz w:val="24"/>
          <w:szCs w:val="24"/>
        </w:rPr>
        <w:t xml:space="preserve">Length of Hospital Stay</w:t>
      </w:r>
    </w:p>
    <w:p>
      <w:pPr>
        <w:spacing w:after="40" w:before="120"/>
        <w:jc w:val="center"/>
      </w:pPr>
      <w:r>
        <w:drawing>
          <wp:inline distT="0" distB="0" distL="0" distR="0">
            <wp:extent cx="4381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81500" cy="2762250"/>
                    </a:xfrm>
                    <a:prstGeom prst="rect">
                      <a:avLst/>
                    </a:prstGeom>
                  </pic:spPr>
                </pic:pic>
              </a:graphicData>
            </a:graphic>
          </wp:inline>
        </w:drawing>
      </w:r>
    </w:p>
    <w:p>
      <w:pPr>
        <w:spacing w:after="240" w:before="60"/>
        <w:jc w:val="center"/>
      </w:pPr>
      <w:r>
        <w:rPr>
          <w:i/>
          <w:iCs/>
          <w:color w:val="3C5049"/>
          <w:sz w:val="18"/>
          <w:szCs w:val="18"/>
        </w:rPr>
        <w:t xml:space="preserve">Figure 8. Length of stay ranges from 1 to 30 days and is roughly uniformly distributed, averaging 15.5 days.</w:t>
      </w:r>
    </w:p>
    <w:p>
      <w:pPr>
        <w:pStyle w:val="Heading1"/>
        <w:spacing w:after="160" w:before="360"/>
      </w:pPr>
      <w:r>
        <w:rPr>
          <w:b/>
          <w:bCs/>
          <w:color w:val="0B6E4F"/>
          <w:sz w:val="30"/>
          <w:szCs w:val="30"/>
        </w:rPr>
        <w:t xml:space="preserve">Key Findings</w:t>
      </w:r>
    </w:p>
    <w:p>
      <w:pPr>
        <w:pStyle w:val="ListParagraph"/>
        <w:numPr>
          <w:ilvl w:val="0"/>
          <w:numId w:val="1"/>
        </w:numPr>
        <w:spacing w:after="80" w:line="280"/>
      </w:pPr>
      <w:r>
        <w:rPr>
          <w:color w:val="10241E"/>
          <w:sz w:val="22"/>
          <w:szCs w:val="22"/>
        </w:rPr>
        <w:t xml:space="preserve">The dataset covers 54,860 valid admissions after cleaning, spanning May 2019 to May 2024.</w:t>
      </w:r>
    </w:p>
    <w:p>
      <w:pPr>
        <w:pStyle w:val="ListParagraph"/>
        <w:numPr>
          <w:ilvl w:val="0"/>
          <w:numId w:val="1"/>
        </w:numPr>
        <w:spacing w:after="80" w:line="280"/>
      </w:pPr>
      <w:r>
        <w:rPr>
          <w:color w:val="10241E"/>
          <w:sz w:val="22"/>
          <w:szCs w:val="22"/>
        </w:rPr>
        <w:t xml:space="preserve">Patient gender is almost perfectly balanced (27,449 male vs. 27,411 female).</w:t>
      </w:r>
    </w:p>
    <w:p>
      <w:pPr>
        <w:pStyle w:val="ListParagraph"/>
        <w:numPr>
          <w:ilvl w:val="0"/>
          <w:numId w:val="1"/>
        </w:numPr>
        <w:spacing w:after="80" w:line="280"/>
      </w:pPr>
      <w:r>
        <w:rPr>
          <w:color w:val="10241E"/>
          <w:sz w:val="22"/>
          <w:szCs w:val="22"/>
        </w:rPr>
        <w:t xml:space="preserve">All six medical conditions (Arthritis, Diabetes, Hypertension, Obesity, Cancer, Asthma) occur at nearly equal frequency, each representing 16.5-16.8% of admissions.</w:t>
      </w:r>
    </w:p>
    <w:p>
      <w:pPr>
        <w:pStyle w:val="ListParagraph"/>
        <w:numPr>
          <w:ilvl w:val="0"/>
          <w:numId w:val="1"/>
        </w:numPr>
        <w:spacing w:after="80" w:line="280"/>
      </w:pPr>
      <w:r>
        <w:rPr>
          <w:color w:val="10241E"/>
          <w:sz w:val="22"/>
          <w:szCs w:val="22"/>
        </w:rPr>
        <w:t xml:space="preserve">Average billing per admission is $25,594.63; total billing across all cleaned records is approximately $1.40 billion.</w:t>
      </w:r>
    </w:p>
    <w:p>
      <w:pPr>
        <w:pStyle w:val="ListParagraph"/>
        <w:numPr>
          <w:ilvl w:val="0"/>
          <w:numId w:val="1"/>
        </w:numPr>
        <w:spacing w:after="80" w:line="280"/>
      </w:pPr>
      <w:r>
        <w:rPr>
          <w:color w:val="10241E"/>
          <w:sz w:val="22"/>
          <w:szCs w:val="22"/>
        </w:rPr>
        <w:t xml:space="preserve">Obesity has the highest average billing ($25,859.22) and Cancer the lowest ($25,205.92) among the six conditions — a gap of only about 2.6%.</w:t>
      </w:r>
    </w:p>
    <w:p>
      <w:pPr>
        <w:pStyle w:val="ListParagraph"/>
        <w:numPr>
          <w:ilvl w:val="0"/>
          <w:numId w:val="1"/>
        </w:numPr>
        <w:spacing w:after="80" w:line="280"/>
      </w:pPr>
      <w:r>
        <w:rPr>
          <w:color w:val="10241E"/>
          <w:sz w:val="22"/>
          <w:szCs w:val="22"/>
        </w:rPr>
        <w:t xml:space="preserve">Admission type is evenly split between Elective (18,437), Urgent (18,353), and Emergency (18,070) cases.</w:t>
      </w:r>
    </w:p>
    <w:p>
      <w:pPr>
        <w:pStyle w:val="ListParagraph"/>
        <w:numPr>
          <w:ilvl w:val="0"/>
          <w:numId w:val="1"/>
        </w:numPr>
        <w:spacing w:after="80" w:line="280"/>
      </w:pPr>
      <w:r>
        <w:rPr>
          <w:color w:val="10241E"/>
          <w:sz w:val="22"/>
          <w:szCs w:val="22"/>
        </w:rPr>
        <w:t xml:space="preserve">Test results are almost evenly divided: Abnormal 33.5%, Normal 33.4%, Inconclusive 33.1%.</w:t>
      </w:r>
    </w:p>
    <w:p>
      <w:pPr>
        <w:pStyle w:val="ListParagraph"/>
        <w:numPr>
          <w:ilvl w:val="0"/>
          <w:numId w:val="1"/>
        </w:numPr>
        <w:spacing w:after="80" w:line="280"/>
      </w:pPr>
      <w:r>
        <w:rPr>
          <w:color w:val="10241E"/>
          <w:sz w:val="22"/>
          <w:szCs w:val="22"/>
        </w:rPr>
        <w:t xml:space="preserve">Average length of stay is 15.5 days, with Asthma patients staying marginally longer (15.7 days) than average.</w:t>
      </w:r>
    </w:p>
    <w:p>
      <w:pPr>
        <w:pStyle w:val="ListParagraph"/>
        <w:numPr>
          <w:ilvl w:val="0"/>
          <w:numId w:val="1"/>
        </w:numPr>
        <w:spacing w:after="80" w:line="280"/>
      </w:pPr>
      <w:r>
        <w:rPr>
          <w:color w:val="10241E"/>
          <w:sz w:val="22"/>
          <w:szCs w:val="22"/>
        </w:rPr>
        <w:t xml:space="preserve">Insurance coverage is fairly evenly distributed across the five providers, led by Cigna (11,115 patients) and followed closely by Medicare, UnitedHealthcare, Blue Cross, and Aetna.</w:t>
      </w:r>
    </w:p>
    <w:p>
      <w:pPr>
        <w:pStyle w:val="ListParagraph"/>
        <w:numPr>
          <w:ilvl w:val="0"/>
          <w:numId w:val="1"/>
        </w:numPr>
        <w:spacing w:after="80" w:line="280"/>
      </w:pPr>
      <w:r>
        <w:rPr>
          <w:color w:val="10241E"/>
          <w:sz w:val="22"/>
          <w:szCs w:val="22"/>
        </w:rPr>
        <w:t xml:space="preserve">Numeric fields (Age, Billing Amount, Room Number, Length of Stay) show essentially no linear correlation with one another (all correlation coefficients within ±0.01).</w:t>
      </w:r>
    </w:p>
    <w:p>
      <w:pPr>
        <w:pStyle w:val="Heading1"/>
        <w:spacing w:after="160" w:before="360"/>
      </w:pPr>
      <w:r>
        <w:rPr>
          <w:b/>
          <w:bCs/>
          <w:color w:val="0B6E4F"/>
          <w:sz w:val="30"/>
          <w:szCs w:val="30"/>
        </w:rPr>
        <w:t xml:space="preserve">Healthcare/Business Insights</w:t>
      </w:r>
    </w:p>
    <w:p>
      <w:pPr>
        <w:spacing w:after="160" w:line="300"/>
      </w:pPr>
      <w:r>
        <w:rPr>
          <w:color w:val="10241E"/>
          <w:sz w:val="22"/>
          <w:szCs w:val="22"/>
        </w:rPr>
        <w:t xml:space="preserve">Cost is not concentrated by condition. Because average billing varies by less than 3% across all six medical conditions, cost-containment or budgeting strategies built around 'high-cost conditions' would not be well supported by this dataset — instead, cost appears to vary independently of diagnosis.</w:t>
      </w:r>
    </w:p>
    <w:p>
      <w:pPr>
        <w:spacing w:after="160" w:line="300"/>
      </w:pPr>
      <w:r>
        <w:rPr>
          <w:color w:val="10241E"/>
          <w:sz w:val="22"/>
          <w:szCs w:val="22"/>
        </w:rPr>
        <w:t xml:space="preserve">Capacity planning can treat admission types as roughly equal in volume. With Elective, Urgent, and Emergency admissions each representing about one-third of cases, staffing and resource planning should not assume any one admission channel dominates demand.</w:t>
      </w:r>
    </w:p>
    <w:p>
      <w:pPr>
        <w:spacing w:after="160" w:line="300"/>
      </w:pPr>
      <w:r>
        <w:rPr>
          <w:color w:val="10241E"/>
          <w:sz w:val="22"/>
          <w:szCs w:val="22"/>
        </w:rPr>
        <w:t xml:space="preserve">Abnormal test result rates are consistent across conditions (32.5%-34.2%), so no single condition in this dataset shows a materially elevated rate of concerning diagnostic outcomes relative to the others.</w:t>
      </w:r>
    </w:p>
    <w:p>
      <w:pPr>
        <w:spacing w:after="160" w:line="300"/>
      </w:pPr>
      <w:r>
        <w:rPr>
          <w:color w:val="10241E"/>
          <w:sz w:val="22"/>
          <w:szCs w:val="22"/>
        </w:rPr>
        <w:t xml:space="preserve">A stable, multi-year admission volume (no strong seasonal or year-over-year growth pattern through the observed period) suggests demand in this dataset is consistent rather than cyclical, which can simplify long-range forecasting for the facilities represented.</w:t>
      </w:r>
    </w:p>
    <w:p>
      <w:pPr>
        <w:pStyle w:val="Heading1"/>
        <w:spacing w:after="160" w:before="360"/>
      </w:pPr>
      <w:r>
        <w:rPr>
          <w:b/>
          <w:bCs/>
          <w:color w:val="0B6E4F"/>
          <w:sz w:val="30"/>
          <w:szCs w:val="30"/>
        </w:rPr>
        <w:t xml:space="preserve">Dashboard Overview</w:t>
      </w:r>
    </w:p>
    <w:p>
      <w:pPr>
        <w:spacing w:after="160" w:line="300"/>
      </w:pPr>
      <w:r>
        <w:rPr>
          <w:color w:val="10241E"/>
          <w:sz w:val="22"/>
          <w:szCs w:val="22"/>
        </w:rPr>
        <w:t xml:space="preserve">An interactive, single-page HTML dashboard (Dashboard/healthcare_dashboard.html) accompanies this report. It requires no server or installation — it opens directly in any modern web browser.</w:t>
      </w:r>
    </w:p>
    <w:p>
      <w:pPr>
        <w:pStyle w:val="Heading2"/>
        <w:spacing w:after="120" w:before="260"/>
      </w:pPr>
      <w:r>
        <w:rPr>
          <w:b/>
          <w:bCs/>
          <w:color w:val="10241E"/>
          <w:sz w:val="24"/>
          <w:szCs w:val="24"/>
        </w:rPr>
        <w:t xml:space="preserve">Dashboard contents</w:t>
      </w:r>
    </w:p>
    <w:p>
      <w:pPr>
        <w:pStyle w:val="ListParagraph"/>
        <w:numPr>
          <w:ilvl w:val="0"/>
          <w:numId w:val="1"/>
        </w:numPr>
        <w:spacing w:after="80" w:line="280"/>
      </w:pPr>
      <w:r>
        <w:rPr>
          <w:color w:val="10241E"/>
          <w:sz w:val="22"/>
          <w:szCs w:val="22"/>
        </w:rPr>
        <w:t xml:space="preserve">Six KPI cards: Total Patients, Total Billing, Average Billing per Patient, Average Age, Average Length of Stay, and Normal Test Result Rate.</w:t>
      </w:r>
    </w:p>
    <w:p>
      <w:pPr>
        <w:pStyle w:val="ListParagraph"/>
        <w:numPr>
          <w:ilvl w:val="0"/>
          <w:numId w:val="1"/>
        </w:numPr>
        <w:spacing w:after="80" w:line="280"/>
      </w:pPr>
      <w:r>
        <w:rPr>
          <w:color w:val="10241E"/>
          <w:sz w:val="22"/>
          <w:szCs w:val="22"/>
        </w:rPr>
        <w:t xml:space="preserve">A medical-condition filter that dynamically recalculates the KPIs and several charts.</w:t>
      </w:r>
    </w:p>
    <w:p>
      <w:pPr>
        <w:pStyle w:val="ListParagraph"/>
        <w:numPr>
          <w:ilvl w:val="0"/>
          <w:numId w:val="1"/>
        </w:numPr>
        <w:spacing w:after="80" w:line="280"/>
      </w:pPr>
      <w:r>
        <w:rPr>
          <w:color w:val="10241E"/>
          <w:sz w:val="22"/>
          <w:szCs w:val="22"/>
        </w:rPr>
        <w:t xml:space="preserve">Twelve interactive Plotly.js charts covering demographics, conditions, billing, admissions, trends, medication, hospitals, and correlations.</w:t>
      </w:r>
    </w:p>
    <w:p>
      <w:pPr>
        <w:pStyle w:val="ListParagraph"/>
        <w:numPr>
          <w:ilvl w:val="0"/>
          <w:numId w:val="1"/>
        </w:numPr>
        <w:spacing w:after="80" w:line="280"/>
      </w:pPr>
      <w:r>
        <w:rPr>
          <w:color w:val="10241E"/>
          <w:sz w:val="22"/>
          <w:szCs w:val="22"/>
        </w:rPr>
        <w:t xml:space="preserve">Hover tooltips on every chart, and responsive layout for desktop and mobile viewing.</w:t>
      </w:r>
    </w:p>
    <w:p>
      <w:pPr>
        <w:spacing w:after="160" w:line="300"/>
      </w:pPr>
      <w:r>
        <w:rPr>
          <w:color w:val="10241E"/>
          <w:sz w:val="22"/>
          <w:szCs w:val="22"/>
        </w:rPr>
        <w:t xml:space="preserve">All figures shown on the dashboard are computed directly from the cleaned dataset and match the statistics reported in this document.</w:t>
      </w:r>
    </w:p>
    <w:p>
      <w:pPr>
        <w:pStyle w:val="Heading1"/>
        <w:spacing w:after="160" w:before="360"/>
      </w:pPr>
      <w:r>
        <w:rPr>
          <w:b/>
          <w:bCs/>
          <w:color w:val="0B6E4F"/>
          <w:sz w:val="30"/>
          <w:szCs w:val="30"/>
        </w:rPr>
        <w:t xml:space="preserve">SQL Analysis</w:t>
      </w:r>
    </w:p>
    <w:p>
      <w:pPr>
        <w:spacing w:after="160" w:line="300"/>
      </w:pPr>
      <w:r>
        <w:rPr>
          <w:color w:val="10241E"/>
          <w:sz w:val="22"/>
          <w:szCs w:val="22"/>
        </w:rPr>
        <w:t xml:space="preserve">Two SQL files accompany this project:</w:t>
      </w:r>
    </w:p>
    <w:p>
      <w:pPr>
        <w:pStyle w:val="ListParagraph"/>
        <w:numPr>
          <w:ilvl w:val="0"/>
          <w:numId w:val="1"/>
        </w:numPr>
        <w:spacing w:after="80" w:line="280"/>
      </w:pPr>
      <w:r>
        <w:rPr>
          <w:color w:val="10241E"/>
          <w:sz w:val="22"/>
          <w:szCs w:val="22"/>
        </w:rPr>
        <w:t xml:space="preserve">SQL/healthcare_database.sql — creates the 'patients' table schema matching the cleaned dataset, with indexes on the columns most frequently filtered or grouped in analysis.</w:t>
      </w:r>
    </w:p>
    <w:p>
      <w:pPr>
        <w:pStyle w:val="ListParagraph"/>
        <w:numPr>
          <w:ilvl w:val="0"/>
          <w:numId w:val="1"/>
        </w:numPr>
        <w:spacing w:after="80" w:line="280"/>
      </w:pPr>
      <w:r>
        <w:rPr>
          <w:color w:val="10241E"/>
          <w:sz w:val="22"/>
          <w:szCs w:val="22"/>
        </w:rPr>
        <w:t xml:space="preserve">SQL/healthcare_analysis.sql — contains more than 20 analytical queries organized into sections: basic exploration, demographics, medical condition analysis, admission/outcome analysis, financial analysis, hospital/provider analysis, time-based trend analysis, and medication analysis.</w:t>
      </w:r>
    </w:p>
    <w:p>
      <w:pPr>
        <w:spacing w:after="160" w:line="300"/>
      </w:pPr>
      <w:r>
        <w:rPr>
          <w:color w:val="10241E"/>
          <w:sz w:val="22"/>
          <w:szCs w:val="22"/>
        </w:rPr>
        <w:t xml:space="preserve">The query set demonstrates SELECT, WHERE, GROUP BY, ORDER BY, HAVING, CASE expressions, aggregate functions (COUNT, SUM, AVG, MIN, MAX), DISTINCT, subqueries, common table expressions (CTEs), and window functions (RANK, ROW_NUMBER, LAG). Example analyses include the average billing and length of stay per condition, the top 10 hospitals by patient volume, abnormal test result rate by condition, and a running total of monthly billing.</w:t>
      </w:r>
    </w:p>
    <w:p>
      <w:pPr>
        <w:pStyle w:val="Heading1"/>
        <w:spacing w:after="160" w:before="360"/>
      </w:pPr>
      <w:r>
        <w:rPr>
          <w:b/>
          <w:bCs/>
          <w:color w:val="0B6E4F"/>
          <w:sz w:val="30"/>
          <w:szCs w:val="30"/>
        </w:rPr>
        <w:t xml:space="preserve">Recommendations</w:t>
      </w:r>
    </w:p>
    <w:p>
      <w:pPr>
        <w:pStyle w:val="ListParagraph"/>
        <w:numPr>
          <w:ilvl w:val="0"/>
          <w:numId w:val="1"/>
        </w:numPr>
        <w:spacing w:after="80" w:line="280"/>
      </w:pPr>
      <w:r>
        <w:rPr>
          <w:color w:val="10241E"/>
          <w:sz w:val="22"/>
          <w:szCs w:val="22"/>
        </w:rPr>
        <w:t xml:space="preserve">Investigate billing methodology further: since average cost does not vary meaningfully by condition, confirm whether billing amounts in this dataset reflect a standardized or synthetic charge model, or whether real-world cost drivers (procedures, length of stay, complications) should be captured in future data collection.</w:t>
      </w:r>
    </w:p>
    <w:p>
      <w:pPr>
        <w:pStyle w:val="ListParagraph"/>
        <w:numPr>
          <w:ilvl w:val="0"/>
          <w:numId w:val="1"/>
        </w:numPr>
        <w:spacing w:after="80" w:line="280"/>
      </w:pPr>
      <w:r>
        <w:rPr>
          <w:color w:val="10241E"/>
          <w:sz w:val="22"/>
          <w:szCs w:val="22"/>
        </w:rPr>
        <w:t xml:space="preserve">Continue monitoring the roughly even three-way split of admission types to ensure Elective, Urgent, and Emergency capacity remains balanced as volumes evolve.</w:t>
      </w:r>
    </w:p>
    <w:p>
      <w:pPr>
        <w:pStyle w:val="ListParagraph"/>
        <w:numPr>
          <w:ilvl w:val="0"/>
          <w:numId w:val="1"/>
        </w:numPr>
        <w:spacing w:after="80" w:line="280"/>
      </w:pPr>
      <w:r>
        <w:rPr>
          <w:color w:val="10241E"/>
          <w:sz w:val="22"/>
          <w:szCs w:val="22"/>
        </w:rPr>
        <w:t xml:space="preserve">Track the Abnormal/Inconclusive test result rate over time; while currently balanced across conditions, any future divergence would be an early indicator worth escalating to clinical staff.</w:t>
      </w:r>
    </w:p>
    <w:p>
      <w:pPr>
        <w:pStyle w:val="ListParagraph"/>
        <w:numPr>
          <w:ilvl w:val="0"/>
          <w:numId w:val="1"/>
        </w:numPr>
        <w:spacing w:after="80" w:line="280"/>
      </w:pPr>
      <w:r>
        <w:rPr>
          <w:color w:val="10241E"/>
          <w:sz w:val="22"/>
          <w:szCs w:val="22"/>
        </w:rPr>
        <w:t xml:space="preserve">Use the interactive dashboard as a recurring reporting tool — refresh the underlying data on a regular cadence (e.g., monthly) and re-run the EDA script to keep KPIs current.</w:t>
      </w:r>
    </w:p>
    <w:p>
      <w:pPr>
        <w:pStyle w:val="Heading1"/>
        <w:spacing w:after="160" w:before="360"/>
      </w:pPr>
      <w:r>
        <w:rPr>
          <w:b/>
          <w:bCs/>
          <w:color w:val="0B6E4F"/>
          <w:sz w:val="30"/>
          <w:szCs w:val="30"/>
        </w:rPr>
        <w:t xml:space="preserve">Conclusion</w:t>
      </w:r>
    </w:p>
    <w:p>
      <w:pPr>
        <w:spacing w:after="160" w:line="300"/>
      </w:pPr>
      <w:r>
        <w:rPr>
          <w:color w:val="10241E"/>
          <w:sz w:val="22"/>
          <w:szCs w:val="22"/>
        </w:rPr>
        <w:t xml:space="preserve">This project delivered an end-to-end analysis of 54,860 cleaned healthcare admission records: rigorous data quality checks and cleaning, fifteen exploratory visualizations, more than twenty SQL analysis queries, an interactive filterable dashboard, and this written report. The analysis shows a healthcare dataset with balanced demographics, evenly distributed medical conditions and admission types, and billing/outcome patterns that do not vary sharply by condition. The complete project — data, code, SQL, dashboard, and report — is packaged for direct reuse or extension.</w:t>
      </w:r>
    </w:p>
    <w:p>
      <w:pPr>
        <w:pStyle w:val="Heading1"/>
        <w:spacing w:after="160" w:before="360"/>
      </w:pPr>
      <w:r>
        <w:rPr>
          <w:b/>
          <w:bCs/>
          <w:color w:val="0B6E4F"/>
          <w:sz w:val="30"/>
          <w:szCs w:val="30"/>
        </w:rPr>
        <w:t xml:space="preserve">Tools and Technologies Used</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200"/>
        <w:gridCol w:w="6500"/>
      </w:tblGrid>
      <w:tr>
        <w:trPr>
          <w:tblHeader/>
        </w:trPr>
        <w:tc>
          <w:tcPr>
            <w:tcW w:type="dxa" w:w="3200"/>
            <w:shd w:fill="0B6E4F" w:val="clear"/>
            <w:tcMar>
              <w:top w:type="dxa" w:w="100"/>
              <w:left w:type="dxa" w:w="120"/>
              <w:bottom w:type="dxa" w:w="100"/>
              <w:right w:type="dxa" w:w="120"/>
            </w:tcMar>
            <w:vAlign w:val="center"/>
          </w:tcPr>
          <w:p>
            <w:r>
              <w:rPr>
                <w:b/>
                <w:bCs/>
                <w:color w:val="FFFFFF"/>
                <w:sz w:val="20"/>
                <w:szCs w:val="20"/>
              </w:rPr>
              <w:t xml:space="preserve">Category</w:t>
            </w:r>
          </w:p>
        </w:tc>
        <w:tc>
          <w:tcPr>
            <w:tcW w:type="dxa" w:w="6500"/>
            <w:shd w:fill="0B6E4F" w:val="clear"/>
            <w:tcMar>
              <w:top w:type="dxa" w:w="100"/>
              <w:left w:type="dxa" w:w="120"/>
              <w:bottom w:type="dxa" w:w="100"/>
              <w:right w:type="dxa" w:w="120"/>
            </w:tcMar>
            <w:vAlign w:val="center"/>
          </w:tcPr>
          <w:p>
            <w:r>
              <w:rPr>
                <w:b/>
                <w:bCs/>
                <w:color w:val="FFFFFF"/>
                <w:sz w:val="20"/>
                <w:szCs w:val="20"/>
              </w:rPr>
              <w:t xml:space="preserve">Tools</w:t>
            </w:r>
          </w:p>
        </w:tc>
      </w:tr>
      <w:tr>
        <w:tc>
          <w:tcPr>
            <w:tcW w:type="dxa" w:w="3200"/>
            <w:tcMar>
              <w:top w:type="dxa" w:w="100"/>
              <w:left w:type="dxa" w:w="120"/>
              <w:bottom w:type="dxa" w:w="100"/>
              <w:right w:type="dxa" w:w="120"/>
            </w:tcMar>
            <w:vAlign w:val="center"/>
          </w:tcPr>
          <w:p>
            <w:r>
              <w:rPr>
                <w:b w:val="false"/>
                <w:bCs w:val="false"/>
                <w:color w:val="10241E"/>
                <w:sz w:val="20"/>
                <w:szCs w:val="20"/>
              </w:rPr>
              <w:t xml:space="preserve">Data Analysis</w:t>
            </w:r>
          </w:p>
        </w:tc>
        <w:tc>
          <w:tcPr>
            <w:tcW w:type="dxa" w:w="6500"/>
            <w:tcMar>
              <w:top w:type="dxa" w:w="100"/>
              <w:left w:type="dxa" w:w="120"/>
              <w:bottom w:type="dxa" w:w="100"/>
              <w:right w:type="dxa" w:w="120"/>
            </w:tcMar>
            <w:vAlign w:val="center"/>
          </w:tcPr>
          <w:p>
            <w:r>
              <w:rPr>
                <w:b w:val="false"/>
                <w:bCs w:val="false"/>
                <w:color w:val="10241E"/>
                <w:sz w:val="20"/>
                <w:szCs w:val="20"/>
              </w:rPr>
              <w:t xml:space="preserve">Python 3, pandas, numpy</w:t>
            </w:r>
          </w:p>
        </w:tc>
      </w:tr>
      <w:tr>
        <w:tc>
          <w:tcPr>
            <w:tcW w:type="dxa" w:w="3200"/>
            <w:shd w:fill="F4F7F5" w:val="clear"/>
            <w:tcMar>
              <w:top w:type="dxa" w:w="100"/>
              <w:left w:type="dxa" w:w="120"/>
              <w:bottom w:type="dxa" w:w="100"/>
              <w:right w:type="dxa" w:w="120"/>
            </w:tcMar>
            <w:vAlign w:val="center"/>
          </w:tcPr>
          <w:p>
            <w:r>
              <w:rPr>
                <w:b w:val="false"/>
                <w:bCs w:val="false"/>
                <w:color w:val="10241E"/>
                <w:sz w:val="20"/>
                <w:szCs w:val="20"/>
              </w:rPr>
              <w:t xml:space="preserve">Visualization</w:t>
            </w:r>
          </w:p>
        </w:tc>
        <w:tc>
          <w:tcPr>
            <w:tcW w:type="dxa" w:w="6500"/>
            <w:shd w:fill="F4F7F5" w:val="clear"/>
            <w:tcMar>
              <w:top w:type="dxa" w:w="100"/>
              <w:left w:type="dxa" w:w="120"/>
              <w:bottom w:type="dxa" w:w="100"/>
              <w:right w:type="dxa" w:w="120"/>
            </w:tcMar>
            <w:vAlign w:val="center"/>
          </w:tcPr>
          <w:p>
            <w:r>
              <w:rPr>
                <w:b w:val="false"/>
                <w:bCs w:val="false"/>
                <w:color w:val="10241E"/>
                <w:sz w:val="20"/>
                <w:szCs w:val="20"/>
              </w:rPr>
              <w:t xml:space="preserve">matplotlib, seaborn, Plotly.js</w:t>
            </w:r>
          </w:p>
        </w:tc>
      </w:tr>
      <w:tr>
        <w:tc>
          <w:tcPr>
            <w:tcW w:type="dxa" w:w="3200"/>
            <w:tcMar>
              <w:top w:type="dxa" w:w="100"/>
              <w:left w:type="dxa" w:w="120"/>
              <w:bottom w:type="dxa" w:w="100"/>
              <w:right w:type="dxa" w:w="120"/>
            </w:tcMar>
            <w:vAlign w:val="center"/>
          </w:tcPr>
          <w:p>
            <w:r>
              <w:rPr>
                <w:b w:val="false"/>
                <w:bCs w:val="false"/>
                <w:color w:val="10241E"/>
                <w:sz w:val="20"/>
                <w:szCs w:val="20"/>
              </w:rPr>
              <w:t xml:space="preserve">Database / Query</w:t>
            </w:r>
          </w:p>
        </w:tc>
        <w:tc>
          <w:tcPr>
            <w:tcW w:type="dxa" w:w="6500"/>
            <w:tcMar>
              <w:top w:type="dxa" w:w="100"/>
              <w:left w:type="dxa" w:w="120"/>
              <w:bottom w:type="dxa" w:w="100"/>
              <w:right w:type="dxa" w:w="120"/>
            </w:tcMar>
            <w:vAlign w:val="center"/>
          </w:tcPr>
          <w:p>
            <w:r>
              <w:rPr>
                <w:b w:val="false"/>
                <w:bCs w:val="false"/>
                <w:color w:val="10241E"/>
                <w:sz w:val="20"/>
                <w:szCs w:val="20"/>
              </w:rPr>
              <w:t xml:space="preserve">SQL (ANSI-standard, MySQL/PostgreSQL/SQLite compatible)</w:t>
            </w:r>
          </w:p>
        </w:tc>
      </w:tr>
      <w:tr>
        <w:tc>
          <w:tcPr>
            <w:tcW w:type="dxa" w:w="3200"/>
            <w:shd w:fill="F4F7F5" w:val="clear"/>
            <w:tcMar>
              <w:top w:type="dxa" w:w="100"/>
              <w:left w:type="dxa" w:w="120"/>
              <w:bottom w:type="dxa" w:w="100"/>
              <w:right w:type="dxa" w:w="120"/>
            </w:tcMar>
            <w:vAlign w:val="center"/>
          </w:tcPr>
          <w:p>
            <w:r>
              <w:rPr>
                <w:b w:val="false"/>
                <w:bCs w:val="false"/>
                <w:color w:val="10241E"/>
                <w:sz w:val="20"/>
                <w:szCs w:val="20"/>
              </w:rPr>
              <w:t xml:space="preserve">Dashboard</w:t>
            </w:r>
          </w:p>
        </w:tc>
        <w:tc>
          <w:tcPr>
            <w:tcW w:type="dxa" w:w="6500"/>
            <w:shd w:fill="F4F7F5" w:val="clear"/>
            <w:tcMar>
              <w:top w:type="dxa" w:w="100"/>
              <w:left w:type="dxa" w:w="120"/>
              <w:bottom w:type="dxa" w:w="100"/>
              <w:right w:type="dxa" w:w="120"/>
            </w:tcMar>
            <w:vAlign w:val="center"/>
          </w:tcPr>
          <w:p>
            <w:r>
              <w:rPr>
                <w:b w:val="false"/>
                <w:bCs w:val="false"/>
                <w:color w:val="10241E"/>
                <w:sz w:val="20"/>
                <w:szCs w:val="20"/>
              </w:rPr>
              <w:t xml:space="preserve">HTML5, CSS3, JavaScript, Plotly.js</w:t>
            </w:r>
          </w:p>
        </w:tc>
      </w:tr>
      <w:tr>
        <w:tc>
          <w:tcPr>
            <w:tcW w:type="dxa" w:w="3200"/>
            <w:tcMar>
              <w:top w:type="dxa" w:w="100"/>
              <w:left w:type="dxa" w:w="120"/>
              <w:bottom w:type="dxa" w:w="100"/>
              <w:right w:type="dxa" w:w="120"/>
            </w:tcMar>
            <w:vAlign w:val="center"/>
          </w:tcPr>
          <w:p>
            <w:r>
              <w:rPr>
                <w:b w:val="false"/>
                <w:bCs w:val="false"/>
                <w:color w:val="10241E"/>
                <w:sz w:val="20"/>
                <w:szCs w:val="20"/>
              </w:rPr>
              <w:t xml:space="preserve">Reporting</w:t>
            </w:r>
          </w:p>
        </w:tc>
        <w:tc>
          <w:tcPr>
            <w:tcW w:type="dxa" w:w="6500"/>
            <w:tcMar>
              <w:top w:type="dxa" w:w="100"/>
              <w:left w:type="dxa" w:w="120"/>
              <w:bottom w:type="dxa" w:w="100"/>
              <w:right w:type="dxa" w:w="120"/>
            </w:tcMar>
            <w:vAlign w:val="center"/>
          </w:tcPr>
          <w:p>
            <w:r>
              <w:rPr>
                <w:b w:val="false"/>
                <w:bCs w:val="false"/>
                <w:color w:val="10241E"/>
                <w:sz w:val="20"/>
                <w:szCs w:val="20"/>
              </w:rPr>
              <w:t xml:space="preserve">Microsoft Word (.docx)</w:t>
            </w:r>
          </w:p>
        </w:tc>
      </w:tr>
      <w:tr>
        <w:tc>
          <w:tcPr>
            <w:tcW w:type="dxa" w:w="3200"/>
            <w:shd w:fill="F4F7F5" w:val="clear"/>
            <w:tcMar>
              <w:top w:type="dxa" w:w="100"/>
              <w:left w:type="dxa" w:w="120"/>
              <w:bottom w:type="dxa" w:w="100"/>
              <w:right w:type="dxa" w:w="120"/>
            </w:tcMar>
            <w:vAlign w:val="center"/>
          </w:tcPr>
          <w:p>
            <w:r>
              <w:rPr>
                <w:b w:val="false"/>
                <w:bCs w:val="false"/>
                <w:color w:val="10241E"/>
                <w:sz w:val="20"/>
                <w:szCs w:val="20"/>
              </w:rPr>
              <w:t xml:space="preserve">Version Control Ready</w:t>
            </w:r>
          </w:p>
        </w:tc>
        <w:tc>
          <w:tcPr>
            <w:tcW w:type="dxa" w:w="6500"/>
            <w:shd w:fill="F4F7F5" w:val="clear"/>
            <w:tcMar>
              <w:top w:type="dxa" w:w="100"/>
              <w:left w:type="dxa" w:w="120"/>
              <w:bottom w:type="dxa" w:w="100"/>
              <w:right w:type="dxa" w:w="120"/>
            </w:tcMar>
            <w:vAlign w:val="center"/>
          </w:tcPr>
          <w:p>
            <w:r>
              <w:rPr>
                <w:b w:val="false"/>
                <w:bCs w:val="false"/>
                <w:color w:val="10241E"/>
                <w:sz w:val="20"/>
                <w:szCs w:val="20"/>
              </w:rPr>
              <w:t xml:space="preserve">Git (.gitignore included)</w:t>
            </w:r>
          </w:p>
        </w:tc>
      </w:tr>
    </w:tbl>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3C5049"/>
        <w:sz w:val="16"/>
        <w:szCs w:val="16"/>
      </w:rPr>
      <w:t xml:space="preserve">Page </w:t>
    </w:r>
    <w:r>
      <w:rPr>
        <w:color w:val="3C5049"/>
        <w:sz w:val="16"/>
        <w:szCs w:val="16"/>
      </w:rPr>
      <w:fldChar w:fldCharType="begin"/>
      <w:instrText xml:space="preserve">PAGE</w:instrText>
      <w:fldChar w:fldCharType="separate"/>
      <w:fldChar w:fldCharType="end"/>
    </w:r>
    <w:r>
      <w:rPr>
        <w:color w:val="3C5049"/>
        <w:sz w:val="16"/>
        <w:szCs w:val="16"/>
      </w:rPr>
      <w:t xml:space="preserve"> of </w:t>
    </w:r>
    <w:r>
      <w:rPr>
        <w:color w:val="3C504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FE7E3" w:sz="4" w:space="4"/>
      </w:pBdr>
      <w:jc w:val="right"/>
    </w:pPr>
    <w:r>
      <w:rPr>
        <w:color w:val="3C5049"/>
        <w:sz w:val="16"/>
        <w:szCs w:val="16"/>
      </w:rPr>
      <w:t xml:space="preserve">Healthcare Data Analysis —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0241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f8e899d616215400fa01a36ac23658b3e2f4c36.png"/><Relationship Id="rId10" Type="http://schemas.openxmlformats.org/officeDocument/2006/relationships/image" Target="media/9386d8c030958a23fb846828b6063e788cf96000.png"/><Relationship Id="rId11" Type="http://schemas.openxmlformats.org/officeDocument/2006/relationships/image" Target="media/6b22fb725545fcd17bb9b836641bf1685983a63a.png"/><Relationship Id="rId12" Type="http://schemas.openxmlformats.org/officeDocument/2006/relationships/image" Target="media/094804178e356dbadd2a444f982f89cd5dae28b3.png"/><Relationship Id="rId13" Type="http://schemas.openxmlformats.org/officeDocument/2006/relationships/image" Target="media/9fb3c54849639e842ce2914aed3d1b34b8f166c4.png"/><Relationship Id="rId14" Type="http://schemas.openxmlformats.org/officeDocument/2006/relationships/image" Target="media/843c0032384669c4f87cf24fc4cceff180eb1fe9.png"/><Relationship Id="rId15" Type="http://schemas.openxmlformats.org/officeDocument/2006/relationships/image" Target="media/fde64f700bc2162c94be17dbe7d7eca978a9ad5c.png"/><Relationship Id="rId16" Type="http://schemas.openxmlformats.org/officeDocument/2006/relationships/image" Target="media/5a6409f1710164ef35a9352ff5b88ecc252aea00.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2026-09-04T05:36:18.365Z</dcterms:created>
  <dcterms:modified xsi:type="dcterms:W3CDTF">2026-09-04T05:36:18.365Z</dcterms:modified>
</cp:coreProperties>
</file>

<file path=docProps/custom.xml><?xml version="1.0" encoding="utf-8"?>
<Properties xmlns="http://schemas.openxmlformats.org/officeDocument/2006/custom-properties" xmlns:vt="http://schemas.openxmlformats.org/officeDocument/2006/docPropsVTypes"/>
</file>