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TATA STEEL LIMITED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ESG Risk &amp; Opportunity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Based on BRSR FY2024-25 | Standalone &amp; Consolidated</w:t>
      </w:r>
    </w:p>
    <w:p>
      <w:pPr>
        <w:pBdr>
          <w:top w:val="single" w:color="1F5C99" w:sz="6" w:space="4"/>
        </w:pBdr>
        <w:spacing w:after="0" w:before="6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Prepared for: ESG Analyst Review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Reporting Period: April 1, 2024 – March 31, 2025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Assurance: Price Waterhouse &amp; Co CA LLP (Reasonable, Standalone)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This report analyses the Business Responsibility and Sustainability Report (BRSR) of Tata Steel Limited for FY2024-25, identifying material ESG risks and opportunities, assessing performance against key indicators, and providing actionable strategic recommendations for ESG analysts and stakeholders.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Climate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Scope 1+2 emissions: 66 MnT CO₂e (standalone). Net Zero target 2045. UK/NL EAF transition ongoing.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 RISK – Monitor decarbonisation capex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Water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98,609 ML consumed (standalone). Intensity: 4.76 KL/tonne crude steel. Facilities in water-stressed zones.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MEDIUM RISK – 4R framework positive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LTIFR: 0.39 (employees), 0.29 (workers) standalone. 5 fatalities total. Improving year-on-year.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MEDIUM-HIGH RISK – Fatalities remain concern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Circular Economy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4.2 MT scrap recycled. IBMD profitcentre operational. Waste recovery ratio &gt;1 (legacy stock included).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OPPORTUNITY – Scrap usage on growth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 Board committees. PwC assurance. ResponsibleSteel™ certified. Zero bribery/corruption actions.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LOW RISK – Robust governance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Diversity &amp; Inclusion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Only 9.1% female permanent employees. 0% female KMPs. Female wages 6% of total wages.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MEDIUM RISK – Lagging industry peers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Climate Risk &amp; GHG Emissions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Scope 1 &amp; 2 Emissions Performance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Tata Steel's primary climate risk stems from its blast furnace-dominated production model, which is inherently emission-intensive. The following table summarises FY2024-25 GHG performance: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Standalone FY25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Standalone FY24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Scope 1 Emissions (MnT CO₂e)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Scope 2 Emissions (MnT CO₂e)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Scope 3 Emissions (MnT CO₂e)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Emission Intensity (T CO₂e/T crude steel)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% Energy from Renewable 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0.07%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0.02%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0.09%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0.03%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Scope 1 emissions rose slightly (+2 MnT standalone) due to the 5 MTPA Kalinganagar Phase-2 commissioning — a volume-driven increase, not an intensity deterioration.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Emission intensity held flat at 3.2 T/T crude steel (standalone), suggesting operational efficiency held steady even during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Renewable energy share remains critically low at 0.07% (standalone), exposing the Company to Scope 2 transition risk as grids decarbonise.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Scope 3 emissions held flat at 23 MnT standalone despite reporting methodology changes under new SEBI standards.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Decarbonisation Strategy Assessment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Tata Steel has committed to Net Zero by 2045, which is 5 years later than most European steel peers (2040). The strategic pathway involves: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India: Electric Arc Furnace (EAF) in Ludhiana (Punjab) — first low-emission steel plant; blast furnace decarbonisation ongoing.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Netherlands: Scrap usage increase from 17% (2019) to 30% by 2030 (currently 20%); cost-saving initiatives saved 17,000 GJ/year.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UK: EAF at Port Talbot received planning approval in February 2025 (Project Invictus). Preparatory construction commenced. Expected scrap usage rise from 17% to &gt;70%.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Biochar trials underway to replace fossil carbon in primary steelmaking — shows ~40% CO₂ reduction potential for ferromanganese production.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Risk Rating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Carbon pricing exposure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~66 MnT Scope 1+2 at ₹1,000/T carbon price = ₹66,000 Cr potential 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Technology transition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EAF capex intensive; UK/NL restructuring mid-flight — execution risk elevated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Renewable energy lag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Only 0.07% renewable energy — Scope 2 risk as regulatory requirements tighten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Net Zero timeline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2045 target is 5 years behind peers; may face investor pressure to accelerate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Accelerate renewable energy procurement — target 15–20% renewable energy mix by FY2027 through PPAs and rooftop solar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Quantify carbon price scenarios in financial disclosures to align with TCFD recommendations on financial materiality.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interim 2030 SBTi-aligned targets to bridge the credibility gap with a 2045 Net Zero commitment.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Disclose EAF capital allocation timeline for Ludhiana and Port Talbot with phased milestones to improve investor confidence.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Water Risk &amp;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Water Consumption &amp; Withdrawal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 FY25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 FY24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Total Withdrawal (ML)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1,10,829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1,10,947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3,89,691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3,71,287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Total Consumption (ML)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98,609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96,938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1,26,256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1,21,394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Water Intensity (KL/T crude steel)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4.08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4.05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Water consumption increased by 1.7% standalone despite broadly flat withdrawal — indicating higher process retention. Key water-stressed facilities include Jamshedpur, Kalinganagar, Meramandali, West Bokaro, and Thailand.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Positive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Zero Effluent Discharge (ZED) achieved at 2 of 4 major Indian plants and Thailand — best-practice achievement.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Electrochemical reactor pilot at Kalinganagar (TSK) achieving ~90% COD/TSS reduction, enabling 250 m³/hr water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Municipal sewage converted to industrial-use water within townships.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Treated effluent repurposed for coke quenching, slag granulation, sinter mixing, and horticulture.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Risk Flags &amp;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Water stress exposure is material: all major standalone facilities are in water-stressed zones per the BRSR disclosure.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Surface water dependency is 63% of total withdrawal — climate variability risk on river flows is not quantified in the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Set water withdrawal reduction targets by site for FY2026–2028, benchmarked against WRI Aqueduct.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Extend ZED status to all 4 major Indian plants by FY2027, with interim milestones disclosed quarterly.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Occupational Health &amp; Safety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Safety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4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 FY25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 FY24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Consol. FY24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LTIFR – Employees (per mn hrs)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0.69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LTIFR – Workers (per mn hrs)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0.45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Fatalities – Employees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Fatalities – 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 Consequence Injuries – Employees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 Consequence Injuries – 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Analysis &amp; Recommendations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Positive Trends: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LTIFR improved significantly for both employees (0.51 → 0.39) and workers (0.36 → 0.29) — a meaningful 24–23%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ISO 45001:2018 certified system across operations. 100% of plants assessed for H&amp;S and working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EnsafeNxt Gen AI-enhanced platform, Safety Performance Index 2.0, and Safety Alert Command Centre are industry-leading digital safety tools.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Areas of Concern: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High consequence injuries doubled for standalone employees (2 → 4) and doubled for workers (9 → 18) — a significant negative divergence despite LTIFR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Worker fatalities, while declining (6 → 4 consolidated), remain a material reputational and regulatory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Contractor workforce dominates risk exposure: 1,55,229 non-permanent workers vs 42,356 permanent workers.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Investigate root cause of doubling in high consequence worker injuries — particularly in third-party contractor population.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a public target of zero high consequence injuries within 3 years, with site-level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Extend EnsafeNxt and Fatality Risk Control Programme to all contractor workforces — not just Tata Steel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Disclose contractor LTIFR separately for transparency; current bundling with 'workers' obscures contractor-specific risk.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Social Performance &amp; Workforce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Workforce Demographics (Consolidated)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Female 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Permanent Employees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73,432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Other than Permanent Employees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1,945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Total Permanent Workers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42,356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Contract/Non-permanent Workers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1,55,229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Board of Directors (Standalone)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10% (1 of 10)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Senior Leadership Team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13% (2 of 15)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Key Managerial Personnel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0% (none)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Gender Pay &amp; Representation Gap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Female employees represent only 9.1% of the permanent workforce, with gross wages paid to females at just 6% of total wages (standalone FY25). This is below the Indian manufacturing sector average of ~15–20%. The Senior Leadership median female remuneration (₹1.18 Cr) is lower than the male median (₹1.47 Cr) at the Board level.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Employee Wellbeing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100% health and accident insurance coverage for all permanent employees and workers (consolidated).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100% training coverage on health &amp; safety and skill upgradation across all employee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Return-to-work rate post parental leave: 98% (employees), 99% (workers) — best-in-class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Wellbeing spend: 0.17% of total revenue (standalone), up from 0.12% — a positive trajectory.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4.4 Human Rights &amp; Grievances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1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FY25 Filed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FY24 Filed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 FY25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Sexual Harassment (POSH)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Discrimination at Workplace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Forced/Involuntary Labour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Child Labour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POSH complaints rose 66% (32 → 53). While this may partly reflect improved reporting culture, the 15 pending cases and upholding of 18 of 43 standalone complaints warrants enhanced investigation capacity.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a published gender representation target — 20% female permanent employees by 2030 with annual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Appoint at least one female KMP to close the 0% gap at the senior-most executive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Conduct pay equity audit and disclose adjusted gender pay gap (experience/role-controlled) in the next BRSR.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Double POSH investigation capacity given 66% rise in complaints; target resolution within 60 days.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Circular Economy &amp; Waste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Waste Generation &amp; Recovery (Standalone)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430"/>
        <w:gridCol w:w="1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FY25 (MT)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FY24 (MT)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Recycled FY25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Landfilled FY25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Non-Hazardous Waste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1,61,19,942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1,64,26,097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1,64,79,338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15,987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Hazardous Waste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12,27,314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15,34,826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in total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Included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Waste Recovery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1.12x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1.12x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Note: Waste recovered exceeds waste generated (ratio &gt;1) due to legacy stock processing from prior periods — a positive indicator of backward integration.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Scrap &amp; Circular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4.2 million tonnes of steel scrap recycled in FY2024-25 (~1.7 MT internal + ~2.5 MT external).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Steel Recycling Business (SRB) and Rohtak scrap processing facility operationalising for upcoming EAF plants.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TSN scrap usage: 20% in FY25 (target 30% by 2030) — on-track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IBMD (Industrial By-Products Management Division) as a profit centre: BF slag → cement; metallic slag → steelmaking; GGBS commercialised.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Hazardous waste declined 20% (15.3 → 12.3 lakh MT) — reflects process efficiency gains.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Disclose scrap usage rate as a standalone BRSR KPI with annual targets aligned to Net Zero pathway.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IBMD's by-product value creation revenue as a disclosed business segment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Publish a plastic waste EPR compliance report alongside BRSR — currently disclosed only as 'registered' without quantitative fulfilment data.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Governance &amp; Transparency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Governance Framework Assessment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Tata Steel has one of the most comprehensive governance frameworks among Indian steel companies, with 6 Board-level committees covering ESG, risk, safety, audit, and remuneration. Key strengths: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Reasonable assurance by Price Waterhouse &amp; Co CA LLP on BRSR Core indicators (standalone) — the highest assurance standard in Indian BRSR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ResponsibleSteel™ certification at Jamshedpur, Kalinganagar, and Meramandali — industry-leading third-party ESG certification.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Zero bribery/corruption/conflict of interest actions against any Director, KMP, employee, or worker in FY2024-25.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100% Board and KMP training coverage on Ethics, Governance, and Code of Conduct.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TCFD-aligned Climate Change Report published alongside BRSR in Integrated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TBEM (Tata Business Excellence Model) external evaluation achieved 'Benchmark Leader' status in 2021.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Policy Coverage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Tata Steel maintains 39 policies covering all 9 NGRBC principles. Board-approved policies include the Anti-Bribery &amp; Anti-Corruption Policy, Risk Management Policy, and Prevention of Sexual Harassment Policy. All policies are publicly available on the company website.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Penalties &amp; Regulatory Actions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Three stamp duty penalties totalling ~₹2.74 Cr were imposed related to NCLT-approved merger schemes. Two minor customs/GST penalties of ~₹4.8 Lakh were also levied. No appeals were filed. No penalties were recorded under environmental, labour, or safety laws — a strong indicator of regulatory compliance discipline.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6.4 Governance Gaps &amp;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Consolidated BRSR assurance is not yet obtained for overseas subsidiaries (TSN, TSUK) due to ongoing restructuring — this gap should be closed within 2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BRSR reporting methodology changed significantly in FY25 per new SEBI circulars, reducing some year-on-year comparability — enhanced restatement disclosures recommended.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Green Credits generated: Nil — Tata Steel has not leveraged India's Green Credit Programme for afforestation/water conservation activities despite large mining footprints.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Initiate Green Credit Programme participation at mining sites, beginning with biodiversity restoration and water conservation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Recommendation: Set a timeline to bring TSUK and TSN under consolidated BRSR assurance scope by FY2026-27.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Priority Recommendations Summary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prioritised actions are recommended for Tata Steel's ESG improvement roadmap, categorised by time horizon and ESG pillar: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9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Set interim 2030 SBTi-aligned GHG reduction targets to bridge the credibility gap with 2045 Net Zero.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0–12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Investigate and publicly report root cause of doubling in high consequence worker injuries.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0–6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Appoint at least one female KMP to close the 0% gender gap at senior executive level.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0–12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Accelerate renewable energy procurement — target 15–20% mix by FY2027 via PPAs.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12–24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Extend ZED status to all 4 major Indian plants with site-level milestones by FY2027.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12–36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Publish gender pay equity audit with adjusted pay gap and set 20% female employee target by 2030.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12–18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Bring TSUK and TSN under consolidated BRSR reasonable assurance scope by FY2026-27.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24–36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Initiate India Green Credit Programme participation across mining rehabilitation sites.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12–24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Disclose scrap usage rate as standalone annual KPI with 2030 volume targets aligned to EAF pathway.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0–12 months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ESG Scorecard — 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ESG 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Climate &amp; Energy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EAF transition, TCFD aligned, Net Zero 2045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0.07% renewables, Scope 1 rising, no 2030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ZED at 2 plants, 4R framework, pilot innovations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Stress zone exposure, consumption +1.7%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Waste &amp; Circular Economy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4.2 MT scrap, IBMD profit centre, 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Plastic EPR data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LTIFR improved 24%, ISO 45001, digital 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Fatalities, high-consequence injuries doubled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C+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Diversity &amp; Inclusion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100% benefits coverage, parental return rate 98%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9.1% female, 0% female KMP, pay gap undisclosed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PwC assurance, ResponsibleSteel, 0 corruption cases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consolidated assurance for overseas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Community &amp; CSR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5.77M lives impacted, ₹295 Cr aspirational districts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SIA not conducted for most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Disclaimer: This report is an independent analytical assessment based on Tata Steel's publicly disclosed BRSR FY2024-25. Scores are qualitative and do not constitute investment advice. All data sourced from Tata Steel's official BRSR submitted to BSE/NSE, reference SEC/373/2025-26 dated June 6, 2025.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Confidential | For ESG Analyst Use | 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of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jc w:val="right"/>
    </w:pP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Tata Steel | ESG Risk &amp; Opportunity Report | FY2024-25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2026-06-04T03:18:11.384Z</dcterms:created>
  <dcterms:modified xsi:type="dcterms:W3CDTF">2026-06-04T03:18:11.385Z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