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LATVIA MANUFACTURING</w:t>
      </w:r>
    </w:p>
    <w:p>
      <w:pPr>
        <w:spacing w:after="200"/>
        <w:jc w:val="center"/>
      </w:pPr>
      <w:r>
        <w:rPr>
          <w:rFonts w:ascii="Calibri" w:cs="Calibri" w:eastAsia="Calibri" w:hAnsi="Calibri"/>
          <w:b/>
          <w:bCs/>
          <w:color w:val="1F3864"/>
          <w:sz w:val="40"/>
          <w:szCs w:val="40"/>
        </w:rPr>
        <w:t xml:space="preserve">MARKET ENTRY &amp; LEAD GENERATION STRATEGY</w:t>
      </w:r>
    </w:p>
    <w:p>
      <w:pPr>
        <w:pBdr>
          <w:bottom w:val="single" w:color="C9A227" w:sz="18" w:space="10"/>
        </w:pBdr>
        <w:spacing w:after="500"/>
        <w:jc w:val="center"/>
      </w:pPr>
      <w:r>
        <w:rPr>
          <w:sz w:val="4"/>
          <w:szCs w:val="4"/>
        </w:rPr>
        <w:t xml:space="preserve"> </w:t>
      </w:r>
    </w:p>
    <w:p>
      <w:pPr>
        <w:spacing w:after="120"/>
        <w:jc w:val="center"/>
      </w:pPr>
      <w:r>
        <w:rPr>
          <w:rFonts w:ascii="Calibri" w:cs="Calibri" w:eastAsia="Calibri" w:hAnsi="Calibri"/>
          <w:i/>
          <w:iCs/>
          <w:color w:val="595959"/>
          <w:sz w:val="26"/>
          <w:szCs w:val="26"/>
        </w:rPr>
        <w:t xml:space="preserve">Outreach Strategy &amp; Qualified Lead Portfolio</w:t>
      </w:r>
    </w:p>
    <w:p>
      <w:pPr>
        <w:spacing w:after="60"/>
        <w:jc w:val="center"/>
      </w:pPr>
      <w:r>
        <w:rPr>
          <w:rFonts w:ascii="Calibri" w:cs="Calibri" w:eastAsia="Calibri" w:hAnsi="Calibri"/>
          <w:color w:val="595959"/>
          <w:sz w:val="22"/>
          <w:szCs w:val="22"/>
        </w:rPr>
        <w:t xml:space="preserve">International Recruitment &amp; Staffing — Business Development Project</w:t>
      </w:r>
    </w:p>
    <w:p>
      <w:pPr>
        <w:spacing w:before="1400"/>
        <w:jc w:val="center"/>
      </w:pPr>
      <w:r>
        <w:rPr>
          <w:rFonts w:ascii="Calibri" w:cs="Calibri" w:eastAsia="Calibri" w:hAnsi="Calibri"/>
          <w:color w:val="444444"/>
          <w:sz w:val="20"/>
          <w:szCs w:val="20"/>
        </w:rPr>
        <w:t xml:space="preserve">Prepared by: Business Development Function</w:t>
      </w:r>
    </w:p>
    <w:p>
      <w:pPr>
        <w:spacing w:after="60"/>
        <w:jc w:val="center"/>
      </w:pPr>
      <w:r>
        <w:rPr>
          <w:rFonts w:ascii="Calibri" w:cs="Calibri" w:eastAsia="Calibri" w:hAnsi="Calibri"/>
          <w:color w:val="444444"/>
          <w:sz w:val="20"/>
          <w:szCs w:val="20"/>
        </w:rPr>
        <w:t xml:space="preserve">Target Market: Republic of Latvia</w:t>
      </w:r>
    </w:p>
    <w:p>
      <w:pPr>
        <w:spacing w:after="60"/>
        <w:jc w:val="center"/>
      </w:pPr>
      <w:r>
        <w:rPr>
          <w:rFonts w:ascii="Calibri" w:cs="Calibri" w:eastAsia="Calibri" w:hAnsi="Calibri"/>
          <w:color w:val="444444"/>
          <w:sz w:val="20"/>
          <w:szCs w:val="20"/>
        </w:rPr>
        <w:t xml:space="preserve">Date: 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C9A227" w:sz="12" w:space="4"/>
        </w:pBdr>
        <w:spacing w:after="160" w:before="36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222222"/>
          <w:sz w:val="21"/>
          <w:szCs w:val="21"/>
        </w:rPr>
        <w:t xml:space="preserve">This project defines a market-entry and lead-generation strategy for introducing international recruitment and staffing services to manufacturing and industrial employers in Latvia. Latvia's manufacturing base is concentrated in metalworking, wood processing, electronics assembly, shipbuilding, and automotive-component production — sectors that are structurally exposed to the Baltic region's shrinking working-age population and continued outward labour migration to Western Europe.</w:t>
      </w:r>
    </w:p>
    <w:p>
      <w:pPr>
        <w:spacing w:after="160" w:line="276"/>
      </w:pPr>
      <w:r>
        <w:rPr>
          <w:rFonts w:ascii="Calibri" w:cs="Calibri" w:eastAsia="Calibri" w:hAnsi="Calibri"/>
          <w:color w:val="222222"/>
          <w:sz w:val="21"/>
          <w:szCs w:val="21"/>
        </w:rPr>
        <w:t xml:space="preserve">Using publicly available job postings, company websites, business registries, and professional networks, a lead database of 55 sourced records (53 unique companies after de-duplication) was compiled across four target trades: welders, electricians, CNC machine operators, and warehouse/logistics workers. Each record was evaluated against a six-factor, 100-point scoring model covering industry fit, hiring signal strength, digital presence, contact quality, international/export orientation, and company scale.</w:t>
      </w:r>
    </w:p>
    <w:p>
      <w:pPr>
        <w:spacing w:after="160" w:line="276"/>
      </w:pPr>
      <w:r>
        <w:rPr>
          <w:rFonts w:ascii="Calibri" w:cs="Calibri" w:eastAsia="Calibri" w:hAnsi="Calibri"/>
          <w:color w:val="222222"/>
          <w:sz w:val="21"/>
          <w:szCs w:val="21"/>
        </w:rPr>
        <w:t xml:space="preserve">The analysis identifies 6 Hot leads, 28 Warm leads, and 21 Cold leads. A Top 10 shortlist of outreach-ready companies has been selected, spanning electronics manufacturing, glass fibre production, intralogistics equipment, metal fabrication, automotive components, and shipbuilding — several of which are subsidiaries of German, Danish, and Swedish parent groups, indicating both an existing familiarity with cross-border workforce management and a higher propensity to engage an international staffing partner.</w:t>
      </w:r>
    </w:p>
    <w:p>
      <w:pPr>
        <w:spacing w:after="160" w:line="276"/>
      </w:pPr>
      <w:r>
        <w:rPr>
          <w:rFonts w:ascii="Calibri" w:cs="Calibri" w:eastAsia="Calibri" w:hAnsi="Calibri"/>
          <w:color w:val="222222"/>
          <w:sz w:val="21"/>
          <w:szCs w:val="21"/>
        </w:rPr>
        <w:t xml:space="preserve">The recommended approach is a multi-channel, decision-maker-led outreach sequence (LinkedIn plus email, with phone as a follow-up channel) built around a clear value proposition: solving recurring, hard-to-fill blue-collar vacancies through a reliable international sourcing pipeline.</w:t>
      </w:r>
    </w:p>
    <w:p>
      <w:pPr>
        <w:pStyle w:val="Heading1"/>
        <w:pBdr>
          <w:bottom w:val="single" w:color="C9A227" w:sz="12" w:space="4"/>
        </w:pBdr>
        <w:spacing w:after="160" w:before="360"/>
      </w:pPr>
      <w:r>
        <w:rPr>
          <w:rFonts w:ascii="Calibri" w:cs="Calibri" w:eastAsia="Calibri" w:hAnsi="Calibri"/>
          <w:b/>
          <w:bCs/>
          <w:color w:val="1F3864"/>
          <w:sz w:val="30"/>
          <w:szCs w:val="30"/>
        </w:rPr>
        <w:t xml:space="preserve">2. Ideal Customer Profile (ICP)</w:t>
      </w:r>
    </w:p>
    <w:p>
      <w:pPr>
        <w:spacing w:after="160" w:line="276"/>
      </w:pPr>
      <w:r>
        <w:rPr>
          <w:rFonts w:ascii="Calibri" w:cs="Calibri" w:eastAsia="Calibri" w:hAnsi="Calibri"/>
          <w:color w:val="222222"/>
          <w:sz w:val="21"/>
          <w:szCs w:val="21"/>
        </w:rPr>
        <w:t xml:space="preserve">The ICP below defines the profile of a Latvian manufacturing company most likely to convert into a staffing services client, and was used as the qualifying lens for every scored lead.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Criterion</w:t>
            </w:r>
          </w:p>
        </w:tc>
        <w:tc>
          <w:tcPr>
            <w:tcW w:type="dxa" w:w="67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Ideal Profile</w:t>
            </w:r>
          </w:p>
        </w:tc>
      </w:tr>
      <w:tr>
        <w:tc>
          <w:tcPr>
            <w:tcW w:type="dxa" w:w="26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Sector</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Manufacturing &amp; industrial production — metal fabrication, CNC machining, electronics/EMS, wood processing, shipbuilding, automotive components, intralogistics equipment</w:t>
            </w:r>
          </w:p>
        </w:tc>
      </w:tr>
      <w:tr>
        <w:tc>
          <w:tcPr>
            <w:tcW w:type="dxa" w:w="26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Hiring Signal</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Actively advertising blue-collar vacancies (welders, electricians, CNC operators, warehouse staff) on national job boards (NVA.gov.lv, CV.lv, SS.lv, VisiDarbi.lv) or the company's own careers page</w:t>
            </w:r>
          </w:p>
        </w:tc>
      </w:tr>
      <w:tr>
        <w:tc>
          <w:tcPr>
            <w:tcW w:type="dxa" w:w="26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Company Profile</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Mid-size to large SIA/AS entity, ideally with an established website and named HR or operations contact</w:t>
            </w:r>
          </w:p>
        </w:tc>
      </w:tr>
      <w:tr>
        <w:tc>
          <w:tcPr>
            <w:tcW w:type="dxa" w:w="26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Ownership / Orientation</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Export-oriented or foreign-owned (Nordic, German, or Western European parent group) — signals existing comfort with cross-border processes</w:t>
            </w:r>
          </w:p>
        </w:tc>
      </w:tr>
      <w:tr>
        <w:tc>
          <w:tcPr>
            <w:tcW w:type="dxa" w:w="26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Pain Point</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Chronic difficulty filling skilled trade and production-floor roles domestically, driven by Latvia's shrinking labour force and EU-wide outward migration</w:t>
            </w:r>
          </w:p>
        </w:tc>
      </w:tr>
      <w:tr>
        <w:tc>
          <w:tcPr>
            <w:tcW w:type="dxa" w:w="26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Decision Authority</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HR Manager, Talent Acquisition Manager, Operations/Plant Manager, or Managing Director (SME context) with authority to approve a staffing vendor</w:t>
            </w:r>
          </w:p>
        </w:tc>
      </w:tr>
      <w:tr>
        <w:tc>
          <w:tcPr>
            <w:tcW w:type="dxa" w:w="26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Deal Size Indicator</w:t>
            </w:r>
          </w:p>
        </w:tc>
        <w:tc>
          <w:tcPr>
            <w:tcW w:type="dxa" w:w="6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Multiple concurrent vacancies, recurring/seasonal postings, or multi-shift operations — indicates sustained rather than one-off demand</w:t>
            </w:r>
          </w:p>
        </w:tc>
      </w:tr>
    </w:tbl>
    <w:p>
      <w:pPr>
        <w:spacing w:before="200"/>
      </w:pPr>
    </w:p>
    <w:p>
      <w:pPr>
        <w:pStyle w:val="Heading1"/>
        <w:pBdr>
          <w:bottom w:val="single" w:color="C9A227" w:sz="12" w:space="4"/>
        </w:pBdr>
        <w:spacing w:after="160" w:before="360"/>
      </w:pPr>
      <w:r>
        <w:rPr>
          <w:rFonts w:ascii="Calibri" w:cs="Calibri" w:eastAsia="Calibri" w:hAnsi="Calibri"/>
          <w:b/>
          <w:bCs/>
          <w:color w:val="1F3864"/>
          <w:sz w:val="30"/>
          <w:szCs w:val="30"/>
        </w:rPr>
        <w:t xml:space="preserve">3. Scoring Methodology</w:t>
      </w:r>
    </w:p>
    <w:p>
      <w:pPr>
        <w:spacing w:after="160" w:line="276"/>
      </w:pPr>
      <w:r>
        <w:rPr>
          <w:rFonts w:ascii="Calibri" w:cs="Calibri" w:eastAsia="Calibri" w:hAnsi="Calibri"/>
          <w:color w:val="222222"/>
          <w:sz w:val="21"/>
          <w:szCs w:val="21"/>
        </w:rPr>
        <w:t xml:space="preserve">Each of the 55 sourced leads was scored out of 100 across six weighted factors, using only information that is publicly verifiable (company websites, job postings, business registries, and LinkedIn). No financial or confidential data was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1450"/>
        <w:gridCol w:w="3200"/>
      </w:tblGrid>
      <w:tr>
        <w:trPr>
          <w:tblHeader/>
        </w:trPr>
        <w:tc>
          <w:tcPr>
            <w:tcW w:type="dxa" w:w="4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Scoring Factor</w:t>
            </w:r>
          </w:p>
        </w:tc>
        <w:tc>
          <w:tcPr>
            <w:tcW w:type="dxa" w:w="14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Weight</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What It Captures</w:t>
            </w:r>
          </w:p>
        </w:tc>
      </w:tr>
      <w:tr>
        <w:tc>
          <w:tcPr>
            <w:tcW w:type="dxa" w:w="47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Industry / Manufacturing Fit</w:t>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 pts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How closely the company matches the manufacturing ICP vs. adjacent sectors (retail, utilities, services)</w:t>
            </w:r>
          </w:p>
        </w:tc>
      </w:tr>
      <w:tr>
        <w:tc>
          <w:tcPr>
            <w:tcW w:type="dxa" w:w="47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Active Hiring Signal</w:t>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 pts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Strength and specificity of the sourced vacancy (own careers page vs. third-party board, recurring postings)</w:t>
            </w:r>
          </w:p>
        </w:tc>
      </w:tr>
      <w:tr>
        <w:tc>
          <w:tcPr>
            <w:tcW w:type="dxa" w:w="47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Website / Digital Presence</w:t>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15 pts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Existence and professionalism of a company-owned website</w:t>
            </w:r>
          </w:p>
        </w:tc>
      </w:tr>
      <w:tr>
        <w:tc>
          <w:tcPr>
            <w:tcW w:type="dxa" w:w="47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Decision-Maker Contact Quality</w:t>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15 pts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Availability of a named contact, corporate email domain, and direct phone/LinkedIn</w:t>
            </w:r>
          </w:p>
        </w:tc>
      </w:tr>
      <w:tr>
        <w:tc>
          <w:tcPr>
            <w:tcW w:type="dxa" w:w="47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International Operations / Export Focus</w:t>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15 pts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Foreign ownership, export markets, or multinational group affiliation</w:t>
            </w:r>
          </w:p>
        </w:tc>
      </w:tr>
      <w:tr>
        <w:tc>
          <w:tcPr>
            <w:tcW w:type="dxa" w:w="47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Company Size / Scale Signal</w:t>
            </w:r>
          </w:p>
        </w:tc>
        <w:tc>
          <w:tcPr>
            <w:tcW w:type="dxa" w:w="14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15 pts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Indicators of headcount, multi-shift operation, brand recognition, or group backing</w:t>
            </w:r>
          </w:p>
        </w:tc>
      </w:tr>
    </w:tbl>
    <w:p>
      <w:pPr>
        <w:spacing w:before="160"/>
      </w:pPr>
    </w:p>
    <w:p>
      <w:pPr>
        <w:spacing w:after="80" w:before="200"/>
      </w:pPr>
      <w:r>
        <w:rPr>
          <w:rFonts w:ascii="Calibri" w:cs="Calibri" w:eastAsia="Calibri" w:hAnsi="Calibri"/>
          <w:b/>
          <w:bCs/>
          <w:color w:val="2E5395"/>
          <w:sz w:val="21"/>
          <w:szCs w:val="21"/>
        </w:rPr>
        <w:t xml:space="preserve">Category Thresholds</w:t>
      </w:r>
    </w:p>
    <w:p>
      <w:pPr>
        <w:pStyle w:val="ListParagraph"/>
        <w:numPr>
          <w:ilvl w:val="0"/>
          <w:numId w:val="2"/>
        </w:numPr>
        <w:spacing w:after="90" w:line="270"/>
      </w:pPr>
      <w:r>
        <w:rPr>
          <w:rFonts w:ascii="Calibri" w:cs="Calibri" w:eastAsia="Calibri" w:hAnsi="Calibri"/>
          <w:color w:val="222222"/>
          <w:sz w:val="21"/>
          <w:szCs w:val="21"/>
        </w:rPr>
        <w:t xml:space="preserve">Hot (75–100): Strong fit across most factors — prioritize for immediate outreach.</w:t>
      </w:r>
    </w:p>
    <w:p>
      <w:pPr>
        <w:pStyle w:val="ListParagraph"/>
        <w:numPr>
          <w:ilvl w:val="0"/>
          <w:numId w:val="2"/>
        </w:numPr>
        <w:spacing w:after="90" w:line="270"/>
      </w:pPr>
      <w:r>
        <w:rPr>
          <w:rFonts w:ascii="Calibri" w:cs="Calibri" w:eastAsia="Calibri" w:hAnsi="Calibri"/>
          <w:color w:val="222222"/>
          <w:sz w:val="21"/>
          <w:szCs w:val="21"/>
        </w:rPr>
        <w:t xml:space="preserve">Warm (50–74): Good fit with one or more gaps (e.g., missing named contact, adjacent industry) — nurture and qualify further.</w:t>
      </w:r>
    </w:p>
    <w:p>
      <w:pPr>
        <w:pStyle w:val="ListParagraph"/>
        <w:numPr>
          <w:ilvl w:val="0"/>
          <w:numId w:val="2"/>
        </w:numPr>
        <w:spacing w:after="90" w:line="270"/>
      </w:pPr>
      <w:r>
        <w:rPr>
          <w:rFonts w:ascii="Calibri" w:cs="Calibri" w:eastAsia="Calibri" w:hAnsi="Calibri"/>
          <w:color w:val="222222"/>
          <w:sz w:val="21"/>
          <w:szCs w:val="21"/>
        </w:rPr>
        <w:t xml:space="preserve">Cold (below 50): Weak fit, minimal verifiable data, or outside the manufacturing ICP (e.g., retail, municipal utilities, recruitment agencies) — deprioritize.</w:t>
      </w:r>
    </w:p>
    <w:p>
      <w:pPr>
        <w:spacing w:after="160" w:line="276"/>
      </w:pPr>
      <w:r>
        <w:rPr>
          <w:rFonts w:ascii="Calibri" w:cs="Calibri" w:eastAsia="Calibri" w:hAnsi="Calibri"/>
          <w:color w:val="222222"/>
          <w:sz w:val="21"/>
          <w:szCs w:val="21"/>
        </w:rPr>
        <w:t xml:space="preserve">Two qualitative overrides were applied to the score-ranked list when building the Top 10: airBaltic Corporation AS (a large, high-scoring lead) was deprioritized because its core business is aviation/cargo logistics rather than manufacturing; and SIA "LAT Shipbuilding" was included ahead of a marginally higher-scoring peer because it appeared independently in two separate job-ad sources, the strongest available proxy for a sustained, recurring hiring need.</w:t>
      </w:r>
    </w:p>
    <w:p>
      <w:pPr>
        <w:pStyle w:val="Heading1"/>
        <w:pBdr>
          <w:bottom w:val="single" w:color="C9A227" w:sz="12" w:space="4"/>
        </w:pBdr>
        <w:spacing w:after="160" w:before="360"/>
      </w:pPr>
      <w:r>
        <w:rPr>
          <w:rFonts w:ascii="Calibri" w:cs="Calibri" w:eastAsia="Calibri" w:hAnsi="Calibri"/>
          <w:b/>
          <w:bCs/>
          <w:color w:val="1F3864"/>
          <w:sz w:val="30"/>
          <w:szCs w:val="30"/>
        </w:rPr>
        <w:t xml:space="preserve">4. Top 10 Qualified Leads</w:t>
      </w:r>
    </w:p>
    <w:p>
      <w:pPr>
        <w:spacing w:after="160" w:line="276"/>
      </w:pPr>
      <w:r>
        <w:rPr>
          <w:rFonts w:ascii="Calibri" w:cs="Calibri" w:eastAsia="Calibri" w:hAnsi="Calibri"/>
          <w:color w:val="222222"/>
          <w:sz w:val="21"/>
          <w:szCs w:val="21"/>
        </w:rPr>
        <w:t xml:space="preserve">The following companies represent the highest-priority, outreach-ready opportunities identified in the lead database. Full scoring detail for all 55 sourced records is provided in the companion workbook, Latvia_Manufacturing_Lead_Scoring.xlsx.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EFDA"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#1  </w:t>
            </w:r>
            <w:r>
              <w:rPr>
                <w:rFonts w:ascii="Calibri" w:cs="Calibri" w:eastAsia="Calibri" w:hAnsi="Calibri"/>
                <w:b/>
                <w:bCs/>
                <w:color w:val="1F3864"/>
                <w:sz w:val="24"/>
                <w:szCs w:val="24"/>
              </w:rPr>
              <w:t xml:space="preserve">Hansa Matrix</w:t>
            </w:r>
            <w:r>
              <w:rPr>
                <w:rFonts w:ascii="Calibri" w:cs="Calibri" w:eastAsia="Calibri" w:hAnsi="Calibri"/>
                <w:b/>
                <w:bCs/>
                <w:color w:val="8A6D0B"/>
                <w:sz w:val="20"/>
                <w:szCs w:val="20"/>
              </w:rPr>
              <w:t xml:space="preserve">   —   Score: 92/100</w:t>
            </w:r>
          </w:p>
          <w:p>
            <w:pPr>
              <w:spacing w:after="100"/>
            </w:pPr>
            <w:r>
              <w:rPr>
                <w:rFonts w:ascii="Calibri" w:cs="Calibri" w:eastAsia="Calibri" w:hAnsi="Calibri"/>
                <w:i/>
                <w:iCs/>
                <w:color w:val="595959"/>
                <w:sz w:val="19"/>
                <w:szCs w:val="19"/>
              </w:rPr>
              <w:t xml:space="preserve">Electronics Manufacturing Services (EMS)  |  Rīga</w:t>
            </w:r>
          </w:p>
          <w:p>
            <w:pPr>
              <w:spacing w:after="100"/>
            </w:pPr>
            <w:r>
              <w:rPr>
                <w:rFonts w:ascii="Calibri" w:cs="Calibri" w:eastAsia="Calibri" w:hAnsi="Calibri"/>
                <w:color w:val="222222"/>
                <w:sz w:val="20"/>
                <w:szCs w:val="20"/>
              </w:rPr>
              <w:t xml:space="preserve">Hansa Matrix is a publicly listed Latvian electronics manufacturer serving international OEM customers, which means it already operates to Western quality and compliance standards. Its scale and export orientation make hard-to-fill CNC and production-floor roles a recurring, budgeted need rather than a one-off request. A named, reachable HR contact removes the biggest obstacle in outbound prospecting.</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Inga Beņķe – HR Contact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EFDA"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#2  </w:t>
            </w:r>
            <w:r>
              <w:rPr>
                <w:rFonts w:ascii="Calibri" w:cs="Calibri" w:eastAsia="Calibri" w:hAnsi="Calibri"/>
                <w:b/>
                <w:bCs/>
                <w:color w:val="1F3864"/>
                <w:sz w:val="24"/>
                <w:szCs w:val="24"/>
              </w:rPr>
              <w:t xml:space="preserve">AS Valmieras Stikla Šķiedra</w:t>
            </w:r>
            <w:r>
              <w:rPr>
                <w:rFonts w:ascii="Calibri" w:cs="Calibri" w:eastAsia="Calibri" w:hAnsi="Calibri"/>
                <w:b/>
                <w:bCs/>
                <w:color w:val="8A6D0B"/>
                <w:sz w:val="20"/>
                <w:szCs w:val="20"/>
              </w:rPr>
              <w:t xml:space="preserve">   —   Score: 90/100</w:t>
            </w:r>
          </w:p>
          <w:p>
            <w:pPr>
              <w:spacing w:after="100"/>
            </w:pPr>
            <w:r>
              <w:rPr>
                <w:rFonts w:ascii="Calibri" w:cs="Calibri" w:eastAsia="Calibri" w:hAnsi="Calibri"/>
                <w:i/>
                <w:iCs/>
                <w:color w:val="595959"/>
                <w:sz w:val="19"/>
                <w:szCs w:val="19"/>
              </w:rPr>
              <w:t xml:space="preserve">Glass Fibre Manufacturing (Export)  |  Valmiera</w:t>
            </w:r>
          </w:p>
          <w:p>
            <w:pPr>
              <w:spacing w:after="100"/>
            </w:pPr>
            <w:r>
              <w:rPr>
                <w:rFonts w:ascii="Calibri" w:cs="Calibri" w:eastAsia="Calibri" w:hAnsi="Calibri"/>
                <w:color w:val="222222"/>
                <w:sz w:val="20"/>
                <w:szCs w:val="20"/>
              </w:rPr>
              <w:t xml:space="preserve">One of the Baltic region's best-known export manufacturers, running shift-based production that implies continuous, high-volume hiring. The presence of a dedicated recruitment mailbox signals an organization mature enough to already work with external sourcing channels — shortening the education phase of a sales conversation.</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Recruitment Team (recruitment@valmiera-glass.com)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EFDA"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#3  </w:t>
            </w:r>
            <w:r>
              <w:rPr>
                <w:rFonts w:ascii="Calibri" w:cs="Calibri" w:eastAsia="Calibri" w:hAnsi="Calibri"/>
                <w:b/>
                <w:bCs/>
                <w:color w:val="1F3864"/>
                <w:sz w:val="24"/>
                <w:szCs w:val="24"/>
              </w:rPr>
              <w:t xml:space="preserve">SSI Schaefer SIA</w:t>
            </w:r>
            <w:r>
              <w:rPr>
                <w:rFonts w:ascii="Calibri" w:cs="Calibri" w:eastAsia="Calibri" w:hAnsi="Calibri"/>
                <w:b/>
                <w:bCs/>
                <w:color w:val="8A6D0B"/>
                <w:sz w:val="20"/>
                <w:szCs w:val="20"/>
              </w:rPr>
              <w:t xml:space="preserve">   —   Score: 84/100</w:t>
            </w:r>
          </w:p>
          <w:p>
            <w:pPr>
              <w:spacing w:after="100"/>
            </w:pPr>
            <w:r>
              <w:rPr>
                <w:rFonts w:ascii="Calibri" w:cs="Calibri" w:eastAsia="Calibri" w:hAnsi="Calibri"/>
                <w:i/>
                <w:iCs/>
                <w:color w:val="595959"/>
                <w:sz w:val="19"/>
                <w:szCs w:val="19"/>
              </w:rPr>
              <w:t xml:space="preserve">Warehouse &amp; Intralogistics Systems Manufacturing  |  Rīga</w:t>
            </w:r>
          </w:p>
          <w:p>
            <w:pPr>
              <w:spacing w:after="100"/>
            </w:pPr>
            <w:r>
              <w:rPr>
                <w:rFonts w:ascii="Calibri" w:cs="Calibri" w:eastAsia="Calibri" w:hAnsi="Calibri"/>
                <w:color w:val="222222"/>
                <w:sz w:val="20"/>
                <w:szCs w:val="20"/>
              </w:rPr>
              <w:t xml:space="preserve">The Latvian arm of SSI Schaefer, a major German intralogistics-equipment manufacturer, brings both scale and an existing corporate culture of working across borders. Its technical electrician vacancy points to a skilled-trade shortage that aligns precisely with international staffing's value proposition.</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Līva Ugaine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EFDA"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#4  </w:t>
            </w:r>
            <w:r>
              <w:rPr>
                <w:rFonts w:ascii="Calibri" w:cs="Calibri" w:eastAsia="Calibri" w:hAnsi="Calibri"/>
                <w:b/>
                <w:bCs/>
                <w:color w:val="1F3864"/>
                <w:sz w:val="24"/>
                <w:szCs w:val="24"/>
              </w:rPr>
              <w:t xml:space="preserve">LSEZ "Jensen Metal" SIA</w:t>
            </w:r>
            <w:r>
              <w:rPr>
                <w:rFonts w:ascii="Calibri" w:cs="Calibri" w:eastAsia="Calibri" w:hAnsi="Calibri"/>
                <w:b/>
                <w:bCs/>
                <w:color w:val="8A6D0B"/>
                <w:sz w:val="20"/>
                <w:szCs w:val="20"/>
              </w:rPr>
              <w:t xml:space="preserve">   —   Score: 83/100</w:t>
            </w:r>
          </w:p>
          <w:p>
            <w:pPr>
              <w:spacing w:after="100"/>
            </w:pPr>
            <w:r>
              <w:rPr>
                <w:rFonts w:ascii="Calibri" w:cs="Calibri" w:eastAsia="Calibri" w:hAnsi="Calibri"/>
                <w:i/>
                <w:iCs/>
                <w:color w:val="595959"/>
                <w:sz w:val="19"/>
                <w:szCs w:val="19"/>
              </w:rPr>
              <w:t xml:space="preserve">Metal Fabrication (Liepāja Special Economic Zone)  |  Liepāja</w:t>
            </w:r>
          </w:p>
          <w:p>
            <w:pPr>
              <w:spacing w:after="100"/>
            </w:pPr>
            <w:r>
              <w:rPr>
                <w:rFonts w:ascii="Calibri" w:cs="Calibri" w:eastAsia="Calibri" w:hAnsi="Calibri"/>
                <w:color w:val="222222"/>
                <w:sz w:val="20"/>
                <w:szCs w:val="20"/>
              </w:rPr>
              <w:t xml:space="preserve">Resident status in the Liepāja Special Economic Zone typically reflects a larger capital investment and preferential trading conditions, both correlated with sustained hiring needs. A dedicated careers page plus a named contact with a public LinkedIn profile enables a fast, low-friction first touch.</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Evija Feierābende – HR/Office Contact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LinkedIn</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EFDA"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#5  </w:t>
            </w:r>
            <w:r>
              <w:rPr>
                <w:rFonts w:ascii="Calibri" w:cs="Calibri" w:eastAsia="Calibri" w:hAnsi="Calibri"/>
                <w:b/>
                <w:bCs/>
                <w:color w:val="1F3864"/>
                <w:sz w:val="24"/>
                <w:szCs w:val="24"/>
              </w:rPr>
              <w:t xml:space="preserve">Dinex Latvia SIA</w:t>
            </w:r>
            <w:r>
              <w:rPr>
                <w:rFonts w:ascii="Calibri" w:cs="Calibri" w:eastAsia="Calibri" w:hAnsi="Calibri"/>
                <w:b/>
                <w:bCs/>
                <w:color w:val="8A6D0B"/>
                <w:sz w:val="20"/>
                <w:szCs w:val="20"/>
              </w:rPr>
              <w:t xml:space="preserve">   —   Score: 82/100</w:t>
            </w:r>
          </w:p>
          <w:p>
            <w:pPr>
              <w:spacing w:after="100"/>
            </w:pPr>
            <w:r>
              <w:rPr>
                <w:rFonts w:ascii="Calibri" w:cs="Calibri" w:eastAsia="Calibri" w:hAnsi="Calibri"/>
                <w:i/>
                <w:iCs/>
                <w:color w:val="595959"/>
                <w:sz w:val="19"/>
                <w:szCs w:val="19"/>
              </w:rPr>
              <w:t xml:space="preserve">Automotive Exhaust Systems Manufacturing (Danish-owned)  |  Latvia</w:t>
            </w:r>
          </w:p>
          <w:p>
            <w:pPr>
              <w:spacing w:after="100"/>
            </w:pPr>
            <w:r>
              <w:rPr>
                <w:rFonts w:ascii="Calibri" w:cs="Calibri" w:eastAsia="Calibri" w:hAnsi="Calibri"/>
                <w:color w:val="222222"/>
                <w:sz w:val="20"/>
                <w:szCs w:val="20"/>
              </w:rPr>
              <w:t xml:space="preserve">As the Latvian subsidiary of Dinex, a global Danish automotive-parts manufacturer, this lead combines strong export orientation with proven Nordic parent-company experience of cross-border workforce solutions — a natural cultural fit for an international staffing pitch.</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Diana Broka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EFDA"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#6  </w:t>
            </w:r>
            <w:r>
              <w:rPr>
                <w:rFonts w:ascii="Calibri" w:cs="Calibri" w:eastAsia="Calibri" w:hAnsi="Calibri"/>
                <w:b/>
                <w:bCs/>
                <w:color w:val="1F3864"/>
                <w:sz w:val="24"/>
                <w:szCs w:val="24"/>
              </w:rPr>
              <w:t xml:space="preserve">Teters Metals</w:t>
            </w:r>
            <w:r>
              <w:rPr>
                <w:rFonts w:ascii="Calibri" w:cs="Calibri" w:eastAsia="Calibri" w:hAnsi="Calibri"/>
                <w:b/>
                <w:bCs/>
                <w:color w:val="8A6D0B"/>
                <w:sz w:val="20"/>
                <w:szCs w:val="20"/>
              </w:rPr>
              <w:t xml:space="preserve">   —   Score: 80/100</w:t>
            </w:r>
          </w:p>
          <w:p>
            <w:pPr>
              <w:spacing w:after="100"/>
            </w:pPr>
            <w:r>
              <w:rPr>
                <w:rFonts w:ascii="Calibri" w:cs="Calibri" w:eastAsia="Calibri" w:hAnsi="Calibri"/>
                <w:i/>
                <w:iCs/>
                <w:color w:val="595959"/>
                <w:sz w:val="19"/>
                <w:szCs w:val="19"/>
              </w:rPr>
              <w:t xml:space="preserve">CNC Precision Machining  |  Olaine</w:t>
            </w:r>
          </w:p>
          <w:p>
            <w:pPr>
              <w:spacing w:after="100"/>
            </w:pPr>
            <w:r>
              <w:rPr>
                <w:rFonts w:ascii="Calibri" w:cs="Calibri" w:eastAsia="Calibri" w:hAnsi="Calibri"/>
                <w:color w:val="222222"/>
                <w:sz w:val="20"/>
                <w:szCs w:val="20"/>
              </w:rPr>
              <w:t xml:space="preserve">Already flagged as a "Hot lead" at the sourcing stage, Teters Metals maintains a dedicated public vacancies page and offers two independently verified direct contact channels — the clearest, lowest-risk entry point in the entire database.</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Valentin Teličenko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#7  </w:t>
            </w:r>
            <w:r>
              <w:rPr>
                <w:rFonts w:ascii="Calibri" w:cs="Calibri" w:eastAsia="Calibri" w:hAnsi="Calibri"/>
                <w:b/>
                <w:bCs/>
                <w:color w:val="1F3864"/>
                <w:sz w:val="24"/>
                <w:szCs w:val="24"/>
              </w:rPr>
              <w:t xml:space="preserve">"VEREMS" RSEZ SIA "Lejas Ančupāni"</w:t>
            </w:r>
            <w:r>
              <w:rPr>
                <w:rFonts w:ascii="Calibri" w:cs="Calibri" w:eastAsia="Calibri" w:hAnsi="Calibri"/>
                <w:b/>
                <w:bCs/>
                <w:color w:val="8A6D0B"/>
                <w:sz w:val="20"/>
                <w:szCs w:val="20"/>
              </w:rPr>
              <w:t xml:space="preserve">   —   Score: 74/100</w:t>
            </w:r>
          </w:p>
          <w:p>
            <w:pPr>
              <w:spacing w:after="100"/>
            </w:pPr>
            <w:r>
              <w:rPr>
                <w:rFonts w:ascii="Calibri" w:cs="Calibri" w:eastAsia="Calibri" w:hAnsi="Calibri"/>
                <w:i/>
                <w:iCs/>
                <w:color w:val="595959"/>
                <w:sz w:val="19"/>
                <w:szCs w:val="19"/>
              </w:rPr>
              <w:t xml:space="preserve">Wood Panel / Plywood Manufacturing (Rēzekne SEZ)  |  Rēzeknes nov.</w:t>
            </w:r>
          </w:p>
          <w:p>
            <w:pPr>
              <w:spacing w:after="100"/>
            </w:pPr>
            <w:r>
              <w:rPr>
                <w:rFonts w:ascii="Calibri" w:cs="Calibri" w:eastAsia="Calibri" w:hAnsi="Calibri"/>
                <w:color w:val="222222"/>
                <w:sz w:val="20"/>
                <w:szCs w:val="20"/>
              </w:rPr>
              <w:t xml:space="preserve">Operating as a resident of the Rēzekne Special Economic Zone with ties to the Finieris/UPM plywood group, this site represents large-scale, internationally backed production. Wood processing is one of Latvia's principal export industries, reinforcing long-term demand for skilled operators.</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HR / Plant Manager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#8  </w:t>
            </w:r>
            <w:r>
              <w:rPr>
                <w:rFonts w:ascii="Calibri" w:cs="Calibri" w:eastAsia="Calibri" w:hAnsi="Calibri"/>
                <w:b/>
                <w:bCs/>
                <w:color w:val="1F3864"/>
                <w:sz w:val="24"/>
                <w:szCs w:val="24"/>
              </w:rPr>
              <w:t xml:space="preserve">SIA Leax Baltix</w:t>
            </w:r>
            <w:r>
              <w:rPr>
                <w:rFonts w:ascii="Calibri" w:cs="Calibri" w:eastAsia="Calibri" w:hAnsi="Calibri"/>
                <w:b/>
                <w:bCs/>
                <w:color w:val="8A6D0B"/>
                <w:sz w:val="20"/>
                <w:szCs w:val="20"/>
              </w:rPr>
              <w:t xml:space="preserve">   —   Score: 74/100</w:t>
            </w:r>
          </w:p>
          <w:p>
            <w:pPr>
              <w:spacing w:after="100"/>
            </w:pPr>
            <w:r>
              <w:rPr>
                <w:rFonts w:ascii="Calibri" w:cs="Calibri" w:eastAsia="Calibri" w:hAnsi="Calibri"/>
                <w:i/>
                <w:iCs/>
                <w:color w:val="595959"/>
                <w:sz w:val="19"/>
                <w:szCs w:val="19"/>
              </w:rPr>
              <w:t xml:space="preserve">Automotive Components (Swedish Leax Group)  |  Babītes pag.</w:t>
            </w:r>
          </w:p>
          <w:p>
            <w:pPr>
              <w:spacing w:after="100"/>
            </w:pPr>
            <w:r>
              <w:rPr>
                <w:rFonts w:ascii="Calibri" w:cs="Calibri" w:eastAsia="Calibri" w:hAnsi="Calibri"/>
                <w:color w:val="222222"/>
                <w:sz w:val="20"/>
                <w:szCs w:val="20"/>
              </w:rPr>
              <w:t xml:space="preserve">Part of the Swedish Leax Group, a Tier 1-adjacent automotive-component manufacturer, this lead scores highly on international ownership and has a dedicated HR mailbox — a strong indicator that hiring decisions are formally managed rather than ad hoc.</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HR &amp; Quality Team (hr.leaxquality@leax.com)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#9  </w:t>
            </w:r>
            <w:r>
              <w:rPr>
                <w:rFonts w:ascii="Calibri" w:cs="Calibri" w:eastAsia="Calibri" w:hAnsi="Calibri"/>
                <w:b/>
                <w:bCs/>
                <w:color w:val="1F3864"/>
                <w:sz w:val="24"/>
                <w:szCs w:val="24"/>
              </w:rPr>
              <w:t xml:space="preserve">PRORING Latvia Ltd.</w:t>
            </w:r>
            <w:r>
              <w:rPr>
                <w:rFonts w:ascii="Calibri" w:cs="Calibri" w:eastAsia="Calibri" w:hAnsi="Calibri"/>
                <w:b/>
                <w:bCs/>
                <w:color w:val="8A6D0B"/>
                <w:sz w:val="20"/>
                <w:szCs w:val="20"/>
              </w:rPr>
              <w:t xml:space="preserve">   —   Score: 73/100</w:t>
            </w:r>
          </w:p>
          <w:p>
            <w:pPr>
              <w:spacing w:after="100"/>
            </w:pPr>
            <w:r>
              <w:rPr>
                <w:rFonts w:ascii="Calibri" w:cs="Calibri" w:eastAsia="Calibri" w:hAnsi="Calibri"/>
                <w:i/>
                <w:iCs/>
                <w:color w:val="595959"/>
                <w:sz w:val="19"/>
                <w:szCs w:val="19"/>
              </w:rPr>
              <w:t xml:space="preserve">CNC Precision Manufacturing  |  Rīga</w:t>
            </w:r>
          </w:p>
          <w:p>
            <w:pPr>
              <w:spacing w:after="100"/>
            </w:pPr>
            <w:r>
              <w:rPr>
                <w:rFonts w:ascii="Calibri" w:cs="Calibri" w:eastAsia="Calibri" w:hAnsi="Calibri"/>
                <w:color w:val="222222"/>
                <w:sz w:val="20"/>
                <w:szCs w:val="20"/>
              </w:rPr>
              <w:t xml:space="preserve">A named contact reachable through both email and a public LinkedIn profile allows a multi-channel outreach sequence to be run in parallel, materially improving response probability versus single-channel leads.</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Reinis Grunte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LinkedIn</w:t>
            </w:r>
          </w:p>
        </w:tc>
      </w:tr>
    </w:tbl>
    <w:p>
      <w:pPr>
        <w:spacing w:after="1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40"/>
              <w:left w:type="dxa" w:w="180"/>
              <w:bottom w:type="dxa" w:w="140"/>
              <w:right w:type="dxa" w:w="180"/>
            </w:tcMar>
          </w:tcPr>
          <w:p>
            <w:pPr>
              <w:spacing w:after="80"/>
            </w:pPr>
            <w:r>
              <w:rPr>
                <w:rFonts w:ascii="Calibri" w:cs="Calibri" w:eastAsia="Calibri" w:hAnsi="Calibri"/>
                <w:b/>
                <w:bCs/>
                <w:color w:val="1F3864"/>
                <w:sz w:val="24"/>
                <w:szCs w:val="24"/>
              </w:rPr>
              <w:t xml:space="preserve">#10  </w:t>
            </w:r>
            <w:r>
              <w:rPr>
                <w:rFonts w:ascii="Calibri" w:cs="Calibri" w:eastAsia="Calibri" w:hAnsi="Calibri"/>
                <w:b/>
                <w:bCs/>
                <w:color w:val="1F3864"/>
                <w:sz w:val="24"/>
                <w:szCs w:val="24"/>
              </w:rPr>
              <w:t xml:space="preserve">SIA "LAT Shipbuilding"</w:t>
            </w:r>
            <w:r>
              <w:rPr>
                <w:rFonts w:ascii="Calibri" w:cs="Calibri" w:eastAsia="Calibri" w:hAnsi="Calibri"/>
                <w:b/>
                <w:bCs/>
                <w:color w:val="8A6D0B"/>
                <w:sz w:val="20"/>
                <w:szCs w:val="20"/>
              </w:rPr>
              <w:t xml:space="preserve">   —   Score: 71/100</w:t>
            </w:r>
          </w:p>
          <w:p>
            <w:pPr>
              <w:spacing w:after="100"/>
            </w:pPr>
            <w:r>
              <w:rPr>
                <w:rFonts w:ascii="Calibri" w:cs="Calibri" w:eastAsia="Calibri" w:hAnsi="Calibri"/>
                <w:i/>
                <w:iCs/>
                <w:color w:val="595959"/>
                <w:sz w:val="19"/>
                <w:szCs w:val="19"/>
              </w:rPr>
              <w:t xml:space="preserve">Shipbuilding &amp; Ship Repair  |  Liepāja / Rīga</w:t>
            </w:r>
          </w:p>
          <w:p>
            <w:pPr>
              <w:spacing w:after="100"/>
            </w:pPr>
            <w:r>
              <w:rPr>
                <w:rFonts w:ascii="Calibri" w:cs="Calibri" w:eastAsia="Calibri" w:hAnsi="Calibri"/>
                <w:color w:val="222222"/>
                <w:sz w:val="20"/>
                <w:szCs w:val="20"/>
              </w:rPr>
              <w:t xml:space="preserve">Shipbuilding is a heavy, export-oriented trade that has historically struggled to source welders and electricians domestically. The fact that this company posted two independent vacancies across separate trades signals ongoing, structural workforce gaps rather than a single temporary need.</w:t>
            </w:r>
          </w:p>
          <w:p>
            <w:r>
              <w:rPr>
                <w:rFonts w:ascii="Calibri" w:cs="Calibri" w:eastAsia="Calibri" w:hAnsi="Calibri"/>
                <w:b/>
                <w:bCs/>
                <w:color w:val="1F3864"/>
                <w:sz w:val="19"/>
                <w:szCs w:val="19"/>
              </w:rPr>
              <w:t xml:space="preserve">Decision-Maker: </w:t>
            </w:r>
            <w:r>
              <w:rPr>
                <w:rFonts w:ascii="Calibri" w:cs="Calibri" w:eastAsia="Calibri" w:hAnsi="Calibri"/>
                <w:color w:val="222222"/>
                <w:sz w:val="19"/>
                <w:szCs w:val="19"/>
              </w:rPr>
              <w:t xml:space="preserve">Agiya Walter – Personnel    </w:t>
            </w:r>
            <w:r>
              <w:rPr>
                <w:rFonts w:ascii="Calibri" w:cs="Calibri" w:eastAsia="Calibri" w:hAnsi="Calibri"/>
                <w:b/>
                <w:bCs/>
                <w:color w:val="1F3864"/>
                <w:sz w:val="19"/>
                <w:szCs w:val="19"/>
              </w:rPr>
              <w:t xml:space="preserve">Best Channel: </w:t>
            </w:r>
            <w:r>
              <w:rPr>
                <w:rFonts w:ascii="Calibri" w:cs="Calibri" w:eastAsia="Calibri" w:hAnsi="Calibri"/>
                <w:color w:val="222222"/>
                <w:sz w:val="19"/>
                <w:szCs w:val="19"/>
              </w:rPr>
              <w:t xml:space="preserve">Email</w:t>
            </w:r>
          </w:p>
        </w:tc>
      </w:tr>
    </w:tbl>
    <w:p>
      <w:pPr>
        <w:spacing w:after="180"/>
      </w:pPr>
    </w:p>
    <w:p>
      <w:pPr>
        <w:pStyle w:val="Heading1"/>
        <w:pBdr>
          <w:bottom w:val="single" w:color="C9A227" w:sz="12" w:space="4"/>
        </w:pBdr>
        <w:spacing w:after="160" w:before="360"/>
      </w:pPr>
      <w:r>
        <w:rPr>
          <w:rFonts w:ascii="Calibri" w:cs="Calibri" w:eastAsia="Calibri" w:hAnsi="Calibri"/>
          <w:b/>
          <w:bCs/>
          <w:color w:val="1F3864"/>
          <w:sz w:val="30"/>
          <w:szCs w:val="30"/>
        </w:rPr>
        <w:t xml:space="preserve">5. Sales Pipeline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Pipeline Metric</w:t>
            </w:r>
          </w:p>
        </w:tc>
        <w:tc>
          <w:tcPr>
            <w:tcW w:type="dxa" w:w="4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Value</w:t>
            </w:r>
          </w:p>
        </w:tc>
      </w:tr>
      <w:tr>
        <w:tc>
          <w:tcPr>
            <w:tcW w:type="dxa" w:w="535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Total Leads Sourced</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55 records (53 unique companies)</w:t>
            </w:r>
          </w:p>
        </w:tc>
      </w:tr>
      <w:tr>
        <w:tc>
          <w:tcPr>
            <w:tcW w:type="dxa" w:w="535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Hot Leads (Score ≥ 75)</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6 companies</w:t>
            </w:r>
          </w:p>
        </w:tc>
      </w:tr>
      <w:tr>
        <w:tc>
          <w:tcPr>
            <w:tcW w:type="dxa" w:w="535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Warm Leads (Score 50–74)</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28 companies</w:t>
            </w:r>
          </w:p>
        </w:tc>
      </w:tr>
      <w:tr>
        <w:tc>
          <w:tcPr>
            <w:tcW w:type="dxa" w:w="535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Cold Leads (Score &lt; 50)</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21 companies</w:t>
            </w:r>
          </w:p>
        </w:tc>
      </w:tr>
      <w:tr>
        <w:tc>
          <w:tcPr>
            <w:tcW w:type="dxa" w:w="535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Average Lead Score</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55.6 / 100</w:t>
            </w:r>
          </w:p>
        </w:tc>
      </w:tr>
      <w:tr>
        <w:tc>
          <w:tcPr>
            <w:tcW w:type="dxa" w:w="535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Top 10 Outreach-Ready Companies</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Selected — see Section 4</w:t>
            </w:r>
          </w:p>
        </w:tc>
      </w:tr>
      <w:tr>
        <w:tc>
          <w:tcPr>
            <w:tcW w:type="dxa" w:w="535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Sectors Represented in Top 10</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Electronics (EMS), Glass Fibre, Intralogistics Equipment, Metal Fabrication, Automotive Components, Wood Panel, Shipbuilding, CNC Precision Machining</w:t>
            </w:r>
          </w:p>
        </w:tc>
      </w:tr>
    </w:tbl>
    <w:p>
      <w:pPr>
        <w:spacing w:before="200"/>
      </w:pPr>
    </w:p>
    <w:p>
      <w:pPr>
        <w:spacing w:after="160" w:line="276"/>
      </w:pPr>
      <w:r>
        <w:rPr>
          <w:rFonts w:ascii="Calibri" w:cs="Calibri" w:eastAsia="Calibri" w:hAnsi="Calibri"/>
          <w:color w:val="222222"/>
          <w:sz w:val="21"/>
          <w:szCs w:val="21"/>
        </w:rPr>
        <w:t xml:space="preserve">Note: Two pairs of duplicate company records were identified during scoring — SIA Metalinvest (sourced twice, confirming a recurring welder vacancy) and SIA "LAT Shipbuilding" (sourced twice, across electrician and welder roles). Both duplicates were treated as independent positive hiring-signal confirmations rather than removed outright; a CRM import should de-duplicate to 53 unique company records while retaining this signal as a note on each account.</w:t>
      </w:r>
    </w:p>
    <w:p>
      <w:pPr>
        <w:pStyle w:val="Heading1"/>
        <w:pBdr>
          <w:bottom w:val="single" w:color="C9A227" w:sz="12" w:space="4"/>
        </w:pBdr>
        <w:spacing w:after="160" w:before="360"/>
      </w:pPr>
      <w:r>
        <w:rPr>
          <w:rFonts w:ascii="Calibri" w:cs="Calibri" w:eastAsia="Calibri" w:hAnsi="Calibri"/>
          <w:b/>
          <w:bCs/>
          <w:color w:val="1F3864"/>
          <w:sz w:val="30"/>
          <w:szCs w:val="30"/>
        </w:rPr>
        <w:t xml:space="preserve">6. Decision-Maker Mapping Strategy</w:t>
      </w:r>
    </w:p>
    <w:p>
      <w:pPr>
        <w:spacing w:after="160" w:line="276"/>
      </w:pPr>
      <w:r>
        <w:rPr>
          <w:rFonts w:ascii="Calibri" w:cs="Calibri" w:eastAsia="Calibri" w:hAnsi="Calibri"/>
          <w:color w:val="222222"/>
          <w:sz w:val="21"/>
          <w:szCs w:val="21"/>
        </w:rPr>
        <w:t xml:space="preserve">Blue-collar hiring needs in Latvian manufacturing SMEs are rarely owned by a single, consistent title. The mapping strategy below reflects the actual contact patterns observed across the lead database and prioritizes speed-to-contact over titular seniority.</w:t>
      </w:r>
    </w:p>
    <w:p>
      <w:pPr>
        <w:spacing w:after="80" w:before="200"/>
      </w:pPr>
      <w:r>
        <w:rPr>
          <w:rFonts w:ascii="Calibri" w:cs="Calibri" w:eastAsia="Calibri" w:hAnsi="Calibri"/>
          <w:b/>
          <w:bCs/>
          <w:color w:val="2E5395"/>
          <w:sz w:val="21"/>
          <w:szCs w:val="21"/>
        </w:rPr>
        <w:t xml:space="preserve">Primary Targets (in priority order)</w:t>
      </w:r>
    </w:p>
    <w:p>
      <w:pPr>
        <w:pStyle w:val="ListParagraph"/>
        <w:numPr>
          <w:ilvl w:val="0"/>
          <w:numId w:val="2"/>
        </w:numPr>
        <w:spacing w:after="90" w:line="270"/>
      </w:pPr>
      <w:r>
        <w:rPr>
          <w:rFonts w:ascii="Calibri" w:cs="Calibri" w:eastAsia="Calibri" w:hAnsi="Calibri"/>
          <w:color w:val="222222"/>
          <w:sz w:val="21"/>
          <w:szCs w:val="21"/>
        </w:rPr>
        <w:t xml:space="preserve">HR Manager / Talent Acquisition Manager — owns requisitions and vendor approval for staffing services in most mid-size and large companies (e.g., Hansa Matrix, Leax Baltix, SSI Schaefer).</w:t>
      </w:r>
    </w:p>
    <w:p>
      <w:pPr>
        <w:pStyle w:val="ListParagraph"/>
        <w:numPr>
          <w:ilvl w:val="0"/>
          <w:numId w:val="2"/>
        </w:numPr>
        <w:spacing w:after="90" w:line="270"/>
      </w:pPr>
      <w:r>
        <w:rPr>
          <w:rFonts w:ascii="Calibri" w:cs="Calibri" w:eastAsia="Calibri" w:hAnsi="Calibri"/>
          <w:color w:val="222222"/>
          <w:sz w:val="21"/>
          <w:szCs w:val="21"/>
        </w:rPr>
        <w:t xml:space="preserve">Operations / Production / Plant Manager — the practical owner of the pain point in smaller SMEs where no dedicated HR function exists; often the named contact on job postings.</w:t>
      </w:r>
    </w:p>
    <w:p>
      <w:pPr>
        <w:pStyle w:val="ListParagraph"/>
        <w:numPr>
          <w:ilvl w:val="0"/>
          <w:numId w:val="2"/>
        </w:numPr>
        <w:spacing w:after="90" w:line="270"/>
      </w:pPr>
      <w:r>
        <w:rPr>
          <w:rFonts w:ascii="Calibri" w:cs="Calibri" w:eastAsia="Calibri" w:hAnsi="Calibri"/>
          <w:color w:val="222222"/>
          <w:sz w:val="21"/>
          <w:szCs w:val="21"/>
        </w:rPr>
        <w:t xml:space="preserve">Managing Director / Owner — the effective decision-maker in small, founder-led SIAs (fewer than ~30 employees) where HR and operations are not separated.</w:t>
      </w:r>
    </w:p>
    <w:p>
      <w:pPr>
        <w:pStyle w:val="ListParagraph"/>
        <w:numPr>
          <w:ilvl w:val="0"/>
          <w:numId w:val="2"/>
        </w:numPr>
        <w:spacing w:after="90" w:line="270"/>
      </w:pPr>
      <w:r>
        <w:rPr>
          <w:rFonts w:ascii="Calibri" w:cs="Calibri" w:eastAsia="Calibri" w:hAnsi="Calibri"/>
          <w:color w:val="222222"/>
          <w:sz w:val="21"/>
          <w:szCs w:val="21"/>
        </w:rPr>
        <w:t xml:space="preserve">Personnel / Recruitment mailbox contacts (e.g., "personals@") — a strong signal that a company already has a semi-formal recruitment process; route the first message to this address and copy a named individual where available.</w:t>
      </w:r>
    </w:p>
    <w:p>
      <w:pPr>
        <w:spacing w:after="80" w:before="200"/>
      </w:pPr>
      <w:r>
        <w:rPr>
          <w:rFonts w:ascii="Calibri" w:cs="Calibri" w:eastAsia="Calibri" w:hAnsi="Calibri"/>
          <w:b/>
          <w:bCs/>
          <w:color w:val="2E5395"/>
          <w:sz w:val="21"/>
          <w:szCs w:val="21"/>
        </w:rPr>
        <w:t xml:space="preserve">Mapping Rules Applied to This Database</w:t>
      </w:r>
    </w:p>
    <w:p>
      <w:pPr>
        <w:pStyle w:val="ListParagraph"/>
        <w:numPr>
          <w:ilvl w:val="0"/>
          <w:numId w:val="2"/>
        </w:numPr>
        <w:spacing w:after="90" w:line="270"/>
      </w:pPr>
      <w:r>
        <w:rPr>
          <w:rFonts w:ascii="Calibri" w:cs="Calibri" w:eastAsia="Calibri" w:hAnsi="Calibri"/>
          <w:color w:val="222222"/>
          <w:sz w:val="21"/>
          <w:szCs w:val="21"/>
        </w:rPr>
        <w:t xml:space="preserve">Where a named HR contact with a corporate email exists, they are the primary target.</w:t>
      </w:r>
    </w:p>
    <w:p>
      <w:pPr>
        <w:pStyle w:val="ListParagraph"/>
        <w:numPr>
          <w:ilvl w:val="0"/>
          <w:numId w:val="2"/>
        </w:numPr>
        <w:spacing w:after="90" w:line="270"/>
      </w:pPr>
      <w:r>
        <w:rPr>
          <w:rFonts w:ascii="Calibri" w:cs="Calibri" w:eastAsia="Calibri" w:hAnsi="Calibri"/>
          <w:color w:val="222222"/>
          <w:sz w:val="21"/>
          <w:szCs w:val="21"/>
        </w:rPr>
        <w:t xml:space="preserve">Where only a director/owner is named (common in companies under ~20 employees), outreach is addressed to them directly, framed around cost and speed rather than process.</w:t>
      </w:r>
    </w:p>
    <w:p>
      <w:pPr>
        <w:pStyle w:val="ListParagraph"/>
        <w:numPr>
          <w:ilvl w:val="0"/>
          <w:numId w:val="2"/>
        </w:numPr>
        <w:spacing w:after="90" w:line="270"/>
      </w:pPr>
      <w:r>
        <w:rPr>
          <w:rFonts w:ascii="Calibri" w:cs="Calibri" w:eastAsia="Calibri" w:hAnsi="Calibri"/>
          <w:color w:val="222222"/>
          <w:sz w:val="21"/>
          <w:szCs w:val="21"/>
        </w:rPr>
        <w:t xml:space="preserve">Where only a generic office/info@ address is available, the first message requests a referral to the correct HR or operations contact rather than attempting a full pitch cold.</w:t>
      </w:r>
    </w:p>
    <w:p>
      <w:pPr>
        <w:pStyle w:val="ListParagraph"/>
        <w:numPr>
          <w:ilvl w:val="0"/>
          <w:numId w:val="2"/>
        </w:numPr>
        <w:spacing w:after="90" w:line="270"/>
      </w:pPr>
      <w:r>
        <w:rPr>
          <w:rFonts w:ascii="Calibri" w:cs="Calibri" w:eastAsia="Calibri" w:hAnsi="Calibri"/>
          <w:color w:val="222222"/>
          <w:sz w:val="21"/>
          <w:szCs w:val="21"/>
        </w:rPr>
        <w:t xml:space="preserve">LinkedIn is prioritized as the first channel wherever a named individual has a public profile, since it allows contact-quality verification before an email is sent.</w:t>
      </w:r>
    </w:p>
    <w:p>
      <w:pPr>
        <w:pStyle w:val="Heading1"/>
        <w:pBdr>
          <w:bottom w:val="single" w:color="C9A227" w:sz="12" w:space="4"/>
        </w:pBdr>
        <w:spacing w:after="160" w:before="360"/>
      </w:pPr>
      <w:r>
        <w:rPr>
          <w:rFonts w:ascii="Calibri" w:cs="Calibri" w:eastAsia="Calibri" w:hAnsi="Calibri"/>
          <w:b/>
          <w:bCs/>
          <w:color w:val="1F3864"/>
          <w:sz w:val="30"/>
          <w:szCs w:val="30"/>
        </w:rPr>
        <w:t xml:space="preserve">7. LinkedIn Message Template</w:t>
      </w:r>
    </w:p>
    <w:p>
      <w:pPr>
        <w:spacing w:after="80" w:before="200"/>
      </w:pPr>
      <w:r>
        <w:rPr>
          <w:rFonts w:ascii="Calibri" w:cs="Calibri" w:eastAsia="Calibri" w:hAnsi="Calibri"/>
          <w:b/>
          <w:bCs/>
          <w:color w:val="2E5395"/>
          <w:sz w:val="21"/>
          <w:szCs w:val="21"/>
        </w:rPr>
        <w:t xml:space="preserve">Connection Note (300 characters)</w:t>
      </w:r>
    </w:p>
    <w:p>
      <w:pPr>
        <w:pBdr>
          <w:left w:val="single" w:color="C9A227" w:sz="24" w:space="8"/>
        </w:pBdr>
        <w:shd w:fill="F2F2F2" w:val="clear"/>
        <w:spacing w:after="200"/>
        <w:ind w:left="200"/>
      </w:pPr>
      <w:r>
        <w:rPr>
          <w:rFonts w:ascii="Calibri" w:cs="Calibri" w:eastAsia="Calibri" w:hAnsi="Calibri"/>
          <w:i/>
          <w:iCs/>
          <w:color w:val="333333"/>
          <w:sz w:val="20"/>
          <w:szCs w:val="20"/>
        </w:rPr>
        <w:t xml:space="preserve">Hi [First Name], I work with manufacturers across the Baltics on sourcing skilled production staff internationally. Saw [Company]'s recent [role] opening — would welcome the chance to connect.</w:t>
      </w:r>
    </w:p>
    <w:p>
      <w:pPr>
        <w:spacing w:after="80" w:before="200"/>
      </w:pPr>
      <w:r>
        <w:rPr>
          <w:rFonts w:ascii="Calibri" w:cs="Calibri" w:eastAsia="Calibri" w:hAnsi="Calibri"/>
          <w:b/>
          <w:bCs/>
          <w:color w:val="2E5395"/>
          <w:sz w:val="21"/>
          <w:szCs w:val="21"/>
        </w:rPr>
        <w:t xml:space="preserve">Follow-Up Message (after connection is accepted)</w:t>
      </w:r>
    </w:p>
    <w:p>
      <w:pPr>
        <w:pBdr>
          <w:left w:val="single" w:color="C9A227" w:sz="24" w:space="8"/>
        </w:pBdr>
        <w:shd w:fill="F2F2F2" w:val="clear"/>
        <w:spacing w:after="120"/>
        <w:ind w:left="200"/>
      </w:pPr>
      <w:r>
        <w:rPr>
          <w:rFonts w:ascii="Calibri" w:cs="Calibri" w:eastAsia="Calibri" w:hAnsi="Calibri"/>
          <w:i/>
          <w:iCs/>
          <w:color w:val="333333"/>
          <w:sz w:val="20"/>
          <w:szCs w:val="20"/>
        </w:rPr>
        <w:t xml:space="preserve">Hi [First Name], thanks for connecting. I noticed [Company] has been hiring for [role] — a role we see a lot of our manufacturing clients across Latvia and the wider Baltics struggle to fill locally. We help companies like yours access pre-vetted, work-ready candidates internationally, handling sourcing, compliance, and mobility end-to-end. Would it be useful to spend 15 minutes discussing what's been working (and not working) in your current hiring process? Happy to work around your schedule.</w:t>
      </w:r>
    </w:p>
    <w:p>
      <w:pPr>
        <w:pStyle w:val="Heading1"/>
        <w:pBdr>
          <w:bottom w:val="single" w:color="C9A227" w:sz="12" w:space="4"/>
        </w:pBdr>
        <w:spacing w:after="160" w:before="360"/>
      </w:pPr>
      <w:r>
        <w:rPr>
          <w:rFonts w:ascii="Calibri" w:cs="Calibri" w:eastAsia="Calibri" w:hAnsi="Calibri"/>
          <w:b/>
          <w:bCs/>
          <w:color w:val="1F3864"/>
          <w:sz w:val="30"/>
          <w:szCs w:val="30"/>
        </w:rPr>
        <w:t xml:space="preserve">8. Cold Email Template</w:t>
      </w:r>
    </w:p>
    <w:p>
      <w:pPr>
        <w:spacing w:after="80" w:before="200"/>
      </w:pPr>
      <w:r>
        <w:rPr>
          <w:rFonts w:ascii="Calibri" w:cs="Calibri" w:eastAsia="Calibri" w:hAnsi="Calibri"/>
          <w:b/>
          <w:bCs/>
          <w:color w:val="2E5395"/>
          <w:sz w:val="21"/>
          <w:szCs w:val="21"/>
        </w:rPr>
        <w:t xml:space="preserve">Subject Line Options</w:t>
      </w:r>
    </w:p>
    <w:p>
      <w:pPr>
        <w:pStyle w:val="ListParagraph"/>
        <w:numPr>
          <w:ilvl w:val="0"/>
          <w:numId w:val="2"/>
        </w:numPr>
        <w:spacing w:after="90" w:line="270"/>
      </w:pPr>
      <w:r>
        <w:rPr>
          <w:rFonts w:ascii="Calibri" w:cs="Calibri" w:eastAsia="Calibri" w:hAnsi="Calibri"/>
          <w:color w:val="222222"/>
          <w:sz w:val="21"/>
          <w:szCs w:val="21"/>
        </w:rPr>
        <w:t xml:space="preserve">Solving [Company]'s [Role] hiring gap — international sourcing</w:t>
      </w:r>
    </w:p>
    <w:p>
      <w:pPr>
        <w:pStyle w:val="ListParagraph"/>
        <w:numPr>
          <w:ilvl w:val="0"/>
          <w:numId w:val="2"/>
        </w:numPr>
        <w:spacing w:after="90" w:line="270"/>
      </w:pPr>
      <w:r>
        <w:rPr>
          <w:rFonts w:ascii="Calibri" w:cs="Calibri" w:eastAsia="Calibri" w:hAnsi="Calibri"/>
          <w:color w:val="222222"/>
          <w:sz w:val="21"/>
          <w:szCs w:val="21"/>
        </w:rPr>
        <w:t xml:space="preserve">A faster path to qualified [Role]s for [Company]</w:t>
      </w:r>
    </w:p>
    <w:p>
      <w:pPr>
        <w:spacing w:after="80" w:before="200"/>
      </w:pPr>
      <w:r>
        <w:rPr>
          <w:rFonts w:ascii="Calibri" w:cs="Calibri" w:eastAsia="Calibri" w:hAnsi="Calibri"/>
          <w:b/>
          <w:bCs/>
          <w:color w:val="2E5395"/>
          <w:sz w:val="21"/>
          <w:szCs w:val="21"/>
        </w:rPr>
        <w:t xml:space="preserve">Email Body</w:t>
      </w:r>
    </w:p>
    <w:p>
      <w:pPr>
        <w:pBdr>
          <w:left w:val="single" w:color="C9A227" w:sz="24" w:space="8"/>
        </w:pBdr>
        <w:shd w:fill="F2F2F2" w:val="clear"/>
        <w:spacing w:after="200"/>
        <w:ind w:left="200"/>
      </w:pPr>
      <w:r>
        <w:rPr>
          <w:rFonts w:ascii="Calibri" w:cs="Calibri" w:eastAsia="Calibri" w:hAnsi="Calibri"/>
          <w:b/>
          <w:bCs/>
          <w:color w:val="333333"/>
          <w:sz w:val="20"/>
          <w:szCs w:val="20"/>
        </w:rPr>
        <w:t xml:space="preserve">Subject: Solving [Company]'s [Role] hiring gap — international sourcing
</w:t>
      </w:r>
      <w:r>
        <w:rPr>
          <w:rFonts w:ascii="Calibri" w:cs="Calibri" w:eastAsia="Calibri" w:hAnsi="Calibri"/>
          <w:color w:val="333333"/>
          <w:sz w:val="20"/>
          <w:szCs w:val="20"/>
        </w:rPr>
        <w:t xml:space="preserve">Hi [First Name],
I came across [Company]'s posting for a [Role] and wanted to reach out directly. We work with manufacturing employers across Latvia and the Baltics to close exactly this kind of hard-to-fill, skilled production role — sourcing candidates internationally, managing work permits and relocation logistics, and delivering work-ready staff typically within [X] weeks.
Given [Company]'s [export focus / production scale / specific detail relevant to the company], I suspect the local labour pool has been a persistent constraint rather than a one-off issue. If that's the case, I'd welcome a short call to walk through how our process works and what results similar manufacturers have seen.
Would you have 15 minutes this week or next?
Best regards,
[Your Name]
[Your Title]
[Company Name] | [Phone] | [Email]</w:t>
      </w:r>
    </w:p>
    <w:p>
      <w:pPr>
        <w:pStyle w:val="Heading1"/>
        <w:pBdr>
          <w:bottom w:val="single" w:color="C9A227" w:sz="12" w:space="4"/>
        </w:pBdr>
        <w:spacing w:after="160" w:before="360"/>
      </w:pPr>
      <w:r>
        <w:rPr>
          <w:rFonts w:ascii="Calibri" w:cs="Calibri" w:eastAsia="Calibri" w:hAnsi="Calibri"/>
          <w:b/>
          <w:bCs/>
          <w:color w:val="1F3864"/>
          <w:sz w:val="30"/>
          <w:szCs w:val="30"/>
        </w:rPr>
        <w:t xml:space="preserve">9. Follow-Up Sequence</w:t>
      </w:r>
    </w:p>
    <w:p>
      <w:pPr>
        <w:spacing w:after="160" w:line="276"/>
      </w:pPr>
      <w:r>
        <w:rPr>
          <w:rFonts w:ascii="Calibri" w:cs="Calibri" w:eastAsia="Calibri" w:hAnsi="Calibri"/>
          <w:color w:val="222222"/>
          <w:sz w:val="21"/>
          <w:szCs w:val="21"/>
        </w:rPr>
        <w:t xml:space="preserve">A structured, time-boxed cadence prevents high-quality leads from going cold while avoiding an overly aggressive cadence that damages the relationship before it starts.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50"/>
      </w:tblGrid>
      <w:tr>
        <w:trPr>
          <w:tblHeader/>
        </w:trPr>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Day</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Channel</w:t>
            </w:r>
          </w:p>
        </w:tc>
        <w:tc>
          <w:tcPr>
            <w:tcW w:type="dxa" w:w="57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Action</w:t>
            </w:r>
          </w:p>
        </w:tc>
      </w:tr>
      <w:tr>
        <w:tc>
          <w:tcPr>
            <w:tcW w:type="dxa" w:w="1400"/>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Day 1</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LinkedIn</w:t>
            </w:r>
          </w:p>
        </w:tc>
        <w:tc>
          <w:tcPr>
            <w:tcW w:type="dxa" w:w="5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Send connection request with personalized note referencing the specific open role.</w:t>
            </w:r>
          </w:p>
        </w:tc>
      </w:tr>
      <w:tr>
        <w:tc>
          <w:tcPr>
            <w:tcW w:type="dxa" w:w="1400"/>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Day 1</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Email</w:t>
            </w:r>
          </w:p>
        </w:tc>
        <w:tc>
          <w:tcPr>
            <w:tcW w:type="dxa" w:w="5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Send initial cold email (if no LinkedIn profile is available, or in parallel if one is).</w:t>
            </w:r>
          </w:p>
        </w:tc>
      </w:tr>
      <w:tr>
        <w:tc>
          <w:tcPr>
            <w:tcW w:type="dxa" w:w="1400"/>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Day 4</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LinkedIn</w:t>
            </w:r>
          </w:p>
        </w:tc>
        <w:tc>
          <w:tcPr>
            <w:tcW w:type="dxa" w:w="5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If connected but no reply, send the follow-up message referencing the value proposition.</w:t>
            </w:r>
          </w:p>
        </w:tc>
      </w:tr>
      <w:tr>
        <w:tc>
          <w:tcPr>
            <w:tcW w:type="dxa" w:w="1400"/>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Day 7</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Email</w:t>
            </w:r>
          </w:p>
        </w:tc>
        <w:tc>
          <w:tcPr>
            <w:tcW w:type="dxa" w:w="5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Send a short follow-up email: reframe around a specific result or client example, no repeat of the full pitch.</w:t>
            </w:r>
          </w:p>
        </w:tc>
      </w:tr>
      <w:tr>
        <w:tc>
          <w:tcPr>
            <w:tcW w:type="dxa" w:w="1400"/>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Day 12</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Phone</w:t>
            </w:r>
          </w:p>
        </w:tc>
        <w:tc>
          <w:tcPr>
            <w:tcW w:type="dxa" w:w="5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Call the office/HR line to ask for the named contact directly; reference the earlier email/LinkedIn touch.</w:t>
            </w:r>
          </w:p>
        </w:tc>
      </w:tr>
      <w:tr>
        <w:tc>
          <w:tcPr>
            <w:tcW w:type="dxa" w:w="1400"/>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Day 18</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Email</w:t>
            </w:r>
          </w:p>
        </w:tc>
        <w:tc>
          <w:tcPr>
            <w:tcW w:type="dxa" w:w="5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Send a brief "break-up" email offering to close the loop and check back in a future quarter.</w:t>
            </w:r>
          </w:p>
        </w:tc>
      </w:tr>
      <w:tr>
        <w:tc>
          <w:tcPr>
            <w:tcW w:type="dxa" w:w="1400"/>
            <w:tcMar>
              <w:top w:type="dxa" w:w="80"/>
              <w:left w:type="dxa" w:w="100"/>
              <w:bottom w:type="dxa" w:w="80"/>
              <w:right w:type="dxa" w:w="100"/>
            </w:tcMar>
            <w:vAlign w:val="center"/>
          </w:tcPr>
          <w:p>
            <w:pPr>
              <w:jc w:val="center"/>
            </w:pPr>
            <w:r>
              <w:rPr>
                <w:rFonts w:ascii="Calibri" w:cs="Calibri" w:eastAsia="Calibri" w:hAnsi="Calibri"/>
                <w:b/>
                <w:bCs/>
                <w:color w:val="222222"/>
                <w:sz w:val="19"/>
                <w:szCs w:val="19"/>
              </w:rPr>
              <w:t xml:space="preserve">Day 45</w:t>
            </w:r>
          </w:p>
        </w:tc>
        <w:tc>
          <w:tcPr>
            <w:tcW w:type="dxa" w:w="22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Email / LinkedIn</w:t>
            </w:r>
          </w:p>
        </w:tc>
        <w:tc>
          <w:tcPr>
            <w:tcW w:type="dxa" w:w="57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Re-engage with a new trigger (new job posting, seasonal hiring period, company news) if no response to date.</w:t>
            </w:r>
          </w:p>
        </w:tc>
      </w:tr>
    </w:tbl>
    <w:p>
      <w:pPr>
        <w:pStyle w:val="Heading1"/>
        <w:pBdr>
          <w:bottom w:val="single" w:color="C9A227" w:sz="12" w:space="4"/>
        </w:pBdr>
        <w:spacing w:after="160" w:before="360"/>
      </w:pPr>
      <w:r>
        <w:rPr>
          <w:rFonts w:ascii="Calibri" w:cs="Calibri" w:eastAsia="Calibri" w:hAnsi="Calibri"/>
          <w:b/>
          <w:bCs/>
          <w:color w:val="1F3864"/>
          <w:sz w:val="30"/>
          <w:szCs w:val="30"/>
        </w:rPr>
        <w:t xml:space="preserve">10. KPI Dashboard</w:t>
      </w:r>
    </w:p>
    <w:p>
      <w:pPr>
        <w:spacing w:after="160" w:line="276"/>
      </w:pPr>
      <w:r>
        <w:rPr>
          <w:rFonts w:ascii="Calibri" w:cs="Calibri" w:eastAsia="Calibri" w:hAnsi="Calibri"/>
          <w:color w:val="222222"/>
          <w:sz w:val="21"/>
          <w:szCs w:val="21"/>
        </w:rPr>
        <w:t xml:space="preserve">These benchmarks are drawn from typical B2B outbound staffing/recruitment sales performance and should be recalibrated after the first 60–90 days of live outreach against this specific lead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50"/>
      </w:tblGrid>
      <w:tr>
        <w:trPr>
          <w:tblHeader/>
        </w:trPr>
        <w:tc>
          <w:tcPr>
            <w:tcW w:type="dxa" w:w="3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KPI</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Target</w:t>
            </w:r>
          </w:p>
        </w:tc>
        <w:tc>
          <w:tcPr>
            <w:tcW w:type="dxa" w:w="31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LinkedIn Connection Acceptance Rate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35–45%</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Measures relevance of targeting and message personalization</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Email Open Rate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40–55%</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Measures subject-line quality and sender/domain reputation</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Email Reply Rate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8–12%</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Measures message relevance and offer strength</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Meetings Booked per 25 Outreach Attempts</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3–5</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Core top-of-funnel conversion measure</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Lead-to-Qualified-Opportunity Rate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20–30%</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Measures how many meetings convert into a real staffing requirement</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Qualified-Opportunity-to-Client Rate</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25–35%</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Measures close effectiveness once a genuine need is confirmed</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Average Sales Cycle Length</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4–8 weeks</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Tracks time from first touch to signed agreement</w:t>
            </w:r>
          </w:p>
        </w:tc>
      </w:tr>
      <w:tr>
        <w:tc>
          <w:tcPr>
            <w:tcW w:type="dxa" w:w="38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Hot Leads Contacted Within 48 Hours</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100%</w:t>
            </w:r>
          </w:p>
        </w:tc>
        <w:tc>
          <w:tcPr>
            <w:tcW w:type="dxa" w:w="31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Ensures the highest-value leads are never left waiting</w:t>
            </w:r>
          </w:p>
        </w:tc>
      </w:tr>
    </w:tbl>
    <w:p>
      <w:pPr>
        <w:pStyle w:val="Heading1"/>
        <w:pBdr>
          <w:bottom w:val="single" w:color="C9A227" w:sz="12" w:space="4"/>
        </w:pBdr>
        <w:spacing w:after="160" w:before="360"/>
      </w:pPr>
      <w:r>
        <w:rPr>
          <w:rFonts w:ascii="Calibri" w:cs="Calibri" w:eastAsia="Calibri" w:hAnsi="Calibri"/>
          <w:b/>
          <w:bCs/>
          <w:color w:val="1F3864"/>
          <w:sz w:val="30"/>
          <w:szCs w:val="30"/>
        </w:rPr>
        <w:t xml:space="preserve">11. Expected Outcomes</w:t>
      </w:r>
    </w:p>
    <w:p>
      <w:pPr>
        <w:spacing w:after="160" w:line="276"/>
      </w:pPr>
      <w:r>
        <w:rPr>
          <w:rFonts w:ascii="Calibri" w:cs="Calibri" w:eastAsia="Calibri" w:hAnsi="Calibri"/>
          <w:color w:val="222222"/>
          <w:sz w:val="21"/>
          <w:szCs w:val="21"/>
        </w:rPr>
        <w:t xml:space="preserve">Applying this strategy to the 55-lead database, with the KPI benchmarks above, the following outcomes are realistically achievable over a 90-day initial outreach window:</w:t>
      </w:r>
    </w:p>
    <w:p>
      <w:pPr>
        <w:pStyle w:val="ListParagraph"/>
        <w:numPr>
          <w:ilvl w:val="0"/>
          <w:numId w:val="2"/>
        </w:numPr>
        <w:spacing w:after="90" w:line="270"/>
      </w:pPr>
      <w:r>
        <w:rPr>
          <w:rFonts w:ascii="Calibri" w:cs="Calibri" w:eastAsia="Calibri" w:hAnsi="Calibri"/>
          <w:color w:val="222222"/>
          <w:sz w:val="21"/>
          <w:szCs w:val="21"/>
        </w:rPr>
        <w:t xml:space="preserve">All 6 Hot leads contacted within the first week, with 2–3 meetings booked from this group alone given their strong fit and contact quality.</w:t>
      </w:r>
    </w:p>
    <w:p>
      <w:pPr>
        <w:pStyle w:val="ListParagraph"/>
        <w:numPr>
          <w:ilvl w:val="0"/>
          <w:numId w:val="2"/>
        </w:numPr>
        <w:spacing w:after="90" w:line="270"/>
      </w:pPr>
      <w:r>
        <w:rPr>
          <w:rFonts w:ascii="Calibri" w:cs="Calibri" w:eastAsia="Calibri" w:hAnsi="Calibri"/>
          <w:color w:val="222222"/>
          <w:sz w:val="21"/>
          <w:szCs w:val="21"/>
        </w:rPr>
        <w:t xml:space="preserve">The 28 Warm leads worked through the full follow-up sequence over 6–8 weeks, yielding an estimated 4–7 additional qualified meetings.</w:t>
      </w:r>
    </w:p>
    <w:p>
      <w:pPr>
        <w:pStyle w:val="ListParagraph"/>
        <w:numPr>
          <w:ilvl w:val="0"/>
          <w:numId w:val="2"/>
        </w:numPr>
        <w:spacing w:after="90" w:line="270"/>
      </w:pPr>
      <w:r>
        <w:rPr>
          <w:rFonts w:ascii="Calibri" w:cs="Calibri" w:eastAsia="Calibri" w:hAnsi="Calibri"/>
          <w:color w:val="222222"/>
          <w:sz w:val="21"/>
          <w:szCs w:val="21"/>
        </w:rPr>
        <w:t xml:space="preserve">An estimated 1–3 signed staffing agreements or active search mandates within the first quarter, concentrated among the Top 10 shortlist.</w:t>
      </w:r>
    </w:p>
    <w:p>
      <w:pPr>
        <w:pStyle w:val="ListParagraph"/>
        <w:numPr>
          <w:ilvl w:val="0"/>
          <w:numId w:val="2"/>
        </w:numPr>
        <w:spacing w:after="90" w:line="270"/>
      </w:pPr>
      <w:r>
        <w:rPr>
          <w:rFonts w:ascii="Calibri" w:cs="Calibri" w:eastAsia="Calibri" w:hAnsi="Calibri"/>
          <w:color w:val="222222"/>
          <w:sz w:val="21"/>
          <w:szCs w:val="21"/>
        </w:rPr>
        <w:t xml:space="preserve">A validated, repeatable sourcing-and-scoring playbook that can be re-applied to expand the database into adjacent Baltic markets (Lithuania, Estonia) or additional Latvian trades beyond the four covered here.</w:t>
      </w:r>
    </w:p>
    <w:p>
      <w:pPr>
        <w:spacing w:after="160" w:line="276"/>
      </w:pPr>
      <w:r>
        <w:rPr>
          <w:rFonts w:ascii="Calibri" w:cs="Calibri" w:eastAsia="Calibri" w:hAnsi="Calibri"/>
          <w:color w:val="222222"/>
          <w:sz w:val="21"/>
          <w:szCs w:val="21"/>
        </w:rPr>
        <w:t xml:space="preserve">Beyond immediate pipeline value, this project demonstrates an end-to-end business development capability: market and sector research, systematic lead sourcing, objective lead scoring, decision-maker mapping, and multi-channel outreach design — a full-cycle BD workflow suitable for a staffing, recruitment, or B2B sales portfolio.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Latvia Manufacturing Market Entry &amp; Lead Generation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2026-07-05T15:24:11.971Z</dcterms:created>
  <dcterms:modified xsi:type="dcterms:W3CDTF">2026-07-05T15:24:11.971Z</dcterms:modified>
</cp:coreProperties>
</file>

<file path=docProps/custom.xml><?xml version="1.0" encoding="utf-8"?>
<Properties xmlns="http://schemas.openxmlformats.org/officeDocument/2006/custom-properties" xmlns:vt="http://schemas.openxmlformats.org/officeDocument/2006/docPropsVTypes"/>
</file>