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1F3864"/>
          <w:sz w:val="52"/>
          <w:szCs w:val="52"/>
        </w:rPr>
        <w:t xml:space="preserve">LATVIA MARKET RESEARCH REPORT</w:t>
      </w:r>
    </w:p>
    <w:p>
      <w:pPr>
        <w:spacing w:after="200"/>
        <w:jc w:val="center"/>
      </w:pPr>
      <w:r>
        <w:rPr>
          <w:rFonts w:ascii="Calibri" w:cs="Calibri" w:eastAsia="Calibri" w:hAnsi="Calibri"/>
          <w:b/>
          <w:bCs/>
          <w:color w:val="1F3864"/>
          <w:sz w:val="30"/>
          <w:szCs w:val="30"/>
        </w:rPr>
        <w:t xml:space="preserve">Manufacturing, Labour Market &amp; Recruitment Opportunity Analysis</w:t>
      </w:r>
    </w:p>
    <w:p>
      <w:pPr>
        <w:pBdr>
          <w:bottom w:val="single" w:color="C9A227" w:sz="18" w:space="10"/>
        </w:pBdr>
        <w:spacing w:after="500"/>
        <w:jc w:val="center"/>
      </w:pPr>
      <w:r>
        <w:rPr>
          <w:sz w:val="4"/>
          <w:szCs w:val="4"/>
        </w:rPr>
        <w:t xml:space="preserve"> </w:t>
      </w:r>
    </w:p>
    <w:p>
      <w:pPr>
        <w:spacing w:after="120"/>
        <w:jc w:val="center"/>
      </w:pPr>
      <w:r>
        <w:rPr>
          <w:rFonts w:ascii="Calibri" w:cs="Calibri" w:eastAsia="Calibri" w:hAnsi="Calibri"/>
          <w:i/>
          <w:iCs/>
          <w:color w:val="595959"/>
          <w:sz w:val="24"/>
          <w:szCs w:val="24"/>
        </w:rPr>
        <w:t xml:space="preserve">Country Overview | Economic Snapshot | Major Industries | Labour Demand | Recruitment Opportunity</w:t>
      </w:r>
    </w:p>
    <w:p>
      <w:pPr>
        <w:spacing w:before="1400"/>
        <w:jc w:val="center"/>
      </w:pPr>
      <w:r>
        <w:rPr>
          <w:rFonts w:ascii="Calibri" w:cs="Calibri" w:eastAsia="Calibri" w:hAnsi="Calibri"/>
          <w:color w:val="444444"/>
          <w:sz w:val="20"/>
          <w:szCs w:val="20"/>
        </w:rPr>
        <w:t xml:space="preserve">Prepared by: Business Development Function</w:t>
      </w:r>
    </w:p>
    <w:p>
      <w:pPr>
        <w:spacing w:after="60"/>
        <w:jc w:val="center"/>
      </w:pPr>
      <w:r>
        <w:rPr>
          <w:rFonts w:ascii="Calibri" w:cs="Calibri" w:eastAsia="Calibri" w:hAnsi="Calibri"/>
          <w:color w:val="444444"/>
          <w:sz w:val="20"/>
          <w:szCs w:val="20"/>
        </w:rPr>
        <w:t xml:space="preserve">Target Market: Republic of Latvia</w:t>
      </w:r>
    </w:p>
    <w:p>
      <w:pPr>
        <w:spacing w:after="60"/>
        <w:jc w:val="center"/>
      </w:pPr>
      <w:r>
        <w:rPr>
          <w:rFonts w:ascii="Calibri" w:cs="Calibri" w:eastAsia="Calibri" w:hAnsi="Calibri"/>
          <w:color w:val="444444"/>
          <w:sz w:val="20"/>
          <w:szCs w:val="20"/>
        </w:rPr>
        <w:t xml:space="preserve">Date: July 2026</w:t>
      </w:r>
    </w:p>
    <w:p>
      <w:r>
        <w:br w:type="page"/>
      </w:r>
    </w:p>
    <w:p>
      <w:pPr>
        <w:sectPr>
          <w:pgSz w:w="12240" w:h="15840" w:orient="portrait"/>
          <w:pgMar w:top="1080" w:right="1080" w:bottom="1080" w:left="1080" w:header="708" w:footer="708" w:gutter="0"/>
          <w:pgNumType/>
          <w:docGrid w:linePitch="360"/>
        </w:sectPr>
      </w:pPr>
    </w:p>
    <w:p>
      <w:pPr>
        <w:pStyle w:val="Heading1"/>
        <w:pBdr>
          <w:bottom w:val="single" w:color="C9A227" w:sz="12" w:space="4"/>
        </w:pBdr>
        <w:spacing w:after="160" w:before="380"/>
      </w:pPr>
      <w:r>
        <w:rPr>
          <w:rFonts w:ascii="Calibri" w:cs="Calibri" w:eastAsia="Calibri" w:hAnsi="Calibri"/>
          <w:b/>
          <w:bCs/>
          <w:color w:val="1F3864"/>
          <w:sz w:val="30"/>
          <w:szCs w:val="30"/>
        </w:rPr>
        <w:t xml:space="preserve">1. Executive Summary</w:t>
      </w:r>
    </w:p>
    <w:p>
      <w:pPr>
        <w:spacing w:after="160" w:line="276"/>
      </w:pPr>
      <w:r>
        <w:rPr>
          <w:rFonts w:ascii="Calibri" w:cs="Calibri" w:eastAsia="Calibri" w:hAnsi="Calibri"/>
          <w:color w:val="222222"/>
          <w:sz w:val="21"/>
          <w:szCs w:val="21"/>
        </w:rPr>
        <w:t xml:space="preserve">Latvia is a small, open, export-driven economy of approximately 1.845 million people, strategically located in the Baltic region between Western Europe and Nordic and Eastern markets. The country's economy rests on three pillars: a large services sector (around 62–64% of GDP), a substantial industrial base of manufacturing and construction (roughly 20–22% of GDP), and a modest agricultural sector (around 4–5% of GDP).</w:t>
      </w:r>
    </w:p>
    <w:p>
      <w:pPr>
        <w:spacing w:after="160" w:line="276"/>
      </w:pPr>
      <w:r>
        <w:rPr>
          <w:rFonts w:ascii="Calibri" w:cs="Calibri" w:eastAsia="Calibri" w:hAnsi="Calibri"/>
          <w:color w:val="222222"/>
          <w:sz w:val="21"/>
          <w:szCs w:val="21"/>
        </w:rPr>
        <w:t xml:space="preserve">Latvia's defining structural challenge — and the core commercial opportunity for international staffing and recruitment services — is demographic. The population has been shrinking for over three decades due to low birth rates, an aging population, and sustained emigration of working-age citizens to Western Europe. The result is a persistent and well-documented skills and labour shortage: recent labour-market analysis estimates a shortfall of roughly 45,700 vocational and technical workers (including welders, machine operators, and electricians) alongside a shortage of around 10,000 highly qualified ICT, engineering, and science specialists.</w:t>
      </w:r>
    </w:p>
    <w:p>
      <w:pPr>
        <w:spacing w:after="160" w:line="276"/>
      </w:pPr>
      <w:r>
        <w:rPr>
          <w:rFonts w:ascii="Calibri" w:cs="Calibri" w:eastAsia="Calibri" w:hAnsi="Calibri"/>
          <w:color w:val="222222"/>
          <w:sz w:val="21"/>
          <w:szCs w:val="21"/>
        </w:rPr>
        <w:t xml:space="preserve">Manufacturing is the sector most exposed to this shortage and the most relevant for staffing and recruitment business development. Wood processing, metal fabrication and mechanical engineering, food and beverage production, and electronics assembly together form a deep, export-oriented industrial base concentrated around Riga, Liepāja, and Daugavpils. These industries report chronic difficulty filling welder, CNC operator, technician, and warehouse roles, and are increasingly turning to work permits, the EU Blue Card scheme, and foreign labour to sustain production.</w:t>
      </w:r>
    </w:p>
    <w:p>
      <w:pPr>
        <w:spacing w:after="160" w:line="276"/>
      </w:pPr>
      <w:r>
        <w:rPr>
          <w:rFonts w:ascii="Calibri" w:cs="Calibri" w:eastAsia="Calibri" w:hAnsi="Calibri"/>
          <w:color w:val="222222"/>
          <w:sz w:val="21"/>
          <w:szCs w:val="21"/>
        </w:rPr>
        <w:t xml:space="preserve">This report consolidates verified market, demographic, and sectoral data with a practical lead-generation methodology — job portals, company websites, LinkedIn, and business directories — to support a targeted client acquisition strategy for international recruitment and staffing services entering the Latvian manufacturing market.</w:t>
      </w:r>
    </w:p>
    <w:p>
      <w:pPr>
        <w:pStyle w:val="Heading1"/>
        <w:pBdr>
          <w:bottom w:val="single" w:color="C9A227" w:sz="12" w:space="4"/>
        </w:pBdr>
        <w:spacing w:after="160" w:before="380"/>
      </w:pPr>
      <w:r>
        <w:rPr>
          <w:rFonts w:ascii="Calibri" w:cs="Calibri" w:eastAsia="Calibri" w:hAnsi="Calibri"/>
          <w:b/>
          <w:bCs/>
          <w:color w:val="1F3864"/>
          <w:sz w:val="30"/>
          <w:szCs w:val="30"/>
        </w:rPr>
        <w:t xml:space="preserve">2. Country &amp; Demographic Overview</w:t>
      </w:r>
    </w:p>
    <w:p>
      <w:pPr>
        <w:spacing w:after="160" w:line="276"/>
      </w:pPr>
      <w:r>
        <w:rPr>
          <w:rFonts w:ascii="Calibri" w:cs="Calibri" w:eastAsia="Calibri" w:hAnsi="Calibri"/>
          <w:color w:val="222222"/>
          <w:sz w:val="21"/>
          <w:szCs w:val="21"/>
        </w:rPr>
        <w:t xml:space="preserve">Latvia is one of the three Baltic states in Northern Europe, alongside Estonia and Lithuania. Despite its small size, Latvia holds a strategically important position in Europe due to its geographic location at the crossroads of Western European, Nordic, and Eastern markets, a skilled workforce, and an established industrial base.</w:t>
      </w:r>
    </w:p>
    <w:p>
      <w:pPr>
        <w:pStyle w:val="Heading2"/>
        <w:spacing w:after="110" w:before="260"/>
      </w:pPr>
      <w:r>
        <w:rPr>
          <w:rFonts w:ascii="Calibri" w:cs="Calibri" w:eastAsia="Calibri" w:hAnsi="Calibri"/>
          <w:b/>
          <w:bCs/>
          <w:color w:val="2E5395"/>
          <w:sz w:val="24"/>
          <w:szCs w:val="24"/>
        </w:rPr>
        <w:t xml:space="preserve">2.1 Population &amp; Demographic Trends</w:t>
      </w:r>
    </w:p>
    <w:p>
      <w:pPr>
        <w:spacing w:after="160" w:line="276"/>
      </w:pPr>
      <w:r>
        <w:rPr>
          <w:rFonts w:ascii="Calibri" w:cs="Calibri" w:eastAsia="Calibri" w:hAnsi="Calibri"/>
          <w:color w:val="222222"/>
          <w:sz w:val="21"/>
          <w:szCs w:val="21"/>
        </w:rPr>
        <w:t xml:space="preserve">According to the Central Statistical Bureau of Latvia (CSB), the country's population stood at approximately 1.845 million at the start of 2026 (UN/Worldometer mid-year estimates place the figure at approximately 1.836 million). Latvia ranks as the 151st most populous country in the world.</w:t>
      </w:r>
    </w:p>
    <w:p>
      <w:pPr>
        <w:spacing w:after="160" w:line="276"/>
      </w:pPr>
      <w:r>
        <w:rPr>
          <w:rFonts w:ascii="Calibri" w:cs="Calibri" w:eastAsia="Calibri" w:hAnsi="Calibri"/>
          <w:color w:val="222222"/>
          <w:sz w:val="21"/>
          <w:szCs w:val="21"/>
        </w:rPr>
        <w:t xml:space="preserve">Latvia's population has been in continuous decline since the early 1990s, currently contracting at a rate of approximately -0.78% per year — one of the fastest depopulation rates in the European Union. This decline is driven by three compounding factors: a low birth rate, an aging population (residents aged 65+ now make up around 22.4% of the population), and sustained net emigration of working-age citizens to Western Europe. The mean population age is approximately 43.7 years.</w:t>
      </w:r>
    </w:p>
    <w:p>
      <w:pPr>
        <w:spacing w:after="160" w:line="276"/>
      </w:pPr>
      <w:r>
        <w:rPr>
          <w:rFonts w:ascii="Calibri" w:cs="Calibri" w:eastAsia="Calibri" w:hAnsi="Calibri"/>
          <w:color w:val="222222"/>
          <w:sz w:val="21"/>
          <w:szCs w:val="21"/>
        </w:rPr>
        <w:t xml:space="preserve">The gender distribution is notably imbalanced, with approximately 852,900 males (46.45%) against 983,100 females (53.55%). Roughly 67.7% of the population lives in urban areas, with Riga — the capital and by far the largest city — serving as the country's economic, industrial, and employment center. Population density nationally is low, at approximately 30 people per square kilometer, reflecting a large land area relative to the available workforce.</w:t>
      </w:r>
    </w:p>
    <w:p>
      <w:pPr>
        <w:pStyle w:val="Heading2"/>
        <w:spacing w:after="110" w:before="260"/>
      </w:pPr>
      <w:r>
        <w:rPr>
          <w:rFonts w:ascii="Calibri" w:cs="Calibri" w:eastAsia="Calibri" w:hAnsi="Calibri"/>
          <w:b/>
          <w:bCs/>
          <w:color w:val="2E5395"/>
          <w:sz w:val="24"/>
          <w:szCs w:val="24"/>
        </w:rPr>
        <w:t xml:space="preserve">2.2 Why This Matters for Recruitment &amp; Staffing</w:t>
      </w:r>
    </w:p>
    <w:p>
      <w:pPr>
        <w:spacing w:after="160" w:line="276"/>
      </w:pPr>
      <w:r>
        <w:rPr>
          <w:rFonts w:ascii="Calibri" w:cs="Calibri" w:eastAsia="Calibri" w:hAnsi="Calibri"/>
          <w:color w:val="222222"/>
          <w:sz w:val="21"/>
          <w:szCs w:val="21"/>
        </w:rPr>
        <w:t xml:space="preserve">Latvia's shrinking, aging population is the single most important structural driver of demand for international workforce solutions. Manufacturing, construction, logistics, and healthcare employers are already competing for a declining pool of domestic labour, and this dynamic is projected to intensify over the next decade. This makes Latvia a genuinely attractive, underserved market for international recruitment agencies and workforce suppliers — rather than a market where staffing services are a discretionary add-on, they increasingly represent a structural necessity for continued production.</w:t>
      </w:r>
    </w:p>
    <w:p>
      <w:pPr>
        <w:spacing w:after="200" w:before="60"/>
      </w:pPr>
      <w:r>
        <w:rPr>
          <w:rFonts w:ascii="Calibri" w:cs="Calibri" w:eastAsia="Calibri" w:hAnsi="Calibri"/>
          <w:i/>
          <w:iCs/>
          <w:color w:val="595959"/>
          <w:sz w:val="17"/>
          <w:szCs w:val="17"/>
        </w:rPr>
        <w:t xml:space="preserve">Sources: Central Statistical Bureau of Latvia (CSB); Worldometer – Latvia Population; StatisticsTimes – Latvia Demographics; Countrymeters – Latvia Population.</w:t>
      </w:r>
    </w:p>
    <w:p>
      <w:pPr>
        <w:pStyle w:val="Heading1"/>
        <w:pBdr>
          <w:bottom w:val="single" w:color="C9A227" w:sz="12" w:space="4"/>
        </w:pBdr>
        <w:spacing w:after="160" w:before="380"/>
      </w:pPr>
      <w:r>
        <w:rPr>
          <w:rFonts w:ascii="Calibri" w:cs="Calibri" w:eastAsia="Calibri" w:hAnsi="Calibri"/>
          <w:b/>
          <w:bCs/>
          <w:color w:val="1F3864"/>
          <w:sz w:val="30"/>
          <w:szCs w:val="30"/>
        </w:rPr>
        <w:t xml:space="preserve">3. Economic Snapshot</w:t>
      </w:r>
    </w:p>
    <w:p>
      <w:pPr>
        <w:spacing w:after="160" w:line="276"/>
      </w:pPr>
      <w:r>
        <w:rPr>
          <w:rFonts w:ascii="Calibri" w:cs="Calibri" w:eastAsia="Calibri" w:hAnsi="Calibri"/>
          <w:color w:val="222222"/>
          <w:sz w:val="21"/>
          <w:szCs w:val="21"/>
        </w:rPr>
        <w:t xml:space="preserve">Latvia's economy is a developed, open, mixed economy and a member of the EU (since 2004), the Eurozone (since 2014), and the OECD (since 2016). GDP at current prices reached approximately EUR 11.8 billion in Q4 2025 alone, with full-year 2025 GDP growth of 2.1%, and manufacturing was the single largest contributor to that growth.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050"/>
        <w:gridCol w:w="2000"/>
      </w:tblGrid>
      <w:tr>
        <w:trPr>
          <w:tblHeader/>
        </w:trPr>
        <w:tc>
          <w:tcPr>
            <w:tcW w:type="dxa" w:w="3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Sector</w:t>
            </w:r>
          </w:p>
        </w:tc>
        <w:tc>
          <w:tcPr>
            <w:tcW w:type="dxa" w:w="21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Share of GDP</w:t>
            </w:r>
          </w:p>
        </w:tc>
        <w:tc>
          <w:tcPr>
            <w:tcW w:type="dxa" w:w="20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Share of Employment</w:t>
            </w:r>
          </w:p>
        </w:tc>
        <w:tc>
          <w:tcPr>
            <w:tcW w:type="dxa" w:w="2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Trend</w:t>
            </w:r>
          </w:p>
        </w:tc>
      </w:tr>
      <w:tr>
        <w:tc>
          <w:tcPr>
            <w:tcW w:type="dxa" w:w="3200"/>
            <w:shd w:fill="F5EFDA"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Services</w:t>
            </w:r>
          </w:p>
        </w:tc>
        <w:tc>
          <w:tcPr>
            <w:tcW w:type="dxa" w:w="21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~61.6% – 64%</w:t>
            </w:r>
          </w:p>
        </w:tc>
        <w:tc>
          <w:tcPr>
            <w:tcW w:type="dxa" w:w="205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~70.3%</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Stable / growing</w:t>
            </w:r>
          </w:p>
        </w:tc>
      </w:tr>
      <w:tr>
        <w:tc>
          <w:tcPr>
            <w:tcW w:type="dxa" w:w="3200"/>
            <w:shd w:fill="F5EFDA"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Industry (incl. manufacturing &amp; construction)</w:t>
            </w:r>
          </w:p>
        </w:tc>
        <w:tc>
          <w:tcPr>
            <w:tcW w:type="dxa" w:w="21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~20% – 22.3%</w:t>
            </w:r>
          </w:p>
        </w:tc>
        <w:tc>
          <w:tcPr>
            <w:tcW w:type="dxa" w:w="205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~22.9% – 23%</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Manufacturing was the leading contributor to GDP growth in Q4 2025</w:t>
            </w:r>
          </w:p>
        </w:tc>
      </w:tr>
      <w:tr>
        <w:tc>
          <w:tcPr>
            <w:tcW w:type="dxa" w:w="3200"/>
            <w:shd w:fill="F5EFDA"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Agriculture, Forestry &amp; Fishing</w:t>
            </w:r>
          </w:p>
        </w:tc>
        <w:tc>
          <w:tcPr>
            <w:tcW w:type="dxa" w:w="21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~3.6% – 5%</w:t>
            </w:r>
          </w:p>
        </w:tc>
        <w:tc>
          <w:tcPr>
            <w:tcW w:type="dxa" w:w="205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~6.8% – 7%</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Stable, export-oriented</w:t>
            </w:r>
          </w:p>
        </w:tc>
      </w:tr>
    </w:tbl>
    <w:p>
      <w:pPr>
        <w:spacing w:before="160"/>
      </w:pPr>
    </w:p>
    <w:p>
      <w:pPr>
        <w:pStyle w:val="Heading2"/>
        <w:spacing w:after="110" w:before="260"/>
      </w:pPr>
      <w:r>
        <w:rPr>
          <w:rFonts w:ascii="Calibri" w:cs="Calibri" w:eastAsia="Calibri" w:hAnsi="Calibri"/>
          <w:b/>
          <w:bCs/>
          <w:color w:val="2E5395"/>
          <w:sz w:val="24"/>
          <w:szCs w:val="24"/>
        </w:rPr>
        <w:t xml:space="preserve">3.1 Services Sector</w:t>
      </w:r>
    </w:p>
    <w:p>
      <w:pPr>
        <w:spacing w:after="160" w:line="276"/>
      </w:pPr>
      <w:r>
        <w:rPr>
          <w:rFonts w:ascii="Calibri" w:cs="Calibri" w:eastAsia="Calibri" w:hAnsi="Calibri"/>
          <w:color w:val="222222"/>
          <w:sz w:val="21"/>
          <w:szCs w:val="21"/>
        </w:rPr>
        <w:t xml:space="preserve">Services form the backbone of the Latvian economy, contributing 61.6–64% of GDP and employing around 70% of the workforce. Key service industries include transportation and logistics, information and communication technology (ICT, contributing around 6% of GDP across more than 6,900 companies), financial services, and tourism. Latvia's strategic Baltic location makes it an important trade and logistics hub connecting Europe with neighbouring markets.</w:t>
      </w:r>
    </w:p>
    <w:p>
      <w:pPr>
        <w:pStyle w:val="Heading2"/>
        <w:spacing w:after="110" w:before="260"/>
      </w:pPr>
      <w:r>
        <w:rPr>
          <w:rFonts w:ascii="Calibri" w:cs="Calibri" w:eastAsia="Calibri" w:hAnsi="Calibri"/>
          <w:b/>
          <w:bCs/>
          <w:color w:val="2E5395"/>
          <w:sz w:val="24"/>
          <w:szCs w:val="24"/>
        </w:rPr>
        <w:t xml:space="preserve">3.2 Industry, Construction &amp; Manufacturing</w:t>
      </w:r>
    </w:p>
    <w:p>
      <w:pPr>
        <w:spacing w:after="160" w:line="276"/>
      </w:pPr>
      <w:r>
        <w:rPr>
          <w:rFonts w:ascii="Calibri" w:cs="Calibri" w:eastAsia="Calibri" w:hAnsi="Calibri"/>
          <w:color w:val="222222"/>
          <w:sz w:val="21"/>
          <w:szCs w:val="21"/>
        </w:rPr>
        <w:t xml:space="preserve">The broader industrial sector — comprising manufacturing, construction, mining, and utilities — contributes approximately 20–22% of GDP and employs roughly 23% of the workforce. Within this, manufacturing is the core driver, anchored by woodworking and timber processing (Latvia's largest manufacturing sub-sector), followed by mechanical engineering and metalworking, and food and beverage production. The construction sector has also expanded significantly, driven in part by the Rail Baltica high-speed rail project connecting Helsinki to Berlin via the Baltic states.</w:t>
      </w:r>
    </w:p>
    <w:p>
      <w:pPr>
        <w:pStyle w:val="Heading2"/>
        <w:spacing w:after="110" w:before="260"/>
      </w:pPr>
      <w:r>
        <w:rPr>
          <w:rFonts w:ascii="Calibri" w:cs="Calibri" w:eastAsia="Calibri" w:hAnsi="Calibri"/>
          <w:b/>
          <w:bCs/>
          <w:color w:val="2E5395"/>
          <w:sz w:val="24"/>
          <w:szCs w:val="24"/>
        </w:rPr>
        <w:t xml:space="preserve">3.3 Agriculture &amp; Forestry</w:t>
      </w:r>
    </w:p>
    <w:p>
      <w:pPr>
        <w:spacing w:after="160" w:line="276"/>
      </w:pPr>
      <w:r>
        <w:rPr>
          <w:rFonts w:ascii="Calibri" w:cs="Calibri" w:eastAsia="Calibri" w:hAnsi="Calibri"/>
          <w:color w:val="222222"/>
          <w:sz w:val="21"/>
          <w:szCs w:val="21"/>
        </w:rPr>
        <w:t xml:space="preserve">Agriculture and forestry contribute a modest 3.6–5% of GDP and support around 7% of employment, centered on grain, dairy, and livestock production. Forests cover more than half of Latvia's territory, underpinning the country's globally significant wood-processing export industry (discussed in Section 4.1).</w:t>
      </w:r>
    </w:p>
    <w:p>
      <w:pPr>
        <w:spacing w:after="200" w:before="60"/>
      </w:pPr>
      <w:r>
        <w:rPr>
          <w:rFonts w:ascii="Calibri" w:cs="Calibri" w:eastAsia="Calibri" w:hAnsi="Calibri"/>
          <w:i/>
          <w:iCs/>
          <w:color w:val="595959"/>
          <w:sz w:val="17"/>
          <w:szCs w:val="17"/>
        </w:rPr>
        <w:t xml:space="preserve">Sources: Statista – Latvia GDP by Sector; Central Statistical Bureau of Latvia; Trading Economics – Latvia Industry Value Added; International Trade Portal – Economic Context of Latvia; LSM.lv – Latvian GDP 2025; EasyLink Business Services – Latvia Market Overview.</w:t>
      </w:r>
    </w:p>
    <w:p>
      <w:pPr>
        <w:pStyle w:val="Heading1"/>
        <w:pBdr>
          <w:bottom w:val="single" w:color="C9A227" w:sz="12" w:space="4"/>
        </w:pBdr>
        <w:spacing w:after="160" w:before="380"/>
      </w:pPr>
      <w:r>
        <w:rPr>
          <w:rFonts w:ascii="Calibri" w:cs="Calibri" w:eastAsia="Calibri" w:hAnsi="Calibri"/>
          <w:b/>
          <w:bCs/>
          <w:color w:val="1F3864"/>
          <w:sz w:val="30"/>
          <w:szCs w:val="30"/>
        </w:rPr>
        <w:t xml:space="preserve">4. Manufacturing Sector Deep Dive</w:t>
      </w:r>
    </w:p>
    <w:p>
      <w:pPr>
        <w:spacing w:after="160" w:line="276"/>
      </w:pPr>
      <w:r>
        <w:rPr>
          <w:rFonts w:ascii="Calibri" w:cs="Calibri" w:eastAsia="Calibri" w:hAnsi="Calibri"/>
          <w:color w:val="222222"/>
          <w:sz w:val="21"/>
          <w:szCs w:val="21"/>
        </w:rPr>
        <w:t xml:space="preserve">Manufacturing is the most strategically important sector for international recruitment and staffing business development in Latvia. It is diverse, export-oriented, and structurally short of skilled and semi-skilled labour — a combination that creates sustained, recurring demand for workforce solutions rather than one-off hiring spikes.</w:t>
      </w:r>
    </w:p>
    <w:p>
      <w:pPr>
        <w:pStyle w:val="Heading2"/>
        <w:spacing w:after="110" w:before="260"/>
      </w:pPr>
      <w:r>
        <w:rPr>
          <w:rFonts w:ascii="Calibri" w:cs="Calibri" w:eastAsia="Calibri" w:hAnsi="Calibri"/>
          <w:b/>
          <w:bCs/>
          <w:color w:val="2E5395"/>
          <w:sz w:val="24"/>
          <w:szCs w:val="24"/>
        </w:rPr>
        <w:t xml:space="preserve">4.1 Wood Processing — Latvia's Largest Manufacturing Sector</w:t>
      </w:r>
    </w:p>
    <w:p>
      <w:pPr>
        <w:spacing w:after="160" w:line="276"/>
      </w:pPr>
      <w:r>
        <w:rPr>
          <w:rFonts w:ascii="Calibri" w:cs="Calibri" w:eastAsia="Calibri" w:hAnsi="Calibri"/>
          <w:color w:val="222222"/>
          <w:sz w:val="21"/>
          <w:szCs w:val="21"/>
        </w:rPr>
        <w:t xml:space="preserve">Wood processing is the single largest manufacturing sub-sector in Latvia and one of its most important export industries, accounting for approximately 31% of total manufacturing turnover and around 20% of the country's total exports. Latvia is among the world's leading exporters of birch plywood, sawn timber, wood panels, and biomass fuel pellets, and the sector employs approximately 17,000 people directly.</w:t>
      </w:r>
    </w:p>
    <w:p>
      <w:pPr>
        <w:spacing w:after="160" w:line="276"/>
      </w:pPr>
      <w:r>
        <w:rPr>
          <w:rFonts w:ascii="Calibri" w:cs="Calibri" w:eastAsia="Calibri" w:hAnsi="Calibri"/>
          <w:color w:val="222222"/>
          <w:sz w:val="21"/>
          <w:szCs w:val="21"/>
        </w:rPr>
        <w:t xml:space="preserve">Wood processing activities span logging and timber cutting, plywood and panel production, furniture manufacturing, and biomass energy products, with increasing investment in higher-value engineered wood products such as cross-laminated timber (CLT). Because production is highly automated, companies regularly hire machine operators for sawmill and CNC woodworking lines, packaging staff, and maintenance technicians for drying and processing equipment. Major companies include Latvijas Finieris, Kronospan Riga, Bitus Latvia, Gaujas Koks, and Latvia Timber International.</w:t>
      </w:r>
    </w:p>
    <w:p>
      <w:pPr>
        <w:spacing w:after="200" w:before="60"/>
      </w:pPr>
      <w:r>
        <w:rPr>
          <w:rFonts w:ascii="Calibri" w:cs="Calibri" w:eastAsia="Calibri" w:hAnsi="Calibri"/>
          <w:i/>
          <w:iCs/>
          <w:color w:val="595959"/>
          <w:sz w:val="17"/>
          <w:szCs w:val="17"/>
        </w:rPr>
        <w:t xml:space="preserve">Sources: Latvian Timber Producers Association; U.S. Trade.gov – Latvia Forestry &amp; Woodworking; EasyLink Business Services – Latvia Market Overview.</w:t>
      </w:r>
    </w:p>
    <w:p>
      <w:pPr>
        <w:pStyle w:val="Heading2"/>
        <w:spacing w:after="110" w:before="260"/>
      </w:pPr>
      <w:r>
        <w:rPr>
          <w:rFonts w:ascii="Calibri" w:cs="Calibri" w:eastAsia="Calibri" w:hAnsi="Calibri"/>
          <w:b/>
          <w:bCs/>
          <w:color w:val="2E5395"/>
          <w:sz w:val="24"/>
          <w:szCs w:val="24"/>
        </w:rPr>
        <w:t xml:space="preserve">4.2 Metal Fabrication &amp; Mechanical Engineering</w:t>
      </w:r>
    </w:p>
    <w:p>
      <w:pPr>
        <w:spacing w:after="160" w:line="276"/>
      </w:pPr>
      <w:r>
        <w:rPr>
          <w:rFonts w:ascii="Calibri" w:cs="Calibri" w:eastAsia="Calibri" w:hAnsi="Calibri"/>
          <w:color w:val="222222"/>
          <w:sz w:val="21"/>
          <w:szCs w:val="21"/>
        </w:rPr>
        <w:t xml:space="preserve">Latvia's metal fabrication and mechanical engineering industry is one of its most technologically advanced sectors, with hundreds of companies concentrated in Riga, Liepāja, and Daugavpils. The sector contributes approximately 20% of total manufacturing turnover and nearly 24% of total goods exports, with metal products exports exceeding an estimated USD 1.3 billion annually, principally to Lithuania, Sweden, Denmark, and Estonia.</w:t>
      </w:r>
    </w:p>
    <w:p>
      <w:pPr>
        <w:spacing w:after="160" w:line="276"/>
      </w:pPr>
      <w:r>
        <w:rPr>
          <w:rFonts w:ascii="Calibri" w:cs="Calibri" w:eastAsia="Calibri" w:hAnsi="Calibri"/>
          <w:color w:val="222222"/>
          <w:sz w:val="21"/>
          <w:szCs w:val="21"/>
        </w:rPr>
        <w:t xml:space="preserve">Historically a manufacturing base for Soviet-era industry, the sector today focuses on high-value, specialized production: precision mechanics, optical instruments, medical equipment, industrial machinery, and custom steel structures. Labour demand is high, particularly for welders (MIG/MAG, TIG, and structural welding), fabricators, CNC operators, and mechanical technicians. Notable companies include Metalmeistars, Rubate Metal, Kontmet, Rigge Metal Construction Factory, and SKV Group.</w:t>
      </w:r>
    </w:p>
    <w:p>
      <w:pPr>
        <w:spacing w:after="160" w:line="276"/>
      </w:pPr>
      <w:r>
        <w:rPr>
          <w:rFonts w:ascii="Calibri" w:cs="Calibri" w:eastAsia="Calibri" w:hAnsi="Calibri"/>
          <w:color w:val="222222"/>
          <w:sz w:val="21"/>
          <w:szCs w:val="21"/>
        </w:rPr>
        <w:t xml:space="preserve">The wider engineering industry — represented by the Association of Mechanical Engineering and Metalworking Industries of Latvia (MASOC) — extends into industrial machinery, automation systems, and municipal vehicle manufacturing, with companies such as Bucher Municipal Ltd., East Metal, Exigum SIA, Malmar Sheet Metal Ltd., and Kamri SIA. Continued investment in automation is increasing demand for CNC machine operators, industrial maintenance workers, and automation specialists.</w:t>
      </w:r>
    </w:p>
    <w:p>
      <w:pPr>
        <w:spacing w:after="200" w:before="60"/>
      </w:pPr>
      <w:r>
        <w:rPr>
          <w:rFonts w:ascii="Calibri" w:cs="Calibri" w:eastAsia="Calibri" w:hAnsi="Calibri"/>
          <w:i/>
          <w:iCs/>
          <w:color w:val="595959"/>
          <w:sz w:val="17"/>
          <w:szCs w:val="17"/>
        </w:rPr>
        <w:t xml:space="preserve">Sources: EasyLink Business Services – Latvia Market Overview; Kontmet and SKV Group official websites; MASOC – Engineering Industry Association of Latvia; Kamri SIA official website.</w:t>
      </w:r>
    </w:p>
    <w:p>
      <w:pPr>
        <w:pStyle w:val="Heading2"/>
        <w:spacing w:after="110" w:before="260"/>
      </w:pPr>
      <w:r>
        <w:rPr>
          <w:rFonts w:ascii="Calibri" w:cs="Calibri" w:eastAsia="Calibri" w:hAnsi="Calibri"/>
          <w:b/>
          <w:bCs/>
          <w:color w:val="2E5395"/>
          <w:sz w:val="24"/>
          <w:szCs w:val="24"/>
        </w:rPr>
        <w:t xml:space="preserve">4.3 Food &amp; Beverage Manufacturing</w:t>
      </w:r>
    </w:p>
    <w:p>
      <w:pPr>
        <w:spacing w:after="160" w:line="276"/>
      </w:pPr>
      <w:r>
        <w:rPr>
          <w:rFonts w:ascii="Calibri" w:cs="Calibri" w:eastAsia="Calibri" w:hAnsi="Calibri"/>
          <w:color w:val="222222"/>
          <w:sz w:val="21"/>
          <w:szCs w:val="21"/>
        </w:rPr>
        <w:t xml:space="preserve">Food and beverage processing is one of Latvia's most established manufacturing sectors, accounting for approximately 18% of total manufacturing output. Supported by domestic agricultural production, the sector focuses on dairy products, grain processing, fish products, confectionery, and beverages for both domestic consumption and export. This sector offers a steady, less cyclical source of warehouse, production-line, and food-safety-trained labour demand.</w:t>
      </w:r>
    </w:p>
    <w:p>
      <w:pPr>
        <w:spacing w:after="200" w:before="60"/>
      </w:pPr>
      <w:r>
        <w:rPr>
          <w:rFonts w:ascii="Calibri" w:cs="Calibri" w:eastAsia="Calibri" w:hAnsi="Calibri"/>
          <w:i/>
          <w:iCs/>
          <w:color w:val="595959"/>
          <w:sz w:val="17"/>
          <w:szCs w:val="17"/>
        </w:rPr>
        <w:t xml:space="preserve">Sources: EasyLink Business Services – Latvia Market Overview; Britannica – Latvia Economy.</w:t>
      </w:r>
    </w:p>
    <w:p>
      <w:pPr>
        <w:pStyle w:val="Heading2"/>
        <w:spacing w:after="110" w:before="260"/>
      </w:pPr>
      <w:r>
        <w:rPr>
          <w:rFonts w:ascii="Calibri" w:cs="Calibri" w:eastAsia="Calibri" w:hAnsi="Calibri"/>
          <w:b/>
          <w:bCs/>
          <w:color w:val="2E5395"/>
          <w:sz w:val="24"/>
          <w:szCs w:val="24"/>
        </w:rPr>
        <w:t xml:space="preserve">4.4 Chemicals, Pharmaceuticals &amp; Electronics</w:t>
      </w:r>
    </w:p>
    <w:p>
      <w:pPr>
        <w:spacing w:after="160" w:line="276"/>
      </w:pPr>
      <w:r>
        <w:rPr>
          <w:rFonts w:ascii="Calibri" w:cs="Calibri" w:eastAsia="Calibri" w:hAnsi="Calibri"/>
          <w:color w:val="222222"/>
          <w:sz w:val="21"/>
          <w:szCs w:val="21"/>
        </w:rPr>
        <w:t xml:space="preserve">Latvia has smaller but growing chemical, pharmaceutical, and electronics manufacturing industries, producing medicines, cosmetics, paints, and networking and electronics equipment, with a significant share exported internationally. Latvia is also a recognized regional player in fibre-optic and electronics manufacturing, including several Nasdaq Baltic-listed and internationally owned electronics manufacturing services (EMS) providers. This sub-sector demands automated assembly line operators, quality technicians, and increasingly, automation and robotics specialists.</w:t>
      </w:r>
    </w:p>
    <w:p>
      <w:pPr>
        <w:spacing w:after="200" w:before="60"/>
      </w:pPr>
      <w:r>
        <w:rPr>
          <w:rFonts w:ascii="Calibri" w:cs="Calibri" w:eastAsia="Calibri" w:hAnsi="Calibri"/>
          <w:i/>
          <w:iCs/>
          <w:color w:val="595959"/>
          <w:sz w:val="17"/>
          <w:szCs w:val="17"/>
        </w:rPr>
        <w:t xml:space="preserve">Sources: Britannica – Latvia Economy; EasyLink Business Services – Latvia Market Overview.</w:t>
      </w:r>
    </w:p>
    <w:p>
      <w:pPr>
        <w:pStyle w:val="Heading2"/>
        <w:spacing w:after="110" w:before="260"/>
      </w:pPr>
      <w:r>
        <w:rPr>
          <w:rFonts w:ascii="Calibri" w:cs="Calibri" w:eastAsia="Calibri" w:hAnsi="Calibri"/>
          <w:b/>
          <w:bCs/>
          <w:color w:val="2E5395"/>
          <w:sz w:val="24"/>
          <w:szCs w:val="24"/>
        </w:rPr>
        <w:t xml:space="preserve">4.5 Sector Outlook</w:t>
      </w:r>
    </w:p>
    <w:p>
      <w:pPr>
        <w:spacing w:after="160" w:line="276"/>
      </w:pPr>
      <w:r>
        <w:rPr>
          <w:rFonts w:ascii="Calibri" w:cs="Calibri" w:eastAsia="Calibri" w:hAnsi="Calibri"/>
          <w:color w:val="222222"/>
          <w:sz w:val="21"/>
          <w:szCs w:val="21"/>
        </w:rPr>
        <w:t xml:space="preserve">Manufacturing output softened slightly in 2024 (down 2.6%) amid rising energy costs and softer external demand, but manufacturing returned to being the leading contributor to Latvia's GDP growth by late 2025, alongside construction. The medium-term outlook is one of steady recovery, supported by EU investment funds, continued export demand from Nordic and EU markets, and increasing automation — all of which sustain, rather than reduce, demand for skilled machine operators and technicians even as production becomes more capital-intensive.</w:t>
      </w:r>
    </w:p>
    <w:p>
      <w:pPr>
        <w:spacing w:after="200" w:before="60"/>
      </w:pPr>
      <w:r>
        <w:rPr>
          <w:rFonts w:ascii="Calibri" w:cs="Calibri" w:eastAsia="Calibri" w:hAnsi="Calibri"/>
          <w:i/>
          <w:iCs/>
          <w:color w:val="595959"/>
          <w:sz w:val="17"/>
          <w:szCs w:val="17"/>
        </w:rPr>
        <w:t xml:space="preserve">Sources: Trading Economics – Latvia Industrial Production; LSM.lv – Latvian GDP 2025; International Trade Portal – Economic Context of Latvia.</w:t>
      </w:r>
    </w:p>
    <w:p>
      <w:pPr>
        <w:pStyle w:val="Heading1"/>
        <w:pBdr>
          <w:bottom w:val="single" w:color="C9A227" w:sz="12" w:space="4"/>
        </w:pBdr>
        <w:spacing w:after="160" w:before="380"/>
      </w:pPr>
      <w:r>
        <w:rPr>
          <w:rFonts w:ascii="Calibri" w:cs="Calibri" w:eastAsia="Calibri" w:hAnsi="Calibri"/>
          <w:b/>
          <w:bCs/>
          <w:color w:val="1F3864"/>
          <w:sz w:val="30"/>
          <w:szCs w:val="30"/>
        </w:rPr>
        <w:t xml:space="preserve">5. Logistics &amp; Transportation Sector</w:t>
      </w:r>
    </w:p>
    <w:p>
      <w:pPr>
        <w:spacing w:after="160" w:line="276"/>
      </w:pPr>
      <w:r>
        <w:rPr>
          <w:rFonts w:ascii="Calibri" w:cs="Calibri" w:eastAsia="Calibri" w:hAnsi="Calibri"/>
          <w:color w:val="222222"/>
          <w:sz w:val="21"/>
          <w:szCs w:val="21"/>
        </w:rPr>
        <w:t xml:space="preserve">Latvia is an important logistics hub in Europe due to its strategic location between Western Europe and Eastern markets, supported by strong transport infrastructure — ports, railways, roads, and air cargo facilities. Transport and logistics account for approximately 6–7% of GDP and employ more than 8% of the workforce.</w:t>
      </w:r>
    </w:p>
    <w:p>
      <w:pPr>
        <w:spacing w:after="160" w:line="276"/>
      </w:pPr>
      <w:r>
        <w:rPr>
          <w:rFonts w:ascii="Calibri" w:cs="Calibri" w:eastAsia="Calibri" w:hAnsi="Calibri"/>
          <w:color w:val="222222"/>
          <w:sz w:val="21"/>
          <w:szCs w:val="21"/>
        </w:rPr>
        <w:t xml:space="preserve">The country operates three major, ice-free seaports — the Freeport of Riga, the Port of Ventspils, and the Port of Liepāja — handling substantial volumes of cargo, containers, and bulk goods. Riga International Airport supports a growing air cargo network. Major logistics and warehousing operators active in Latvia include Kreiss, DSV Latvia, Trialto Latvia, Omniva, Latvijas Pasts, ACE Logistics Latvia, and JAS Latvia.</w:t>
      </w:r>
    </w:p>
    <w:p>
      <w:pPr>
        <w:spacing w:after="160" w:line="276"/>
      </w:pPr>
      <w:r>
        <w:rPr>
          <w:rFonts w:ascii="Calibri" w:cs="Calibri" w:eastAsia="Calibri" w:hAnsi="Calibri"/>
          <w:color w:val="222222"/>
          <w:sz w:val="21"/>
          <w:szCs w:val="21"/>
        </w:rPr>
        <w:t xml:space="preserve">Note that the sector has undergone structural adjustment following the war in Ukraine, as traditional East–West transit volumes have declined and companies redirect services toward new markets. Nonetheless, growth in trade and e-commerce continues to drive demand for warehouse workers, packers, forklift operators, and supply chain staff, making logistics a relevant adjacent vertical for staffing services alongside core manufacturing.</w:t>
      </w:r>
    </w:p>
    <w:p>
      <w:pPr>
        <w:spacing w:after="200" w:before="60"/>
      </w:pPr>
      <w:r>
        <w:rPr>
          <w:rFonts w:ascii="Calibri" w:cs="Calibri" w:eastAsia="Calibri" w:hAnsi="Calibri"/>
          <w:i/>
          <w:iCs/>
          <w:color w:val="595959"/>
          <w:sz w:val="17"/>
          <w:szCs w:val="17"/>
        </w:rPr>
        <w:t xml:space="preserve">Sources: U.S. Trade.gov – Latvia Transportation Services; DSV Latvia; EasyLink Business Services – Latvia Market Overview.</w:t>
      </w:r>
    </w:p>
    <w:p>
      <w:pPr>
        <w:pStyle w:val="Heading1"/>
        <w:pBdr>
          <w:bottom w:val="single" w:color="C9A227" w:sz="12" w:space="4"/>
        </w:pBdr>
        <w:spacing w:after="160" w:before="380"/>
      </w:pPr>
      <w:r>
        <w:rPr>
          <w:rFonts w:ascii="Calibri" w:cs="Calibri" w:eastAsia="Calibri" w:hAnsi="Calibri"/>
          <w:b/>
          <w:bCs/>
          <w:color w:val="1F3864"/>
          <w:sz w:val="30"/>
          <w:szCs w:val="30"/>
        </w:rPr>
        <w:t xml:space="preserve">6. Labour Market &amp; Skills Shortage Analysis</w:t>
      </w:r>
    </w:p>
    <w:p>
      <w:pPr>
        <w:spacing w:after="160" w:line="276"/>
      </w:pPr>
      <w:r>
        <w:rPr>
          <w:rFonts w:ascii="Calibri" w:cs="Calibri" w:eastAsia="Calibri" w:hAnsi="Calibri"/>
          <w:color w:val="222222"/>
          <w:sz w:val="21"/>
          <w:szCs w:val="21"/>
        </w:rPr>
        <w:t xml:space="preserve">Latvia is experiencing a well-documented and structural shortage of skilled labour. Approximately 74% of employers report difficulty finding skilled professionals, a challenge driven by three compounding forces: an aging population, low birth rates, and continued emigration of skilled workers to other EU countries. This mismatch is compounded by a surplus of graduates in non-technical fields (social sciences, commerce, humanities) relative to the technical and vocational skills employers actually need.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2550"/>
        <w:gridCol w:w="2600"/>
      </w:tblGrid>
      <w:tr>
        <w:trPr>
          <w:tblHeader/>
        </w:trPr>
        <w:tc>
          <w:tcPr>
            <w:tcW w:type="dxa" w:w="4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Shortage Category</w:t>
            </w:r>
          </w:p>
        </w:tc>
        <w:tc>
          <w:tcPr>
            <w:tcW w:type="dxa" w:w="25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Estimated Gap</w:t>
            </w:r>
          </w:p>
        </w:tc>
        <w:tc>
          <w:tcPr>
            <w:tcW w:type="dxa" w:w="2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Example Roles</w:t>
            </w:r>
          </w:p>
        </w:tc>
      </w:tr>
      <w:tr>
        <w:tc>
          <w:tcPr>
            <w:tcW w:type="dxa" w:w="4200"/>
            <w:shd w:fill="F5EFDA"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Vocational &amp; Technical Workers</w:t>
            </w:r>
          </w:p>
        </w:tc>
        <w:tc>
          <w:tcPr>
            <w:tcW w:type="dxa" w:w="255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~45,700 workers</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Welders, CNC/machine operators, electricians, construction trades</w:t>
            </w:r>
          </w:p>
        </w:tc>
      </w:tr>
      <w:tr>
        <w:tc>
          <w:tcPr>
            <w:tcW w:type="dxa" w:w="4200"/>
            <w:shd w:fill="F5EFDA"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ICT, Engineering &amp; Science (STEM) Specialists</w:t>
            </w:r>
          </w:p>
        </w:tc>
        <w:tc>
          <w:tcPr>
            <w:tcW w:type="dxa" w:w="255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~10,000 specialists</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Software developers, data engineers, cybersecurity specialists, engineers</w:t>
            </w:r>
          </w:p>
        </w:tc>
      </w:tr>
      <w:tr>
        <w:tc>
          <w:tcPr>
            <w:tcW w:type="dxa" w:w="4200"/>
            <w:shd w:fill="F5EFDA"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Healthcare Workers</w:t>
            </w:r>
          </w:p>
        </w:tc>
        <w:tc>
          <w:tcPr>
            <w:tcW w:type="dxa" w:w="255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Significant, growing</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Doctors, nurses, social care workers</w:t>
            </w:r>
          </w:p>
        </w:tc>
      </w:tr>
    </w:tbl>
    <w:p>
      <w:pPr>
        <w:spacing w:before="160"/>
      </w:pPr>
    </w:p>
    <w:p>
      <w:pPr>
        <w:spacing w:after="160" w:line="276"/>
      </w:pPr>
      <w:r>
        <w:rPr>
          <w:rFonts w:ascii="Calibri" w:cs="Calibri" w:eastAsia="Calibri" w:hAnsi="Calibri"/>
          <w:color w:val="222222"/>
          <w:sz w:val="21"/>
          <w:szCs w:val="21"/>
        </w:rPr>
        <w:t xml:space="preserve">Demand is highest in Information Technology, engineering, manufacturing, construction, logistics, and healthcare. Within manufacturing specifically, employers are actively hiring welders, machine operators, and industrial technicians; construction firms need civil engineers, electricians, and plumbers; and IT employers require software developers, data engineers, and cybersecurity specialists.</w:t>
      </w:r>
    </w:p>
    <w:p>
      <w:pPr>
        <w:spacing w:after="160" w:line="276"/>
      </w:pPr>
      <w:r>
        <w:rPr>
          <w:rFonts w:ascii="Calibri" w:cs="Calibri" w:eastAsia="Calibri" w:hAnsi="Calibri"/>
          <w:color w:val="222222"/>
          <w:sz w:val="21"/>
          <w:szCs w:val="21"/>
        </w:rPr>
        <w:t xml:space="preserve">Riga, the capital, is the dominant employment hub, accounting for more than 50% of total job vacancies nationally. Latvia's overall employment rate is estimated at around 71.5%, yet job vacancy rates remain elevated — a clear signal of structural, not cyclical, labour scarcity. Nominal wages are projected to grow 3.5–4% annually through 2026 as labour market tightness persists.</w:t>
      </w:r>
    </w:p>
    <w:p>
      <w:pPr>
        <w:pStyle w:val="Heading2"/>
        <w:spacing w:after="110" w:before="260"/>
      </w:pPr>
      <w:r>
        <w:rPr>
          <w:rFonts w:ascii="Calibri" w:cs="Calibri" w:eastAsia="Calibri" w:hAnsi="Calibri"/>
          <w:b/>
          <w:bCs/>
          <w:color w:val="2E5395"/>
          <w:sz w:val="24"/>
          <w:szCs w:val="24"/>
        </w:rPr>
        <w:t xml:space="preserve">6.1 Policy Response &amp; the International Recruitment Opportunity</w:t>
      </w:r>
    </w:p>
    <w:p>
      <w:pPr>
        <w:spacing w:after="160" w:line="276"/>
      </w:pPr>
      <w:r>
        <w:rPr>
          <w:rFonts w:ascii="Calibri" w:cs="Calibri" w:eastAsia="Calibri" w:hAnsi="Calibri"/>
          <w:color w:val="222222"/>
          <w:sz w:val="21"/>
          <w:szCs w:val="21"/>
        </w:rPr>
        <w:t xml:space="preserve">In response, Latvia and the European Union are investing in vocational training and workforce development, while the Latvian government has also opened pathways for foreign skilled workers through national work permits and the EU Blue Card scheme. This dual approach — long-term domestic upskilling combined with active facilitation of foreign labour — validates international recruitment and staffing services as a credible, policy-supported solution for Latvian manufacturing employers, rather than a stop-gap measure.</w:t>
      </w:r>
    </w:p>
    <w:p>
      <w:pPr>
        <w:spacing w:after="200" w:before="60"/>
      </w:pPr>
      <w:r>
        <w:rPr>
          <w:rFonts w:ascii="Calibri" w:cs="Calibri" w:eastAsia="Calibri" w:hAnsi="Calibri"/>
          <w:i/>
          <w:iCs/>
          <w:color w:val="595959"/>
          <w:sz w:val="17"/>
          <w:szCs w:val="17"/>
        </w:rPr>
        <w:t xml:space="preserve">Sources: European Labour Authority (ELA) – Latvia Skill Shortages; EURES Latvia – Labour Market Information; Latvian Ministry of Economics – Labour Market Forecasts; Cedefop – Latvia Skills Forecast 2025; Fiscal Discipline Council of Latvia.</w:t>
      </w:r>
    </w:p>
    <w:p>
      <w:pPr>
        <w:pStyle w:val="Heading1"/>
        <w:pBdr>
          <w:bottom w:val="single" w:color="C9A227" w:sz="12" w:space="4"/>
        </w:pBdr>
        <w:spacing w:after="160" w:before="380"/>
      </w:pPr>
      <w:r>
        <w:rPr>
          <w:rFonts w:ascii="Calibri" w:cs="Calibri" w:eastAsia="Calibri" w:hAnsi="Calibri"/>
          <w:b/>
          <w:bCs/>
          <w:color w:val="1F3864"/>
          <w:sz w:val="30"/>
          <w:szCs w:val="30"/>
        </w:rPr>
        <w:t xml:space="preserve">7. Industry Opportunity Summary</w:t>
      </w:r>
    </w:p>
    <w:p>
      <w:pPr>
        <w:spacing w:after="160" w:line="276"/>
      </w:pPr>
      <w:r>
        <w:rPr>
          <w:rFonts w:ascii="Calibri" w:cs="Calibri" w:eastAsia="Calibri" w:hAnsi="Calibri"/>
          <w:color w:val="222222"/>
          <w:sz w:val="21"/>
          <w:szCs w:val="21"/>
        </w:rPr>
        <w:t xml:space="preserve">The table below consolidates demand level, typical roles, and staffing opportunity across the industries most relevant to international recruitment and staffing services in Latvia.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950"/>
        <w:gridCol w:w="2000"/>
      </w:tblGrid>
      <w:tr>
        <w:trPr>
          <w:tblHeader/>
        </w:trPr>
        <w:tc>
          <w:tcPr>
            <w:tcW w:type="dxa" w:w="2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Industry</w:t>
            </w:r>
          </w:p>
        </w:tc>
        <w:tc>
          <w:tcPr>
            <w:tcW w:type="dxa" w:w="18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Demand Level</w:t>
            </w:r>
          </w:p>
        </w:tc>
        <w:tc>
          <w:tcPr>
            <w:tcW w:type="dxa" w:w="29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Roles Needed</w:t>
            </w:r>
          </w:p>
        </w:tc>
        <w:tc>
          <w:tcPr>
            <w:tcW w:type="dxa" w:w="20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Staffing Opportunity</w:t>
            </w:r>
          </w:p>
        </w:tc>
      </w:tr>
      <w:tr>
        <w:tc>
          <w:tcPr>
            <w:tcW w:type="dxa" w:w="26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Metal Fabrication &amp; Engineering</w:t>
            </w:r>
          </w:p>
        </w:tc>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High</w:t>
            </w:r>
          </w:p>
        </w:tc>
        <w:tc>
          <w:tcPr>
            <w:tcW w:type="dxa" w:w="29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Welders, CNC operators, fabricators, mechanical technicians</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High</w:t>
            </w:r>
          </w:p>
        </w:tc>
      </w:tr>
      <w:tr>
        <w:tc>
          <w:tcPr>
            <w:tcW w:type="dxa" w:w="26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Wood Processing</w:t>
            </w:r>
          </w:p>
        </w:tc>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Medium – High</w:t>
            </w:r>
          </w:p>
        </w:tc>
        <w:tc>
          <w:tcPr>
            <w:tcW w:type="dxa" w:w="29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Machine operators, packaging staff, maintenance technicians</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Medium – High</w:t>
            </w:r>
          </w:p>
        </w:tc>
      </w:tr>
      <w:tr>
        <w:tc>
          <w:tcPr>
            <w:tcW w:type="dxa" w:w="26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Logistics &amp; Warehousing</w:t>
            </w:r>
          </w:p>
        </w:tc>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High</w:t>
            </w:r>
          </w:p>
        </w:tc>
        <w:tc>
          <w:tcPr>
            <w:tcW w:type="dxa" w:w="29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Warehouse workers, forklift operators, supply chain staff</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High</w:t>
            </w:r>
          </w:p>
        </w:tc>
      </w:tr>
      <w:tr>
        <w:tc>
          <w:tcPr>
            <w:tcW w:type="dxa" w:w="26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Food &amp; Beverage</w:t>
            </w:r>
          </w:p>
        </w:tc>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Medium</w:t>
            </w:r>
          </w:p>
        </w:tc>
        <w:tc>
          <w:tcPr>
            <w:tcW w:type="dxa" w:w="29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Production-line operators, packaging, food-safety technicians</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Medium</w:t>
            </w:r>
          </w:p>
        </w:tc>
      </w:tr>
      <w:tr>
        <w:tc>
          <w:tcPr>
            <w:tcW w:type="dxa" w:w="26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Electronics &amp; Chemicals/Pharma</w:t>
            </w:r>
          </w:p>
        </w:tc>
        <w:tc>
          <w:tcPr>
            <w:tcW w:type="dxa" w:w="18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Medium, growing</w:t>
            </w:r>
          </w:p>
        </w:tc>
        <w:tc>
          <w:tcPr>
            <w:tcW w:type="dxa" w:w="29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Assembly operators, quality technicians, automation specialists</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color w:val="222222"/>
                <w:sz w:val="19"/>
                <w:szCs w:val="19"/>
              </w:rPr>
              <w:t xml:space="preserve">Medium</w:t>
            </w:r>
          </w:p>
        </w:tc>
      </w:tr>
    </w:tbl>
    <w:p>
      <w:pPr>
        <w:pStyle w:val="Heading1"/>
        <w:pBdr>
          <w:bottom w:val="single" w:color="C9A227" w:sz="12" w:space="4"/>
        </w:pBdr>
        <w:spacing w:after="160" w:before="380"/>
      </w:pPr>
      <w:r>
        <w:rPr>
          <w:rFonts w:ascii="Calibri" w:cs="Calibri" w:eastAsia="Calibri" w:hAnsi="Calibri"/>
          <w:b/>
          <w:bCs/>
          <w:color w:val="1F3864"/>
          <w:sz w:val="30"/>
          <w:szCs w:val="30"/>
        </w:rPr>
        <w:t xml:space="preserve">8. Lead Generation Sources &amp; Strategy</w:t>
      </w:r>
    </w:p>
    <w:p>
      <w:pPr>
        <w:pStyle w:val="Heading2"/>
        <w:spacing w:after="110" w:before="260"/>
      </w:pPr>
      <w:r>
        <w:rPr>
          <w:rFonts w:ascii="Calibri" w:cs="Calibri" w:eastAsia="Calibri" w:hAnsi="Calibri"/>
          <w:b/>
          <w:bCs/>
          <w:color w:val="2E5395"/>
          <w:sz w:val="24"/>
          <w:szCs w:val="24"/>
        </w:rPr>
        <w:t xml:space="preserve">8.1 Objective</w:t>
      </w:r>
    </w:p>
    <w:p>
      <w:pPr>
        <w:spacing w:after="160" w:line="276"/>
      </w:pPr>
      <w:r>
        <w:rPr>
          <w:rFonts w:ascii="Calibri" w:cs="Calibri" w:eastAsia="Calibri" w:hAnsi="Calibri"/>
          <w:color w:val="222222"/>
          <w:sz w:val="21"/>
          <w:szCs w:val="21"/>
        </w:rPr>
        <w:t xml:space="preserve">This section identifies reliable lead-generation channels for discovering manufacturing companies, tracking active hiring demand, and identifying decision-makers in Latvia. These sources support the development of a targeted client-acquisition strategy for international recruitment and staffing services, and were the methodology used to build the accompanying lead database and scoring workbook.</w:t>
      </w:r>
    </w:p>
    <w:p>
      <w:pPr>
        <w:pStyle w:val="Heading2"/>
        <w:spacing w:after="110" w:before="260"/>
      </w:pPr>
      <w:r>
        <w:rPr>
          <w:rFonts w:ascii="Calibri" w:cs="Calibri" w:eastAsia="Calibri" w:hAnsi="Calibri"/>
          <w:b/>
          <w:bCs/>
          <w:color w:val="2E5395"/>
          <w:sz w:val="24"/>
          <w:szCs w:val="24"/>
        </w:rPr>
        <w:t xml:space="preserve">8.2 Channel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350"/>
        <w:gridCol w:w="3600"/>
      </w:tblGrid>
      <w:tr>
        <w:trPr>
          <w:tblHeader/>
        </w:trPr>
        <w:tc>
          <w:tcPr>
            <w:tcW w:type="dxa" w:w="2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Source</w:t>
            </w:r>
          </w:p>
        </w:tc>
        <w:tc>
          <w:tcPr>
            <w:tcW w:type="dxa" w:w="335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Why Use It</w:t>
            </w:r>
          </w:p>
        </w:tc>
        <w:tc>
          <w:tcPr>
            <w:tcW w:type="dxa" w:w="3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Data Collected</w:t>
            </w:r>
          </w:p>
        </w:tc>
      </w:tr>
      <w:tr>
        <w:tc>
          <w:tcPr>
            <w:tcW w:type="dxa" w:w="2400"/>
            <w:shd w:fill="F5EFDA"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Job Portals (CV.lv, LinkedIn Jobs, NVA Latvia)</w:t>
            </w:r>
          </w:p>
        </w:tc>
        <w:tc>
          <w:tcPr>
            <w:tcW w:type="dxa" w:w="33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Real-time hiring signals; identifies companies with continuous manpower requirements</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Active vacancies, repeated hiring patterns, workforce demand</w:t>
            </w:r>
          </w:p>
        </w:tc>
      </w:tr>
      <w:tr>
        <w:tc>
          <w:tcPr>
            <w:tcW w:type="dxa" w:w="2400"/>
            <w:shd w:fill="F5EFDA"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Company Websites</w:t>
            </w:r>
          </w:p>
        </w:tc>
        <w:tc>
          <w:tcPr>
            <w:tcW w:type="dxa" w:w="33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Verifies recruitment activity, operations, and scale; careers pages often indicate expansion</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Hiring requirements, direct contact emails, company size</w:t>
            </w:r>
          </w:p>
        </w:tc>
      </w:tr>
      <w:tr>
        <w:tc>
          <w:tcPr>
            <w:tcW w:type="dxa" w:w="2400"/>
            <w:shd w:fill="F5EFDA"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LinkedIn</w:t>
            </w:r>
          </w:p>
        </w:tc>
        <w:tc>
          <w:tcPr>
            <w:tcW w:type="dxa" w:w="33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Identifies decision-makers (HR managers, recruitment specialists, operations heads)</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HR contacts, outreach database, hiring activity trends</w:t>
            </w:r>
          </w:p>
        </w:tc>
      </w:tr>
      <w:tr>
        <w:tc>
          <w:tcPr>
            <w:tcW w:type="dxa" w:w="2400"/>
            <w:shd w:fill="F5EFDA"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Business Directories (Firmas.lv, Lursoft)</w:t>
            </w:r>
          </w:p>
        </w:tc>
        <w:tc>
          <w:tcPr>
            <w:tcW w:type="dxa" w:w="335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Surfaces registered manufacturers not actively advertising jobs; expands and validates coverage</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New company discovery, business verification, company profiles</w:t>
            </w:r>
          </w:p>
        </w:tc>
      </w:tr>
    </w:tbl>
    <w:p>
      <w:pPr>
        <w:spacing w:before="160"/>
      </w:pPr>
    </w:p>
    <w:p>
      <w:pPr>
        <w:spacing w:after="80" w:before="180"/>
      </w:pPr>
      <w:r>
        <w:rPr>
          <w:rFonts w:ascii="Calibri" w:cs="Calibri" w:eastAsia="Calibri" w:hAnsi="Calibri"/>
          <w:b/>
          <w:bCs/>
          <w:i/>
          <w:iCs/>
          <w:color w:val="8A6D0B"/>
          <w:sz w:val="21"/>
          <w:szCs w:val="21"/>
        </w:rPr>
        <w:t xml:space="preserve">Job Portals — CV.lv, LinkedIn Jobs, NVA Latvia</w:t>
      </w:r>
    </w:p>
    <w:p>
      <w:pPr>
        <w:spacing w:after="160" w:line="276"/>
      </w:pPr>
      <w:r>
        <w:rPr>
          <w:rFonts w:ascii="Calibri" w:cs="Calibri" w:eastAsia="Calibri" w:hAnsi="Calibri"/>
          <w:color w:val="222222"/>
          <w:sz w:val="21"/>
          <w:szCs w:val="21"/>
        </w:rPr>
        <w:t xml:space="preserve">Job portals are the most effective source for identifying actively hiring companies. Analyzing job postings — particularly recurring postings for the same role — allows businesses with continuous manpower requirements to be shortlisted ahead of companies with only occasional, one-off vacancies.</w:t>
      </w:r>
    </w:p>
    <w:p>
      <w:pPr>
        <w:spacing w:after="80" w:before="180"/>
      </w:pPr>
      <w:r>
        <w:rPr>
          <w:rFonts w:ascii="Calibri" w:cs="Calibri" w:eastAsia="Calibri" w:hAnsi="Calibri"/>
          <w:b/>
          <w:bCs/>
          <w:i/>
          <w:iCs/>
          <w:color w:val="8A6D0B"/>
          <w:sz w:val="21"/>
          <w:szCs w:val="21"/>
        </w:rPr>
        <w:t xml:space="preserve">Company Websites</w:t>
      </w:r>
    </w:p>
    <w:p>
      <w:pPr>
        <w:spacing w:after="160" w:line="276"/>
      </w:pPr>
      <w:r>
        <w:rPr>
          <w:rFonts w:ascii="Calibri" w:cs="Calibri" w:eastAsia="Calibri" w:hAnsi="Calibri"/>
          <w:color w:val="222222"/>
          <w:sz w:val="21"/>
          <w:szCs w:val="21"/>
        </w:rPr>
        <w:t xml:space="preserve">Official company websites verify recruitment activity, confirm company operations and scale, and are the primary source of direct contact details. A dedicated, actively maintained careers page is itself a positive signal of business expansion and sustained workforce need.</w:t>
      </w:r>
    </w:p>
    <w:p>
      <w:pPr>
        <w:spacing w:after="80" w:before="180"/>
      </w:pPr>
      <w:r>
        <w:rPr>
          <w:rFonts w:ascii="Calibri" w:cs="Calibri" w:eastAsia="Calibri" w:hAnsi="Calibri"/>
          <w:b/>
          <w:bCs/>
          <w:i/>
          <w:iCs/>
          <w:color w:val="8A6D0B"/>
          <w:sz w:val="21"/>
          <w:szCs w:val="21"/>
        </w:rPr>
        <w:t xml:space="preserve">LinkedIn</w:t>
      </w:r>
    </w:p>
    <w:p>
      <w:pPr>
        <w:spacing w:after="160" w:line="276"/>
      </w:pPr>
      <w:r>
        <w:rPr>
          <w:rFonts w:ascii="Calibri" w:cs="Calibri" w:eastAsia="Calibri" w:hAnsi="Calibri"/>
          <w:color w:val="222222"/>
          <w:sz w:val="21"/>
          <w:szCs w:val="21"/>
        </w:rPr>
        <w:t xml:space="preserve">LinkedIn is the primary platform for identifying named decision-makers — HR managers, recruitment specialists, and operations heads — and for tracking a company's hiring behaviour and growth trends over time, which helps prioritize accounts with sustained rather than sporadic demand.</w:t>
      </w:r>
    </w:p>
    <w:p>
      <w:pPr>
        <w:spacing w:after="80" w:before="180"/>
      </w:pPr>
      <w:r>
        <w:rPr>
          <w:rFonts w:ascii="Calibri" w:cs="Calibri" w:eastAsia="Calibri" w:hAnsi="Calibri"/>
          <w:b/>
          <w:bCs/>
          <w:i/>
          <w:iCs/>
          <w:color w:val="8A6D0B"/>
          <w:sz w:val="21"/>
          <w:szCs w:val="21"/>
        </w:rPr>
        <w:t xml:space="preserve">Business Directories — Firmas.lv, Lursoft</w:t>
      </w:r>
    </w:p>
    <w:p>
      <w:pPr>
        <w:spacing w:after="160" w:line="276"/>
      </w:pPr>
      <w:r>
        <w:rPr>
          <w:rFonts w:ascii="Calibri" w:cs="Calibri" w:eastAsia="Calibri" w:hAnsi="Calibri"/>
          <w:color w:val="222222"/>
          <w:sz w:val="21"/>
          <w:szCs w:val="21"/>
        </w:rPr>
        <w:t xml:space="preserve">Business directories provide access to registered manufacturing companies, including many that are not actively advertising vacancies online. These sources are used to expand the lead database beyond active job postings and to independently verify company registration details.</w:t>
      </w:r>
    </w:p>
    <w:p>
      <w:pPr>
        <w:pStyle w:val="Heading1"/>
        <w:pBdr>
          <w:bottom w:val="single" w:color="C9A227" w:sz="12" w:space="4"/>
        </w:pBdr>
        <w:spacing w:after="160" w:before="380"/>
      </w:pPr>
      <w:r>
        <w:rPr>
          <w:rFonts w:ascii="Calibri" w:cs="Calibri" w:eastAsia="Calibri" w:hAnsi="Calibri"/>
          <w:b/>
          <w:bCs/>
          <w:color w:val="1F3864"/>
          <w:sz w:val="30"/>
          <w:szCs w:val="30"/>
        </w:rPr>
        <w:t xml:space="preserve">9. Conclusion &amp; Strategic Recommendations</w:t>
      </w:r>
    </w:p>
    <w:p>
      <w:pPr>
        <w:spacing w:after="160" w:line="276"/>
      </w:pPr>
      <w:r>
        <w:rPr>
          <w:rFonts w:ascii="Calibri" w:cs="Calibri" w:eastAsia="Calibri" w:hAnsi="Calibri"/>
          <w:color w:val="222222"/>
          <w:sz w:val="21"/>
          <w:szCs w:val="21"/>
        </w:rPr>
        <w:t xml:space="preserve">Latvia presents a structurally sound, demographically driven case for international recruitment and staffing services. Its manufacturing base is diverse, export-oriented, and geographically concentrated (Riga, Liepāja, Daugavpils), while its shrinking, aging population guarantees that the underlying skills shortage will persist — and likely deepen — over the coming decade, regardless of near-term economic cycles.</w:t>
      </w:r>
    </w:p>
    <w:p>
      <w:pPr>
        <w:pStyle w:val="ListParagraph"/>
        <w:numPr>
          <w:ilvl w:val="0"/>
          <w:numId w:val="2"/>
        </w:numPr>
        <w:spacing w:after="90" w:line="270"/>
      </w:pPr>
      <w:r>
        <w:rPr>
          <w:rFonts w:ascii="Calibri" w:cs="Calibri" w:eastAsia="Calibri" w:hAnsi="Calibri"/>
          <w:color w:val="222222"/>
          <w:sz w:val="21"/>
          <w:szCs w:val="21"/>
        </w:rPr>
        <w:t xml:space="preserve">Prioritize metal fabrication, mechanical engineering, and wood processing as the highest-opportunity manufacturing verticals, given their scale, export orientation, and documented hiring difficulty.</w:t>
      </w:r>
    </w:p>
    <w:p>
      <w:pPr>
        <w:pStyle w:val="ListParagraph"/>
        <w:numPr>
          <w:ilvl w:val="0"/>
          <w:numId w:val="2"/>
        </w:numPr>
        <w:spacing w:after="90" w:line="270"/>
      </w:pPr>
      <w:r>
        <w:rPr>
          <w:rFonts w:ascii="Calibri" w:cs="Calibri" w:eastAsia="Calibri" w:hAnsi="Calibri"/>
          <w:color w:val="222222"/>
          <w:sz w:val="21"/>
          <w:szCs w:val="21"/>
        </w:rPr>
        <w:t xml:space="preserve">Treat logistics and warehousing as a strong adjacent vertical, given Latvia's role as a regional transport hub and continued e-commerce-driven demand.</w:t>
      </w:r>
    </w:p>
    <w:p>
      <w:pPr>
        <w:pStyle w:val="ListParagraph"/>
        <w:numPr>
          <w:ilvl w:val="0"/>
          <w:numId w:val="2"/>
        </w:numPr>
        <w:spacing w:after="90" w:line="270"/>
      </w:pPr>
      <w:r>
        <w:rPr>
          <w:rFonts w:ascii="Calibri" w:cs="Calibri" w:eastAsia="Calibri" w:hAnsi="Calibri"/>
          <w:color w:val="222222"/>
          <w:sz w:val="21"/>
          <w:szCs w:val="21"/>
        </w:rPr>
        <w:t xml:space="preserve">Use recurring job postings and multi-role vacancies as the strongest available proxy for sustained (rather than one-off) staffing demand when qualifying leads.</w:t>
      </w:r>
    </w:p>
    <w:p>
      <w:pPr>
        <w:pStyle w:val="ListParagraph"/>
        <w:numPr>
          <w:ilvl w:val="0"/>
          <w:numId w:val="2"/>
        </w:numPr>
        <w:spacing w:after="90" w:line="270"/>
      </w:pPr>
      <w:r>
        <w:rPr>
          <w:rFonts w:ascii="Calibri" w:cs="Calibri" w:eastAsia="Calibri" w:hAnsi="Calibri"/>
          <w:color w:val="222222"/>
          <w:sz w:val="21"/>
          <w:szCs w:val="21"/>
        </w:rPr>
        <w:t xml:space="preserve">Lead with the EU Blue Card and work-permit pathways as a policy-validated, low-friction entry point in outreach conversations, since Latvian employers are already being encouraged toward foreign-labour solutions by national policy.</w:t>
      </w:r>
    </w:p>
    <w:p>
      <w:pPr>
        <w:pStyle w:val="ListParagraph"/>
        <w:numPr>
          <w:ilvl w:val="0"/>
          <w:numId w:val="2"/>
        </w:numPr>
        <w:spacing w:after="90" w:line="270"/>
      </w:pPr>
      <w:r>
        <w:rPr>
          <w:rFonts w:ascii="Calibri" w:cs="Calibri" w:eastAsia="Calibri" w:hAnsi="Calibri"/>
          <w:color w:val="222222"/>
          <w:sz w:val="21"/>
          <w:szCs w:val="21"/>
        </w:rPr>
        <w:t xml:space="preserve">Build the lead pipeline using the four-channel methodology in Section 8 — job portals, company websites, LinkedIn, and business directories — to combine real-time hiring signals with independently verified company data.</w:t>
      </w:r>
    </w:p>
    <w:p>
      <w:pPr>
        <w:spacing w:after="160" w:line="276"/>
      </w:pPr>
      <w:r>
        <w:rPr>
          <w:rFonts w:ascii="Calibri" w:cs="Calibri" w:eastAsia="Calibri" w:hAnsi="Calibri"/>
          <w:color w:val="222222"/>
          <w:sz w:val="21"/>
          <w:szCs w:val="21"/>
        </w:rPr>
        <w:t xml:space="preserve">Combined with the accompanying Lead Scoring Workbook and Outreach Strategy document, this market research forms the evidence base for a full, defensible market-entry business case: why Latvia, why manufacturing, and why now.</w:t>
      </w:r>
    </w:p>
    <w:p>
      <w:r>
        <w:br w:type="page"/>
      </w:r>
    </w:p>
    <w:p>
      <w:pPr>
        <w:pStyle w:val="Heading1"/>
        <w:pBdr>
          <w:bottom w:val="single" w:color="C9A227" w:sz="12" w:space="4"/>
        </w:pBdr>
        <w:spacing w:after="160" w:before="380"/>
      </w:pPr>
      <w:r>
        <w:rPr>
          <w:rFonts w:ascii="Calibri" w:cs="Calibri" w:eastAsia="Calibri" w:hAnsi="Calibri"/>
          <w:b/>
          <w:bCs/>
          <w:color w:val="1F3864"/>
          <w:sz w:val="30"/>
          <w:szCs w:val="30"/>
        </w:rPr>
        <w:t xml:space="preserve">Sources &amp; References</w:t>
      </w:r>
    </w:p>
    <w:p>
      <w:pPr>
        <w:spacing w:after="160" w:line="276"/>
      </w:pPr>
      <w:r>
        <w:rPr>
          <w:rFonts w:ascii="Calibri" w:cs="Calibri" w:eastAsia="Calibri" w:hAnsi="Calibri"/>
          <w:color w:val="222222"/>
          <w:sz w:val="21"/>
          <w:szCs w:val="21"/>
        </w:rPr>
        <w:t xml:space="preserve">All statistics in this report are drawn from publicly available, cited sources current as of the report date. Where sources reported slightly different figures for the same metric, this report presents the range and identifies the most recent official figure (e.g., Central Statistical Bureau of Latvia) as primary.</w:t>
      </w:r>
    </w:p>
    <w:p>
      <w:pPr>
        <w:spacing w:after="120" w:line="264"/>
        <w:ind w:left="260" w:hanging="260"/>
      </w:pPr>
      <w:r>
        <w:rPr>
          <w:rFonts w:ascii="Calibri" w:cs="Calibri" w:eastAsia="Calibri" w:hAnsi="Calibri"/>
          <w:b/>
          <w:bCs/>
          <w:color w:val="1F3864"/>
          <w:sz w:val="19"/>
          <w:szCs w:val="19"/>
        </w:rPr>
        <w:t xml:space="preserve">1. </w:t>
      </w:r>
      <w:r>
        <w:rPr>
          <w:rFonts w:ascii="Calibri" w:cs="Calibri" w:eastAsia="Calibri" w:hAnsi="Calibri"/>
          <w:color w:val="222222"/>
          <w:sz w:val="19"/>
          <w:szCs w:val="19"/>
        </w:rPr>
        <w:t xml:space="preserve">Worldometer — Latvia Population. </w:t>
      </w:r>
      <w:hyperlink w:history="1" r:id="rId1qcfwpgmxfb2mj_irhnf5">
        <w:r>
          <w:rPr>
            <w:rFonts w:ascii="Calibri" w:cs="Calibri" w:eastAsia="Calibri" w:hAnsi="Calibri"/>
            <w:color w:val="2E5395"/>
            <w:sz w:val="19"/>
            <w:szCs w:val="19"/>
            <w:u w:val="single"/>
          </w:rPr>
          <w:t xml:space="preserve">https://www.worldometers.info/world-population/latvia-population/</w:t>
        </w:r>
      </w:hyperlink>
    </w:p>
    <w:p>
      <w:pPr>
        <w:spacing w:after="120" w:line="264"/>
        <w:ind w:left="260" w:hanging="260"/>
      </w:pPr>
      <w:r>
        <w:rPr>
          <w:rFonts w:ascii="Calibri" w:cs="Calibri" w:eastAsia="Calibri" w:hAnsi="Calibri"/>
          <w:b/>
          <w:bCs/>
          <w:color w:val="1F3864"/>
          <w:sz w:val="19"/>
          <w:szCs w:val="19"/>
        </w:rPr>
        <w:t xml:space="preserve">2. </w:t>
      </w:r>
      <w:r>
        <w:rPr>
          <w:rFonts w:ascii="Calibri" w:cs="Calibri" w:eastAsia="Calibri" w:hAnsi="Calibri"/>
          <w:color w:val="222222"/>
          <w:sz w:val="19"/>
          <w:szCs w:val="19"/>
        </w:rPr>
        <w:t xml:space="preserve">StatisticsTimes — Latvia Demographics. </w:t>
      </w:r>
      <w:hyperlink w:history="1" r:id="rIdtf0tyncmsc-yqhganfwc3">
        <w:r>
          <w:rPr>
            <w:rFonts w:ascii="Calibri" w:cs="Calibri" w:eastAsia="Calibri" w:hAnsi="Calibri"/>
            <w:color w:val="2E5395"/>
            <w:sz w:val="19"/>
            <w:szCs w:val="19"/>
            <w:u w:val="single"/>
          </w:rPr>
          <w:t xml:space="preserve">https://statisticstimes.com/demographics/country/latvia-demographics.php</w:t>
        </w:r>
      </w:hyperlink>
    </w:p>
    <w:p>
      <w:pPr>
        <w:spacing w:after="120" w:line="264"/>
        <w:ind w:left="260" w:hanging="260"/>
      </w:pPr>
      <w:r>
        <w:rPr>
          <w:rFonts w:ascii="Calibri" w:cs="Calibri" w:eastAsia="Calibri" w:hAnsi="Calibri"/>
          <w:b/>
          <w:bCs/>
          <w:color w:val="1F3864"/>
          <w:sz w:val="19"/>
          <w:szCs w:val="19"/>
        </w:rPr>
        <w:t xml:space="preserve">3. </w:t>
      </w:r>
      <w:r>
        <w:rPr>
          <w:rFonts w:ascii="Calibri" w:cs="Calibri" w:eastAsia="Calibri" w:hAnsi="Calibri"/>
          <w:color w:val="222222"/>
          <w:sz w:val="19"/>
          <w:szCs w:val="19"/>
        </w:rPr>
        <w:t xml:space="preserve">World Population Review — Latvia Data. </w:t>
      </w:r>
      <w:hyperlink w:history="1" r:id="rId6jw6poupmrso9-xr5u5am">
        <w:r>
          <w:rPr>
            <w:rFonts w:ascii="Calibri" w:cs="Calibri" w:eastAsia="Calibri" w:hAnsi="Calibri"/>
            <w:color w:val="2E5395"/>
            <w:sz w:val="19"/>
            <w:szCs w:val="19"/>
            <w:u w:val="single"/>
          </w:rPr>
          <w:t xml:space="preserve">https://worldpopulationreview.com/countries/latvia</w:t>
        </w:r>
      </w:hyperlink>
    </w:p>
    <w:p>
      <w:pPr>
        <w:spacing w:after="120" w:line="264"/>
        <w:ind w:left="260" w:hanging="260"/>
      </w:pPr>
      <w:r>
        <w:rPr>
          <w:rFonts w:ascii="Calibri" w:cs="Calibri" w:eastAsia="Calibri" w:hAnsi="Calibri"/>
          <w:b/>
          <w:bCs/>
          <w:color w:val="1F3864"/>
          <w:sz w:val="19"/>
          <w:szCs w:val="19"/>
        </w:rPr>
        <w:t xml:space="preserve">4. </w:t>
      </w:r>
      <w:r>
        <w:rPr>
          <w:rFonts w:ascii="Calibri" w:cs="Calibri" w:eastAsia="Calibri" w:hAnsi="Calibri"/>
          <w:color w:val="222222"/>
          <w:sz w:val="19"/>
          <w:szCs w:val="19"/>
        </w:rPr>
        <w:t xml:space="preserve">Countrymeters — Latvia Population (Live). </w:t>
      </w:r>
      <w:hyperlink w:history="1" r:id="rIdg5u9jfiueokpfd5q8qukz">
        <w:r>
          <w:rPr>
            <w:rFonts w:ascii="Calibri" w:cs="Calibri" w:eastAsia="Calibri" w:hAnsi="Calibri"/>
            <w:color w:val="2E5395"/>
            <w:sz w:val="19"/>
            <w:szCs w:val="19"/>
            <w:u w:val="single"/>
          </w:rPr>
          <w:t xml:space="preserve">https://countrymeters.info/en/Latvia</w:t>
        </w:r>
      </w:hyperlink>
    </w:p>
    <w:p>
      <w:pPr>
        <w:spacing w:after="120" w:line="264"/>
        <w:ind w:left="260" w:hanging="260"/>
      </w:pPr>
      <w:r>
        <w:rPr>
          <w:rFonts w:ascii="Calibri" w:cs="Calibri" w:eastAsia="Calibri" w:hAnsi="Calibri"/>
          <w:b/>
          <w:bCs/>
          <w:color w:val="1F3864"/>
          <w:sz w:val="19"/>
          <w:szCs w:val="19"/>
        </w:rPr>
        <w:t xml:space="preserve">5. </w:t>
      </w:r>
      <w:r>
        <w:rPr>
          <w:rFonts w:ascii="Calibri" w:cs="Calibri" w:eastAsia="Calibri" w:hAnsi="Calibri"/>
          <w:color w:val="222222"/>
          <w:sz w:val="19"/>
          <w:szCs w:val="19"/>
        </w:rPr>
        <w:t xml:space="preserve">LSM.lv (Latvian Public Media) — Latvia's population is 1,845,000 in 2026. </w:t>
      </w:r>
      <w:hyperlink w:history="1" r:id="rIdzpzm6ppi6lvdlvx8br5ix">
        <w:r>
          <w:rPr>
            <w:rFonts w:ascii="Calibri" w:cs="Calibri" w:eastAsia="Calibri" w:hAnsi="Calibri"/>
            <w:color w:val="2E5395"/>
            <w:sz w:val="19"/>
            <w:szCs w:val="19"/>
            <w:u w:val="single"/>
          </w:rPr>
          <w:t xml:space="preserve">https://eng.lsm.lv/article/society/society/02.06.2026-latvias-population-is-1845000-in-2026.a648605/</w:t>
        </w:r>
      </w:hyperlink>
    </w:p>
    <w:p>
      <w:pPr>
        <w:spacing w:after="120" w:line="264"/>
        <w:ind w:left="260" w:hanging="260"/>
      </w:pPr>
      <w:r>
        <w:rPr>
          <w:rFonts w:ascii="Calibri" w:cs="Calibri" w:eastAsia="Calibri" w:hAnsi="Calibri"/>
          <w:b/>
          <w:bCs/>
          <w:color w:val="1F3864"/>
          <w:sz w:val="19"/>
          <w:szCs w:val="19"/>
        </w:rPr>
        <w:t xml:space="preserve">6. </w:t>
      </w:r>
      <w:r>
        <w:rPr>
          <w:rFonts w:ascii="Calibri" w:cs="Calibri" w:eastAsia="Calibri" w:hAnsi="Calibri"/>
          <w:color w:val="222222"/>
          <w:sz w:val="19"/>
          <w:szCs w:val="19"/>
        </w:rPr>
        <w:t xml:space="preserve">Statista / World Bank — Latvia GDP Distribution Across Economic Sectors. </w:t>
      </w:r>
      <w:hyperlink w:history="1" r:id="rIdylkerpscwpvlb64cffvql">
        <w:r>
          <w:rPr>
            <w:rFonts w:ascii="Calibri" w:cs="Calibri" w:eastAsia="Calibri" w:hAnsi="Calibri"/>
            <w:color w:val="2E5395"/>
            <w:sz w:val="19"/>
            <w:szCs w:val="19"/>
            <w:u w:val="single"/>
          </w:rPr>
          <w:t xml:space="preserve">https://www.statista.com/statistics/375583/latvia-gdp-distribution-across-economic-sectors/</w:t>
        </w:r>
      </w:hyperlink>
    </w:p>
    <w:p>
      <w:pPr>
        <w:spacing w:after="120" w:line="264"/>
        <w:ind w:left="260" w:hanging="260"/>
      </w:pPr>
      <w:r>
        <w:rPr>
          <w:rFonts w:ascii="Calibri" w:cs="Calibri" w:eastAsia="Calibri" w:hAnsi="Calibri"/>
          <w:b/>
          <w:bCs/>
          <w:color w:val="1F3864"/>
          <w:sz w:val="19"/>
          <w:szCs w:val="19"/>
        </w:rPr>
        <w:t xml:space="preserve">7. </w:t>
      </w:r>
      <w:r>
        <w:rPr>
          <w:rFonts w:ascii="Calibri" w:cs="Calibri" w:eastAsia="Calibri" w:hAnsi="Calibri"/>
          <w:color w:val="222222"/>
          <w:sz w:val="19"/>
          <w:szCs w:val="19"/>
        </w:rPr>
        <w:t xml:space="preserve">Britannica — Latvia — Economy. </w:t>
      </w:r>
      <w:hyperlink w:history="1" r:id="rIdeuulxtiqkrffuock_3pco">
        <w:r>
          <w:rPr>
            <w:rFonts w:ascii="Calibri" w:cs="Calibri" w:eastAsia="Calibri" w:hAnsi="Calibri"/>
            <w:color w:val="2E5395"/>
            <w:sz w:val="19"/>
            <w:szCs w:val="19"/>
            <w:u w:val="single"/>
          </w:rPr>
          <w:t xml:space="preserve">https://www.britannica.com/place/Latvia/Economy</w:t>
        </w:r>
      </w:hyperlink>
    </w:p>
    <w:p>
      <w:pPr>
        <w:spacing w:after="120" w:line="264"/>
        <w:ind w:left="260" w:hanging="260"/>
      </w:pPr>
      <w:r>
        <w:rPr>
          <w:rFonts w:ascii="Calibri" w:cs="Calibri" w:eastAsia="Calibri" w:hAnsi="Calibri"/>
          <w:b/>
          <w:bCs/>
          <w:color w:val="1F3864"/>
          <w:sz w:val="19"/>
          <w:szCs w:val="19"/>
        </w:rPr>
        <w:t xml:space="preserve">8. </w:t>
      </w:r>
      <w:r>
        <w:rPr>
          <w:rFonts w:ascii="Calibri" w:cs="Calibri" w:eastAsia="Calibri" w:hAnsi="Calibri"/>
          <w:color w:val="222222"/>
          <w:sz w:val="19"/>
          <w:szCs w:val="19"/>
        </w:rPr>
        <w:t xml:space="preserve">Trading Economics — Latvia Industrial Production / Industry Value Added. </w:t>
      </w:r>
      <w:hyperlink w:history="1" r:id="rId5eroapepcebdhozwecn_y">
        <w:r>
          <w:rPr>
            <w:rFonts w:ascii="Calibri" w:cs="Calibri" w:eastAsia="Calibri" w:hAnsi="Calibri"/>
            <w:color w:val="2E5395"/>
            <w:sz w:val="19"/>
            <w:szCs w:val="19"/>
            <w:u w:val="single"/>
          </w:rPr>
          <w:t xml:space="preserve">https://tradingeconomics.com/latvia/industrial-production</w:t>
        </w:r>
      </w:hyperlink>
    </w:p>
    <w:p>
      <w:pPr>
        <w:spacing w:after="120" w:line="264"/>
        <w:ind w:left="260" w:hanging="260"/>
      </w:pPr>
      <w:r>
        <w:rPr>
          <w:rFonts w:ascii="Calibri" w:cs="Calibri" w:eastAsia="Calibri" w:hAnsi="Calibri"/>
          <w:b/>
          <w:bCs/>
          <w:color w:val="1F3864"/>
          <w:sz w:val="19"/>
          <w:szCs w:val="19"/>
        </w:rPr>
        <w:t xml:space="preserve">9. </w:t>
      </w:r>
      <w:r>
        <w:rPr>
          <w:rFonts w:ascii="Calibri" w:cs="Calibri" w:eastAsia="Calibri" w:hAnsi="Calibri"/>
          <w:color w:val="222222"/>
          <w:sz w:val="19"/>
          <w:szCs w:val="19"/>
        </w:rPr>
        <w:t xml:space="preserve">Crédit Agricole / International Trade Portal — Economic and Political Overview in Latvia. </w:t>
      </w:r>
      <w:hyperlink w:history="1" r:id="rIds9ykk1_q-q9ygheieo-4w">
        <w:r>
          <w:rPr>
            <w:rFonts w:ascii="Calibri" w:cs="Calibri" w:eastAsia="Calibri" w:hAnsi="Calibri"/>
            <w:color w:val="2E5395"/>
            <w:sz w:val="19"/>
            <w:szCs w:val="19"/>
            <w:u w:val="single"/>
          </w:rPr>
          <w:t xml:space="preserve">https://international.groupecreditagricole.com/en/international-support/latvia/economic-overview</w:t>
        </w:r>
      </w:hyperlink>
    </w:p>
    <w:p>
      <w:pPr>
        <w:spacing w:after="120" w:line="264"/>
        <w:ind w:left="260" w:hanging="260"/>
      </w:pPr>
      <w:r>
        <w:rPr>
          <w:rFonts w:ascii="Calibri" w:cs="Calibri" w:eastAsia="Calibri" w:hAnsi="Calibri"/>
          <w:b/>
          <w:bCs/>
          <w:color w:val="1F3864"/>
          <w:sz w:val="19"/>
          <w:szCs w:val="19"/>
        </w:rPr>
        <w:t xml:space="preserve">10. </w:t>
      </w:r>
      <w:r>
        <w:rPr>
          <w:rFonts w:ascii="Calibri" w:cs="Calibri" w:eastAsia="Calibri" w:hAnsi="Calibri"/>
          <w:color w:val="222222"/>
          <w:sz w:val="19"/>
          <w:szCs w:val="19"/>
        </w:rPr>
        <w:t xml:space="preserve">LSM.lv — Latvian GDP was up 2.1% in 2025. </w:t>
      </w:r>
      <w:hyperlink w:history="1" r:id="rIdrnidsewll7s43comv0y3o">
        <w:r>
          <w:rPr>
            <w:rFonts w:ascii="Calibri" w:cs="Calibri" w:eastAsia="Calibri" w:hAnsi="Calibri"/>
            <w:color w:val="2E5395"/>
            <w:sz w:val="19"/>
            <w:szCs w:val="19"/>
            <w:u w:val="single"/>
          </w:rPr>
          <w:t xml:space="preserve">https://eng.lsm.lv/article/economy/economy/27.02.2026-latvian-gdp-was-up-21-in-2025.a635873/</w:t>
        </w:r>
      </w:hyperlink>
    </w:p>
    <w:p>
      <w:pPr>
        <w:spacing w:after="120" w:line="264"/>
        <w:ind w:left="260" w:hanging="260"/>
      </w:pPr>
      <w:r>
        <w:rPr>
          <w:rFonts w:ascii="Calibri" w:cs="Calibri" w:eastAsia="Calibri" w:hAnsi="Calibri"/>
          <w:b/>
          <w:bCs/>
          <w:color w:val="1F3864"/>
          <w:sz w:val="19"/>
          <w:szCs w:val="19"/>
        </w:rPr>
        <w:t xml:space="preserve">11. </w:t>
      </w:r>
      <w:r>
        <w:rPr>
          <w:rFonts w:ascii="Calibri" w:cs="Calibri" w:eastAsia="Calibri" w:hAnsi="Calibri"/>
          <w:color w:val="222222"/>
          <w:sz w:val="19"/>
          <w:szCs w:val="19"/>
        </w:rPr>
        <w:t xml:space="preserve">EasyLink Business Services — Latvia Overview &amp; Market Research. </w:t>
      </w:r>
      <w:hyperlink w:history="1" r:id="rIdcfc53wlerkyibpmeaov2d">
        <w:r>
          <w:rPr>
            <w:rFonts w:ascii="Calibri" w:cs="Calibri" w:eastAsia="Calibri" w:hAnsi="Calibri"/>
            <w:color w:val="2E5395"/>
            <w:sz w:val="19"/>
            <w:szCs w:val="19"/>
            <w:u w:val="single"/>
          </w:rPr>
          <w:t xml:space="preserve">https://www.easylink.cz/market/latvia-market-overview/</w:t>
        </w:r>
      </w:hyperlink>
    </w:p>
    <w:p>
      <w:pPr>
        <w:spacing w:after="120" w:line="264"/>
        <w:ind w:left="260" w:hanging="260"/>
      </w:pPr>
      <w:r>
        <w:rPr>
          <w:rFonts w:ascii="Calibri" w:cs="Calibri" w:eastAsia="Calibri" w:hAnsi="Calibri"/>
          <w:b/>
          <w:bCs/>
          <w:color w:val="1F3864"/>
          <w:sz w:val="19"/>
          <w:szCs w:val="19"/>
        </w:rPr>
        <w:t xml:space="preserve">12. </w:t>
      </w:r>
      <w:r>
        <w:rPr>
          <w:rFonts w:ascii="Calibri" w:cs="Calibri" w:eastAsia="Calibri" w:hAnsi="Calibri"/>
          <w:color w:val="222222"/>
          <w:sz w:val="19"/>
          <w:szCs w:val="19"/>
        </w:rPr>
        <w:t xml:space="preserve">WorldAtlas — Biggest Industries in Latvia. </w:t>
      </w:r>
      <w:hyperlink w:history="1" r:id="rIdw2hr0lhilwshitxug7dpe">
        <w:r>
          <w:rPr>
            <w:rFonts w:ascii="Calibri" w:cs="Calibri" w:eastAsia="Calibri" w:hAnsi="Calibri"/>
            <w:color w:val="2E5395"/>
            <w:sz w:val="19"/>
            <w:szCs w:val="19"/>
            <w:u w:val="single"/>
          </w:rPr>
          <w:t xml:space="preserve">https://www.worldatlas.com/articles/what-are-the-biggest-industries-in-latvia.html</w:t>
        </w:r>
      </w:hyperlink>
    </w:p>
    <w:p>
      <w:pPr>
        <w:spacing w:after="120" w:line="264"/>
        <w:ind w:left="260" w:hanging="260"/>
      </w:pPr>
      <w:r>
        <w:rPr>
          <w:rFonts w:ascii="Calibri" w:cs="Calibri" w:eastAsia="Calibri" w:hAnsi="Calibri"/>
          <w:b/>
          <w:bCs/>
          <w:color w:val="1F3864"/>
          <w:sz w:val="19"/>
          <w:szCs w:val="19"/>
        </w:rPr>
        <w:t xml:space="preserve">13. </w:t>
      </w:r>
      <w:r>
        <w:rPr>
          <w:rFonts w:ascii="Calibri" w:cs="Calibri" w:eastAsia="Calibri" w:hAnsi="Calibri"/>
          <w:color w:val="222222"/>
          <w:sz w:val="19"/>
          <w:szCs w:val="19"/>
        </w:rPr>
        <w:t xml:space="preserve">Latvian Timber Producers Association — Official Website. </w:t>
      </w:r>
      <w:hyperlink w:history="1" r:id="rIdxpj5dgptf_h-u0qimuse-">
        <w:r>
          <w:rPr>
            <w:rFonts w:ascii="Calibri" w:cs="Calibri" w:eastAsia="Calibri" w:hAnsi="Calibri"/>
            <w:color w:val="2E5395"/>
            <w:sz w:val="19"/>
            <w:szCs w:val="19"/>
            <w:u w:val="single"/>
          </w:rPr>
          <w:t xml:space="preserve">https://www.latviantimber.lv/</w:t>
        </w:r>
      </w:hyperlink>
    </w:p>
    <w:p>
      <w:pPr>
        <w:spacing w:after="120" w:line="264"/>
        <w:ind w:left="260" w:hanging="260"/>
      </w:pPr>
      <w:r>
        <w:rPr>
          <w:rFonts w:ascii="Calibri" w:cs="Calibri" w:eastAsia="Calibri" w:hAnsi="Calibri"/>
          <w:b/>
          <w:bCs/>
          <w:color w:val="1F3864"/>
          <w:sz w:val="19"/>
          <w:szCs w:val="19"/>
        </w:rPr>
        <w:t xml:space="preserve">14. </w:t>
      </w:r>
      <w:r>
        <w:rPr>
          <w:rFonts w:ascii="Calibri" w:cs="Calibri" w:eastAsia="Calibri" w:hAnsi="Calibri"/>
          <w:color w:val="222222"/>
          <w:sz w:val="19"/>
          <w:szCs w:val="19"/>
        </w:rPr>
        <w:t xml:space="preserve">U.S. Department of Commerce (Trade.gov) — Latvia Forestry &amp; Woodworking Country Commercial Guide. </w:t>
      </w:r>
      <w:hyperlink w:history="1" r:id="rIdhbkxzfossf22nhxdpcsl9">
        <w:r>
          <w:rPr>
            <w:rFonts w:ascii="Calibri" w:cs="Calibri" w:eastAsia="Calibri" w:hAnsi="Calibri"/>
            <w:color w:val="2E5395"/>
            <w:sz w:val="19"/>
            <w:szCs w:val="19"/>
            <w:u w:val="single"/>
          </w:rPr>
          <w:t xml:space="preserve">https://www.trade.gov/country-commercial-guides/latvia-forestrywoodworking</w:t>
        </w:r>
      </w:hyperlink>
    </w:p>
    <w:p>
      <w:pPr>
        <w:spacing w:after="120" w:line="264"/>
        <w:ind w:left="260" w:hanging="260"/>
      </w:pPr>
      <w:r>
        <w:rPr>
          <w:rFonts w:ascii="Calibri" w:cs="Calibri" w:eastAsia="Calibri" w:hAnsi="Calibri"/>
          <w:b/>
          <w:bCs/>
          <w:color w:val="1F3864"/>
          <w:sz w:val="19"/>
          <w:szCs w:val="19"/>
        </w:rPr>
        <w:t xml:space="preserve">15. </w:t>
      </w:r>
      <w:r>
        <w:rPr>
          <w:rFonts w:ascii="Calibri" w:cs="Calibri" w:eastAsia="Calibri" w:hAnsi="Calibri"/>
          <w:color w:val="222222"/>
          <w:sz w:val="19"/>
          <w:szCs w:val="19"/>
        </w:rPr>
        <w:t xml:space="preserve">U.S. Department of Commerce (Trade.gov) — Latvia Transportation Services Country Commercial Guide. </w:t>
      </w:r>
      <w:hyperlink w:history="1" r:id="rIdibkjuxlsqvchd94njv6ps">
        <w:r>
          <w:rPr>
            <w:rFonts w:ascii="Calibri" w:cs="Calibri" w:eastAsia="Calibri" w:hAnsi="Calibri"/>
            <w:color w:val="2E5395"/>
            <w:sz w:val="19"/>
            <w:szCs w:val="19"/>
            <w:u w:val="single"/>
          </w:rPr>
          <w:t xml:space="preserve">https://www.trade.gov/country-commercial-guides/latvia-transportation-services</w:t>
        </w:r>
      </w:hyperlink>
    </w:p>
    <w:p>
      <w:pPr>
        <w:spacing w:after="120" w:line="264"/>
        <w:ind w:left="260" w:hanging="260"/>
      </w:pPr>
      <w:r>
        <w:rPr>
          <w:rFonts w:ascii="Calibri" w:cs="Calibri" w:eastAsia="Calibri" w:hAnsi="Calibri"/>
          <w:b/>
          <w:bCs/>
          <w:color w:val="1F3864"/>
          <w:sz w:val="19"/>
          <w:szCs w:val="19"/>
        </w:rPr>
        <w:t xml:space="preserve">16. </w:t>
      </w:r>
      <w:r>
        <w:rPr>
          <w:rFonts w:ascii="Calibri" w:cs="Calibri" w:eastAsia="Calibri" w:hAnsi="Calibri"/>
          <w:color w:val="222222"/>
          <w:sz w:val="19"/>
          <w:szCs w:val="19"/>
        </w:rPr>
        <w:t xml:space="preserve">DSV — DSV Latvia — Official Website. </w:t>
      </w:r>
      <w:hyperlink w:history="1" r:id="rIdnmiww3cbb4pv30otckcry">
        <w:r>
          <w:rPr>
            <w:rFonts w:ascii="Calibri" w:cs="Calibri" w:eastAsia="Calibri" w:hAnsi="Calibri"/>
            <w:color w:val="2E5395"/>
            <w:sz w:val="19"/>
            <w:szCs w:val="19"/>
            <w:u w:val="single"/>
          </w:rPr>
          <w:t xml:space="preserve">https://www.dsv.com/en-nl/destinations/transport-europe/transport-latvia</w:t>
        </w:r>
      </w:hyperlink>
    </w:p>
    <w:p>
      <w:pPr>
        <w:spacing w:after="120" w:line="264"/>
        <w:ind w:left="260" w:hanging="260"/>
      </w:pPr>
      <w:r>
        <w:rPr>
          <w:rFonts w:ascii="Calibri" w:cs="Calibri" w:eastAsia="Calibri" w:hAnsi="Calibri"/>
          <w:b/>
          <w:bCs/>
          <w:color w:val="1F3864"/>
          <w:sz w:val="19"/>
          <w:szCs w:val="19"/>
        </w:rPr>
        <w:t xml:space="preserve">17. </w:t>
      </w:r>
      <w:r>
        <w:rPr>
          <w:rFonts w:ascii="Calibri" w:cs="Calibri" w:eastAsia="Calibri" w:hAnsi="Calibri"/>
          <w:color w:val="222222"/>
          <w:sz w:val="19"/>
          <w:szCs w:val="19"/>
        </w:rPr>
        <w:t xml:space="preserve">MASOC — Association of Mechanical Engineering and Metalworking Industries of Latvia. </w:t>
      </w:r>
      <w:hyperlink w:history="1" r:id="rIdzimoxfagfprvl5txtunet">
        <w:r>
          <w:rPr>
            <w:rFonts w:ascii="Calibri" w:cs="Calibri" w:eastAsia="Calibri" w:hAnsi="Calibri"/>
            <w:color w:val="2E5395"/>
            <w:sz w:val="19"/>
            <w:szCs w:val="19"/>
            <w:u w:val="single"/>
          </w:rPr>
          <w:t xml:space="preserve">https://www.masoc.lv/en/</w:t>
        </w:r>
      </w:hyperlink>
    </w:p>
    <w:p>
      <w:pPr>
        <w:spacing w:after="120" w:line="264"/>
        <w:ind w:left="260" w:hanging="260"/>
      </w:pPr>
      <w:r>
        <w:rPr>
          <w:rFonts w:ascii="Calibri" w:cs="Calibri" w:eastAsia="Calibri" w:hAnsi="Calibri"/>
          <w:b/>
          <w:bCs/>
          <w:color w:val="1F3864"/>
          <w:sz w:val="19"/>
          <w:szCs w:val="19"/>
        </w:rPr>
        <w:t xml:space="preserve">18. </w:t>
      </w:r>
      <w:r>
        <w:rPr>
          <w:rFonts w:ascii="Calibri" w:cs="Calibri" w:eastAsia="Calibri" w:hAnsi="Calibri"/>
          <w:color w:val="222222"/>
          <w:sz w:val="19"/>
          <w:szCs w:val="19"/>
        </w:rPr>
        <w:t xml:space="preserve">Kontmet — Official Website. </w:t>
      </w:r>
      <w:hyperlink w:history="1" r:id="rIdfx39zws9al_tginubq2jp">
        <w:r>
          <w:rPr>
            <w:rFonts w:ascii="Calibri" w:cs="Calibri" w:eastAsia="Calibri" w:hAnsi="Calibri"/>
            <w:color w:val="2E5395"/>
            <w:sz w:val="19"/>
            <w:szCs w:val="19"/>
            <w:u w:val="single"/>
          </w:rPr>
          <w:t xml:space="preserve">https://www.kontmet.lv/</w:t>
        </w:r>
      </w:hyperlink>
    </w:p>
    <w:p>
      <w:pPr>
        <w:spacing w:after="120" w:line="264"/>
        <w:ind w:left="260" w:hanging="260"/>
      </w:pPr>
      <w:r>
        <w:rPr>
          <w:rFonts w:ascii="Calibri" w:cs="Calibri" w:eastAsia="Calibri" w:hAnsi="Calibri"/>
          <w:b/>
          <w:bCs/>
          <w:color w:val="1F3864"/>
          <w:sz w:val="19"/>
          <w:szCs w:val="19"/>
        </w:rPr>
        <w:t xml:space="preserve">19. </w:t>
      </w:r>
      <w:r>
        <w:rPr>
          <w:rFonts w:ascii="Calibri" w:cs="Calibri" w:eastAsia="Calibri" w:hAnsi="Calibri"/>
          <w:color w:val="222222"/>
          <w:sz w:val="19"/>
          <w:szCs w:val="19"/>
        </w:rPr>
        <w:t xml:space="preserve">SKV Group — Official Website. </w:t>
      </w:r>
      <w:hyperlink w:history="1" r:id="rIdyvr-cxkff5ffxvj0tnnfa">
        <w:r>
          <w:rPr>
            <w:rFonts w:ascii="Calibri" w:cs="Calibri" w:eastAsia="Calibri" w:hAnsi="Calibri"/>
            <w:color w:val="2E5395"/>
            <w:sz w:val="19"/>
            <w:szCs w:val="19"/>
            <w:u w:val="single"/>
          </w:rPr>
          <w:t xml:space="preserve">https://www.skvgroup.lv/en</w:t>
        </w:r>
      </w:hyperlink>
    </w:p>
    <w:p>
      <w:pPr>
        <w:spacing w:after="120" w:line="264"/>
        <w:ind w:left="260" w:hanging="260"/>
      </w:pPr>
      <w:r>
        <w:rPr>
          <w:rFonts w:ascii="Calibri" w:cs="Calibri" w:eastAsia="Calibri" w:hAnsi="Calibri"/>
          <w:b/>
          <w:bCs/>
          <w:color w:val="1F3864"/>
          <w:sz w:val="19"/>
          <w:szCs w:val="19"/>
        </w:rPr>
        <w:t xml:space="preserve">20. </w:t>
      </w:r>
      <w:r>
        <w:rPr>
          <w:rFonts w:ascii="Calibri" w:cs="Calibri" w:eastAsia="Calibri" w:hAnsi="Calibri"/>
          <w:color w:val="222222"/>
          <w:sz w:val="19"/>
          <w:szCs w:val="19"/>
        </w:rPr>
        <w:t xml:space="preserve">Kamri SIA — Official Website. </w:t>
      </w:r>
      <w:hyperlink w:history="1" r:id="rId7xyrqcbo5qeabwiqkzurz">
        <w:r>
          <w:rPr>
            <w:rFonts w:ascii="Calibri" w:cs="Calibri" w:eastAsia="Calibri" w:hAnsi="Calibri"/>
            <w:color w:val="2E5395"/>
            <w:sz w:val="19"/>
            <w:szCs w:val="19"/>
            <w:u w:val="single"/>
          </w:rPr>
          <w:t xml:space="preserve">http://www.kamri.lv/</w:t>
        </w:r>
      </w:hyperlink>
    </w:p>
    <w:p>
      <w:pPr>
        <w:spacing w:after="120" w:line="264"/>
        <w:ind w:left="260" w:hanging="260"/>
      </w:pPr>
      <w:r>
        <w:rPr>
          <w:rFonts w:ascii="Calibri" w:cs="Calibri" w:eastAsia="Calibri" w:hAnsi="Calibri"/>
          <w:b/>
          <w:bCs/>
          <w:color w:val="1F3864"/>
          <w:sz w:val="19"/>
          <w:szCs w:val="19"/>
        </w:rPr>
        <w:t xml:space="preserve">21. </w:t>
      </w:r>
      <w:r>
        <w:rPr>
          <w:rFonts w:ascii="Calibri" w:cs="Calibri" w:eastAsia="Calibri" w:hAnsi="Calibri"/>
          <w:color w:val="222222"/>
          <w:sz w:val="19"/>
          <w:szCs w:val="19"/>
        </w:rPr>
        <w:t xml:space="preserve">European Labour Authority (ELA) — Latvia Skill Shortages. </w:t>
      </w:r>
      <w:hyperlink w:history="1" r:id="rIdubneiclqqagetsvw6bs0y">
        <w:r>
          <w:rPr>
            <w:rFonts w:ascii="Calibri" w:cs="Calibri" w:eastAsia="Calibri" w:hAnsi="Calibri"/>
            <w:color w:val="2E5395"/>
            <w:sz w:val="19"/>
            <w:szCs w:val="19"/>
            <w:u w:val="single"/>
          </w:rPr>
          <w:t xml:space="preserve">https://www.ela.europa.eu/sites/default/files/2024-07/Eures-Shortages_Extra-4_LT.pdf</w:t>
        </w:r>
      </w:hyperlink>
    </w:p>
    <w:p>
      <w:pPr>
        <w:spacing w:after="120" w:line="264"/>
        <w:ind w:left="260" w:hanging="260"/>
      </w:pPr>
      <w:r>
        <w:rPr>
          <w:rFonts w:ascii="Calibri" w:cs="Calibri" w:eastAsia="Calibri" w:hAnsi="Calibri"/>
          <w:b/>
          <w:bCs/>
          <w:color w:val="1F3864"/>
          <w:sz w:val="19"/>
          <w:szCs w:val="19"/>
        </w:rPr>
        <w:t xml:space="preserve">22. </w:t>
      </w:r>
      <w:r>
        <w:rPr>
          <w:rFonts w:ascii="Calibri" w:cs="Calibri" w:eastAsia="Calibri" w:hAnsi="Calibri"/>
          <w:color w:val="222222"/>
          <w:sz w:val="19"/>
          <w:szCs w:val="19"/>
        </w:rPr>
        <w:t xml:space="preserve">EURES — Living and Working Conditions in Latvia / Labour Market Information. </w:t>
      </w:r>
      <w:hyperlink w:history="1" r:id="rIdvgno3zwryuke5b4onqa2g">
        <w:r>
          <w:rPr>
            <w:rFonts w:ascii="Calibri" w:cs="Calibri" w:eastAsia="Calibri" w:hAnsi="Calibri"/>
            <w:color w:val="2E5395"/>
            <w:sz w:val="19"/>
            <w:szCs w:val="19"/>
            <w:u w:val="single"/>
          </w:rPr>
          <w:t xml:space="preserve">https://eures.europa.eu/living-and-working/labour-market-information/labour-market-information-latvia_en</w:t>
        </w:r>
      </w:hyperlink>
    </w:p>
    <w:p>
      <w:pPr>
        <w:spacing w:after="120" w:line="264"/>
        <w:ind w:left="260" w:hanging="260"/>
      </w:pPr>
      <w:r>
        <w:rPr>
          <w:rFonts w:ascii="Calibri" w:cs="Calibri" w:eastAsia="Calibri" w:hAnsi="Calibri"/>
          <w:b/>
          <w:bCs/>
          <w:color w:val="1F3864"/>
          <w:sz w:val="19"/>
          <w:szCs w:val="19"/>
        </w:rPr>
        <w:t xml:space="preserve">23. </w:t>
      </w:r>
      <w:r>
        <w:rPr>
          <w:rFonts w:ascii="Calibri" w:cs="Calibri" w:eastAsia="Calibri" w:hAnsi="Calibri"/>
          <w:color w:val="222222"/>
          <w:sz w:val="19"/>
          <w:szCs w:val="19"/>
        </w:rPr>
        <w:t xml:space="preserve">Latvian Ministry of Economics — Labour Market Forecasts for Latvia until 2040. </w:t>
      </w:r>
      <w:hyperlink w:history="1" r:id="rIdzpk_3yes5s0vojxtnv-vj">
        <w:r>
          <w:rPr>
            <w:rFonts w:ascii="Calibri" w:cs="Calibri" w:eastAsia="Calibri" w:hAnsi="Calibri"/>
            <w:color w:val="2E5395"/>
            <w:sz w:val="19"/>
            <w:szCs w:val="19"/>
            <w:u w:val="single"/>
          </w:rPr>
          <w:t xml:space="preserve">https://prognozes.em.gov.lv/en</w:t>
        </w:r>
      </w:hyperlink>
    </w:p>
    <w:p>
      <w:pPr>
        <w:spacing w:after="120" w:line="264"/>
        <w:ind w:left="260" w:hanging="260"/>
      </w:pPr>
      <w:r>
        <w:rPr>
          <w:rFonts w:ascii="Calibri" w:cs="Calibri" w:eastAsia="Calibri" w:hAnsi="Calibri"/>
          <w:b/>
          <w:bCs/>
          <w:color w:val="1F3864"/>
          <w:sz w:val="19"/>
          <w:szCs w:val="19"/>
        </w:rPr>
        <w:t xml:space="preserve">24. </w:t>
      </w:r>
      <w:r>
        <w:rPr>
          <w:rFonts w:ascii="Calibri" w:cs="Calibri" w:eastAsia="Calibri" w:hAnsi="Calibri"/>
          <w:color w:val="222222"/>
          <w:sz w:val="19"/>
          <w:szCs w:val="19"/>
        </w:rPr>
        <w:t xml:space="preserve">Fiscal Discipline Council of Latvia — Fiscal and Labour Market Report. </w:t>
      </w:r>
      <w:hyperlink w:history="1" r:id="rIdnzop5plxdvu-fx_shfggu">
        <w:r>
          <w:rPr>
            <w:rFonts w:ascii="Calibri" w:cs="Calibri" w:eastAsia="Calibri" w:hAnsi="Calibri"/>
            <w:color w:val="2E5395"/>
            <w:sz w:val="19"/>
            <w:szCs w:val="19"/>
            <w:u w:val="single"/>
          </w:rPr>
          <w:t xml:space="preserve">https://www.fdp.gov.lv/lv/media/5751/download</w:t>
        </w:r>
      </w:hyperlink>
    </w:p>
    <w:p>
      <w:pPr>
        <w:spacing w:after="120" w:line="264"/>
        <w:ind w:left="260" w:hanging="260"/>
      </w:pPr>
      <w:r>
        <w:rPr>
          <w:rFonts w:ascii="Calibri" w:cs="Calibri" w:eastAsia="Calibri" w:hAnsi="Calibri"/>
          <w:b/>
          <w:bCs/>
          <w:color w:val="1F3864"/>
          <w:sz w:val="19"/>
          <w:szCs w:val="19"/>
        </w:rPr>
        <w:t xml:space="preserve">25. </w:t>
      </w:r>
      <w:r>
        <w:rPr>
          <w:rFonts w:ascii="Calibri" w:cs="Calibri" w:eastAsia="Calibri" w:hAnsi="Calibri"/>
          <w:color w:val="222222"/>
          <w:sz w:val="19"/>
          <w:szCs w:val="19"/>
        </w:rPr>
        <w:t xml:space="preserve">Cedefop — Latvia Skills Forecast 2025. </w:t>
      </w:r>
      <w:hyperlink w:history="1" r:id="rIdlhbxzf3jzrggmtsrcjb5-">
        <w:r>
          <w:rPr>
            <w:rFonts w:ascii="Calibri" w:cs="Calibri" w:eastAsia="Calibri" w:hAnsi="Calibri"/>
            <w:color w:val="2E5395"/>
            <w:sz w:val="19"/>
            <w:szCs w:val="19"/>
            <w:u w:val="single"/>
          </w:rPr>
          <w:t xml:space="preserve">https://www.cedefop.europa.eu/en/country-reports/latvia-skills-forecasts-2025</w:t>
        </w:r>
      </w:hyperlink>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95959"/>
        <w:sz w:val="16"/>
        <w:szCs w:val="16"/>
      </w:rPr>
      <w:t xml:space="preserve">Latvia Market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qcfwpgmxfb2mj_irhnf5" Type="http://schemas.openxmlformats.org/officeDocument/2006/relationships/hyperlink" Target="https://www.worldometers.info/world-population/latvia-population/" TargetMode="External"/><Relationship Id="rIdtf0tyncmsc-yqhganfwc3" Type="http://schemas.openxmlformats.org/officeDocument/2006/relationships/hyperlink" Target="https://statisticstimes.com/demographics/country/latvia-demographics.php" TargetMode="External"/><Relationship Id="rId6jw6poupmrso9-xr5u5am" Type="http://schemas.openxmlformats.org/officeDocument/2006/relationships/hyperlink" Target="https://worldpopulationreview.com/countries/latvia" TargetMode="External"/><Relationship Id="rIdg5u9jfiueokpfd5q8qukz" Type="http://schemas.openxmlformats.org/officeDocument/2006/relationships/hyperlink" Target="https://countrymeters.info/en/Latvia" TargetMode="External"/><Relationship Id="rIdzpzm6ppi6lvdlvx8br5ix" Type="http://schemas.openxmlformats.org/officeDocument/2006/relationships/hyperlink" Target="https://eng.lsm.lv/article/society/society/02.06.2026-latvias-population-is-1845000-in-2026.a648605/" TargetMode="External"/><Relationship Id="rIdylkerpscwpvlb64cffvql" Type="http://schemas.openxmlformats.org/officeDocument/2006/relationships/hyperlink" Target="https://www.statista.com/statistics/375583/latvia-gdp-distribution-across-economic-sectors/" TargetMode="External"/><Relationship Id="rIdeuulxtiqkrffuock_3pco" Type="http://schemas.openxmlformats.org/officeDocument/2006/relationships/hyperlink" Target="https://www.britannica.com/place/Latvia/Economy" TargetMode="External"/><Relationship Id="rId5eroapepcebdhozwecn_y" Type="http://schemas.openxmlformats.org/officeDocument/2006/relationships/hyperlink" Target="https://tradingeconomics.com/latvia/industrial-production" TargetMode="External"/><Relationship Id="rIds9ykk1_q-q9ygheieo-4w" Type="http://schemas.openxmlformats.org/officeDocument/2006/relationships/hyperlink" Target="https://international.groupecreditagricole.com/en/international-support/latvia/economic-overview" TargetMode="External"/><Relationship Id="rIdrnidsewll7s43comv0y3o" Type="http://schemas.openxmlformats.org/officeDocument/2006/relationships/hyperlink" Target="https://eng.lsm.lv/article/economy/economy/27.02.2026-latvian-gdp-was-up-21-in-2025.a635873/" TargetMode="External"/><Relationship Id="rIdcfc53wlerkyibpmeaov2d" Type="http://schemas.openxmlformats.org/officeDocument/2006/relationships/hyperlink" Target="https://www.easylink.cz/market/latvia-market-overview/" TargetMode="External"/><Relationship Id="rIdw2hr0lhilwshitxug7dpe" Type="http://schemas.openxmlformats.org/officeDocument/2006/relationships/hyperlink" Target="https://www.worldatlas.com/articles/what-are-the-biggest-industries-in-latvia.html" TargetMode="External"/><Relationship Id="rIdxpj5dgptf_h-u0qimuse-" Type="http://schemas.openxmlformats.org/officeDocument/2006/relationships/hyperlink" Target="https://www.latviantimber.lv/" TargetMode="External"/><Relationship Id="rIdhbkxzfossf22nhxdpcsl9" Type="http://schemas.openxmlformats.org/officeDocument/2006/relationships/hyperlink" Target="https://www.trade.gov/country-commercial-guides/latvia-forestrywoodworking" TargetMode="External"/><Relationship Id="rIdibkjuxlsqvchd94njv6ps" Type="http://schemas.openxmlformats.org/officeDocument/2006/relationships/hyperlink" Target="https://www.trade.gov/country-commercial-guides/latvia-transportation-services" TargetMode="External"/><Relationship Id="rIdnmiww3cbb4pv30otckcry" Type="http://schemas.openxmlformats.org/officeDocument/2006/relationships/hyperlink" Target="https://www.dsv.com/en-nl/destinations/transport-europe/transport-latvia" TargetMode="External"/><Relationship Id="rIdzimoxfagfprvl5txtunet" Type="http://schemas.openxmlformats.org/officeDocument/2006/relationships/hyperlink" Target="https://www.masoc.lv/en/" TargetMode="External"/><Relationship Id="rIdfx39zws9al_tginubq2jp" Type="http://schemas.openxmlformats.org/officeDocument/2006/relationships/hyperlink" Target="https://www.kontmet.lv/" TargetMode="External"/><Relationship Id="rIdyvr-cxkff5ffxvj0tnnfa" Type="http://schemas.openxmlformats.org/officeDocument/2006/relationships/hyperlink" Target="https://www.skvgroup.lv/en" TargetMode="External"/><Relationship Id="rId7xyrqcbo5qeabwiqkzurz" Type="http://schemas.openxmlformats.org/officeDocument/2006/relationships/hyperlink" Target="http://www.kamri.lv/" TargetMode="External"/><Relationship Id="rIdubneiclqqagetsvw6bs0y" Type="http://schemas.openxmlformats.org/officeDocument/2006/relationships/hyperlink" Target="https://www.ela.europa.eu/sites/default/files/2024-07/Eures-Shortages_Extra-4_LT.pdf" TargetMode="External"/><Relationship Id="rIdvgno3zwryuke5b4onqa2g" Type="http://schemas.openxmlformats.org/officeDocument/2006/relationships/hyperlink" Target="https://eures.europa.eu/living-and-working/labour-market-information/labour-market-information-latvia_en" TargetMode="External"/><Relationship Id="rIdzpk_3yes5s0vojxtnv-vj" Type="http://schemas.openxmlformats.org/officeDocument/2006/relationships/hyperlink" Target="https://prognozes.em.gov.lv/en" TargetMode="External"/><Relationship Id="rIdnzop5plxdvu-fx_shfggu" Type="http://schemas.openxmlformats.org/officeDocument/2006/relationships/hyperlink" Target="https://www.fdp.gov.lv/lv/media/5751/download" TargetMode="External"/><Relationship Id="rIdlhbxzf3jzrggmtsrcjb5-" Type="http://schemas.openxmlformats.org/officeDocument/2006/relationships/hyperlink" Target="https://www.cedefop.europa.eu/en/country-reports/latvia-skills-forecasts-2025"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2026-07-06T04:58:08.012Z</dcterms:created>
  <dcterms:modified xsi:type="dcterms:W3CDTF">2026-07-06T04:58:08.012Z</dcterms:modified>
</cp:coreProperties>
</file>

<file path=docProps/custom.xml><?xml version="1.0" encoding="utf-8"?>
<Properties xmlns="http://schemas.openxmlformats.org/officeDocument/2006/custom-properties" xmlns:vt="http://schemas.openxmlformats.org/officeDocument/2006/docPropsVTypes"/>
</file>