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40B78" w14:textId="32132C72" w:rsidR="001F525C" w:rsidRDefault="00A755F6" w:rsidP="00A755F6">
      <w:pPr>
        <w:pStyle w:val="Title"/>
        <w:rPr>
          <w:sz w:val="40"/>
          <w:szCs w:val="40"/>
        </w:rPr>
      </w:pPr>
      <w:r w:rsidRPr="00A755F6">
        <w:rPr>
          <w:sz w:val="40"/>
          <w:szCs w:val="40"/>
        </w:rPr>
        <w:t xml:space="preserve">PRISM: A Reproducible Multi-Modal Framework for </w:t>
      </w:r>
      <w:proofErr w:type="spellStart"/>
      <w:r w:rsidRPr="00A755F6">
        <w:rPr>
          <w:sz w:val="40"/>
          <w:szCs w:val="40"/>
        </w:rPr>
        <w:t>Memecoin</w:t>
      </w:r>
      <w:proofErr w:type="spellEnd"/>
      <w:r w:rsidRPr="00A755F6">
        <w:rPr>
          <w:sz w:val="40"/>
          <w:szCs w:val="40"/>
        </w:rPr>
        <w:t xml:space="preserve"> Forecasting with Risk-Aware Graph Selection and Meta-Learning</w:t>
      </w:r>
      <w:r w:rsidR="001F525C">
        <w:rPr>
          <w:sz w:val="40"/>
          <w:szCs w:val="40"/>
        </w:rPr>
        <w:t xml:space="preserve"> </w:t>
      </w:r>
    </w:p>
    <w:p w14:paraId="249CD4A0" w14:textId="463E593B" w:rsidR="0049797D" w:rsidRPr="0049797D" w:rsidRDefault="0049797D" w:rsidP="0049797D">
      <w:pPr>
        <w:pStyle w:val="BodyText"/>
      </w:pPr>
      <w:r w:rsidRPr="0049797D">
        <w:rPr>
          <w:highlight w:val="red"/>
        </w:rPr>
        <w:t>COMMENTS</w:t>
      </w:r>
    </w:p>
    <w:p w14:paraId="23AEC656" w14:textId="34091956" w:rsidR="00A755F6" w:rsidRPr="0001258B" w:rsidRDefault="0001258B" w:rsidP="0001258B">
      <w:pPr>
        <w:pStyle w:val="Title"/>
        <w:numPr>
          <w:ilvl w:val="0"/>
          <w:numId w:val="7"/>
        </w:numPr>
        <w:spacing w:before="0" w:after="0"/>
        <w:jc w:val="left"/>
        <w:rPr>
          <w:rFonts w:ascii="Times New Roman" w:eastAsiaTheme="minorHAnsi" w:hAnsi="Times New Roman" w:cstheme="minorBidi"/>
          <w:color w:val="auto"/>
          <w:sz w:val="22"/>
          <w:szCs w:val="24"/>
          <w:highlight w:val="cyan"/>
        </w:rPr>
      </w:pPr>
      <w:r>
        <w:rPr>
          <w:rFonts w:ascii="Times New Roman" w:eastAsiaTheme="minorHAnsi" w:hAnsi="Times New Roman" w:cstheme="minorBidi"/>
          <w:color w:val="auto"/>
          <w:sz w:val="22"/>
          <w:szCs w:val="24"/>
          <w:highlight w:val="cyan"/>
        </w:rPr>
        <w:t>S</w:t>
      </w:r>
      <w:r w:rsidR="001F525C" w:rsidRPr="0001258B">
        <w:rPr>
          <w:rFonts w:ascii="Times New Roman" w:eastAsiaTheme="minorHAnsi" w:hAnsi="Times New Roman" w:cstheme="minorBidi"/>
          <w:color w:val="auto"/>
          <w:sz w:val="22"/>
          <w:szCs w:val="24"/>
          <w:highlight w:val="cyan"/>
        </w:rPr>
        <w:t>ection need</w:t>
      </w:r>
      <w:r>
        <w:rPr>
          <w:rFonts w:ascii="Times New Roman" w:eastAsiaTheme="minorHAnsi" w:hAnsi="Times New Roman" w:cstheme="minorBidi"/>
          <w:color w:val="auto"/>
          <w:sz w:val="22"/>
          <w:szCs w:val="24"/>
          <w:highlight w:val="cyan"/>
        </w:rPr>
        <w:t>s</w:t>
      </w:r>
      <w:r w:rsidR="001F525C" w:rsidRPr="0001258B">
        <w:rPr>
          <w:rFonts w:ascii="Times New Roman" w:eastAsiaTheme="minorHAnsi" w:hAnsi="Times New Roman" w:cstheme="minorBidi"/>
          <w:color w:val="auto"/>
          <w:sz w:val="22"/>
          <w:szCs w:val="24"/>
          <w:highlight w:val="cyan"/>
        </w:rPr>
        <w:t xml:space="preserve"> to be rearranged</w:t>
      </w:r>
      <w:r w:rsidR="0049797D">
        <w:rPr>
          <w:rFonts w:ascii="Times New Roman" w:eastAsiaTheme="minorHAnsi" w:hAnsi="Times New Roman" w:cstheme="minorBidi"/>
          <w:color w:val="auto"/>
          <w:sz w:val="22"/>
          <w:szCs w:val="24"/>
          <w:highlight w:val="cyan"/>
        </w:rPr>
        <w:t xml:space="preserve"> after discussion</w:t>
      </w:r>
      <w:r w:rsidR="00A343AC">
        <w:rPr>
          <w:rFonts w:ascii="Times New Roman" w:eastAsiaTheme="minorHAnsi" w:hAnsi="Times New Roman" w:cstheme="minorBidi"/>
          <w:color w:val="auto"/>
          <w:sz w:val="22"/>
          <w:szCs w:val="24"/>
          <w:highlight w:val="cyan"/>
        </w:rPr>
        <w:t xml:space="preserve"> and put each section number</w:t>
      </w:r>
    </w:p>
    <w:p w14:paraId="30174E7F" w14:textId="1181A098" w:rsidR="001F525C" w:rsidRPr="0001258B" w:rsidRDefault="001F525C" w:rsidP="0001258B">
      <w:pPr>
        <w:pStyle w:val="BodyText"/>
        <w:numPr>
          <w:ilvl w:val="0"/>
          <w:numId w:val="7"/>
        </w:numPr>
        <w:spacing w:after="0"/>
        <w:rPr>
          <w:b/>
          <w:bCs/>
          <w:highlight w:val="cyan"/>
        </w:rPr>
      </w:pPr>
      <w:r w:rsidRPr="0001258B">
        <w:rPr>
          <w:b/>
          <w:bCs/>
          <w:highlight w:val="cyan"/>
        </w:rPr>
        <w:t xml:space="preserve">Each </w:t>
      </w:r>
      <w:r w:rsidRPr="0001258B">
        <w:rPr>
          <w:b/>
          <w:bCs/>
          <w:highlight w:val="cyan"/>
        </w:rPr>
        <w:t>Table</w:t>
      </w:r>
      <w:r w:rsidRPr="0001258B">
        <w:rPr>
          <w:b/>
          <w:bCs/>
          <w:highlight w:val="cyan"/>
        </w:rPr>
        <w:t xml:space="preserve"> &amp; figure</w:t>
      </w:r>
      <w:r w:rsidRPr="0001258B">
        <w:rPr>
          <w:b/>
          <w:bCs/>
          <w:highlight w:val="cyan"/>
        </w:rPr>
        <w:t xml:space="preserve"> name need to be short description required</w:t>
      </w:r>
    </w:p>
    <w:p w14:paraId="61D87660" w14:textId="4867CC3A" w:rsidR="001F525C" w:rsidRDefault="001F525C" w:rsidP="0001258B">
      <w:pPr>
        <w:pStyle w:val="BodyText"/>
        <w:numPr>
          <w:ilvl w:val="0"/>
          <w:numId w:val="7"/>
        </w:numPr>
        <w:spacing w:after="0"/>
        <w:jc w:val="both"/>
        <w:rPr>
          <w:b/>
          <w:bCs/>
          <w:highlight w:val="cyan"/>
        </w:rPr>
      </w:pPr>
      <w:r w:rsidRPr="0001258B">
        <w:rPr>
          <w:b/>
          <w:bCs/>
          <w:highlight w:val="cyan"/>
        </w:rPr>
        <w:t>No result, only comparison approach and technique mentioned</w:t>
      </w:r>
      <w:r w:rsidRPr="0001258B">
        <w:rPr>
          <w:b/>
          <w:bCs/>
          <w:highlight w:val="cyan"/>
        </w:rPr>
        <w:t xml:space="preserve"> in abstract</w:t>
      </w:r>
    </w:p>
    <w:p w14:paraId="5112AF3A" w14:textId="0B339E82" w:rsidR="0049797D" w:rsidRPr="0001258B" w:rsidRDefault="0049797D" w:rsidP="0001258B">
      <w:pPr>
        <w:pStyle w:val="BodyText"/>
        <w:numPr>
          <w:ilvl w:val="0"/>
          <w:numId w:val="7"/>
        </w:numPr>
        <w:spacing w:after="0"/>
        <w:jc w:val="both"/>
        <w:rPr>
          <w:b/>
          <w:bCs/>
          <w:highlight w:val="cyan"/>
        </w:rPr>
      </w:pPr>
      <w:r>
        <w:rPr>
          <w:b/>
          <w:bCs/>
          <w:highlight w:val="cyan"/>
        </w:rPr>
        <w:t>References need to be arranged year wise then write down literature survey</w:t>
      </w:r>
    </w:p>
    <w:p w14:paraId="60B2E3D2" w14:textId="0278C0AA" w:rsidR="0001258B" w:rsidRPr="0001258B" w:rsidRDefault="001F525C" w:rsidP="0001258B">
      <w:pPr>
        <w:pStyle w:val="Heading1"/>
        <w:numPr>
          <w:ilvl w:val="0"/>
          <w:numId w:val="7"/>
        </w:numPr>
        <w:spacing w:before="0"/>
        <w:rPr>
          <w:rFonts w:ascii="Times New Roman" w:eastAsiaTheme="minorHAnsi" w:hAnsi="Times New Roman" w:cstheme="minorBidi"/>
          <w:color w:val="auto"/>
          <w:sz w:val="22"/>
          <w:szCs w:val="24"/>
          <w:highlight w:val="cyan"/>
        </w:rPr>
      </w:pPr>
      <w:r w:rsidRPr="0001258B">
        <w:rPr>
          <w:rFonts w:ascii="Times New Roman" w:eastAsiaTheme="minorHAnsi" w:hAnsi="Times New Roman" w:cstheme="minorBidi"/>
          <w:color w:val="auto"/>
          <w:sz w:val="22"/>
          <w:szCs w:val="24"/>
          <w:highlight w:val="cyan"/>
        </w:rPr>
        <w:t>Introduction and related work need to be merged</w:t>
      </w:r>
      <w:r w:rsidR="0001258B" w:rsidRPr="0001258B">
        <w:rPr>
          <w:rFonts w:ascii="Times New Roman" w:eastAsiaTheme="minorHAnsi" w:hAnsi="Times New Roman" w:cstheme="minorBidi"/>
          <w:color w:val="auto"/>
          <w:sz w:val="22"/>
          <w:szCs w:val="24"/>
          <w:highlight w:val="cyan"/>
        </w:rPr>
        <w:t xml:space="preserve"> and proper cited</w:t>
      </w:r>
      <w:r w:rsidR="0001258B">
        <w:rPr>
          <w:rFonts w:ascii="Times New Roman" w:eastAsiaTheme="minorHAnsi" w:hAnsi="Times New Roman" w:cstheme="minorBidi"/>
          <w:color w:val="auto"/>
          <w:sz w:val="22"/>
          <w:szCs w:val="24"/>
          <w:highlight w:val="cyan"/>
        </w:rPr>
        <w:t>, survey of different paper must be interlinked and at the end in the 2</w:t>
      </w:r>
      <w:r w:rsidR="0001258B" w:rsidRPr="0001258B">
        <w:rPr>
          <w:rFonts w:ascii="Times New Roman" w:eastAsiaTheme="minorHAnsi" w:hAnsi="Times New Roman" w:cstheme="minorBidi"/>
          <w:color w:val="auto"/>
          <w:sz w:val="22"/>
          <w:szCs w:val="24"/>
          <w:highlight w:val="cyan"/>
          <w:vertAlign w:val="superscript"/>
        </w:rPr>
        <w:t>nd</w:t>
      </w:r>
      <w:r w:rsidR="0001258B">
        <w:rPr>
          <w:rFonts w:ascii="Times New Roman" w:eastAsiaTheme="minorHAnsi" w:hAnsi="Times New Roman" w:cstheme="minorBidi"/>
          <w:color w:val="auto"/>
          <w:sz w:val="22"/>
          <w:szCs w:val="24"/>
          <w:highlight w:val="cyan"/>
        </w:rPr>
        <w:t xml:space="preserve"> last paragraph write down your proposition, applied method and comparison method and last paragraph mention organization of paper</w:t>
      </w:r>
    </w:p>
    <w:p w14:paraId="20B31271" w14:textId="1F6E2CA1" w:rsidR="0001258B" w:rsidRDefault="0001258B" w:rsidP="0001258B">
      <w:pPr>
        <w:pStyle w:val="BodyText"/>
        <w:numPr>
          <w:ilvl w:val="0"/>
          <w:numId w:val="7"/>
        </w:numPr>
        <w:spacing w:after="0"/>
        <w:rPr>
          <w:b/>
          <w:bCs/>
          <w:highlight w:val="cyan"/>
        </w:rPr>
      </w:pPr>
      <w:r w:rsidRPr="0001258B">
        <w:rPr>
          <w:b/>
          <w:bCs/>
          <w:highlight w:val="cyan"/>
        </w:rPr>
        <w:t>Equation needs to be numbered and cited</w:t>
      </w:r>
    </w:p>
    <w:p w14:paraId="5ACF47F6" w14:textId="528F845C" w:rsidR="0001258B" w:rsidRDefault="0001258B" w:rsidP="0001258B">
      <w:pPr>
        <w:pStyle w:val="BodyText"/>
        <w:numPr>
          <w:ilvl w:val="0"/>
          <w:numId w:val="7"/>
        </w:numPr>
        <w:spacing w:after="0"/>
        <w:rPr>
          <w:b/>
          <w:bCs/>
          <w:highlight w:val="cyan"/>
        </w:rPr>
      </w:pPr>
      <w:r>
        <w:rPr>
          <w:b/>
          <w:bCs/>
          <w:highlight w:val="cyan"/>
        </w:rPr>
        <w:t>Each section to be linked with next section</w:t>
      </w:r>
    </w:p>
    <w:p w14:paraId="66D5A01A" w14:textId="56F9392C" w:rsidR="0049797D" w:rsidRPr="0001258B" w:rsidRDefault="0049797D" w:rsidP="0001258B">
      <w:pPr>
        <w:pStyle w:val="BodyText"/>
        <w:numPr>
          <w:ilvl w:val="0"/>
          <w:numId w:val="7"/>
        </w:numPr>
        <w:spacing w:after="0"/>
        <w:rPr>
          <w:b/>
          <w:bCs/>
          <w:highlight w:val="cyan"/>
        </w:rPr>
      </w:pPr>
      <w:r>
        <w:rPr>
          <w:b/>
          <w:bCs/>
          <w:highlight w:val="cyan"/>
        </w:rPr>
        <w:t>Critical analysis needs to be incorporated for all the tables</w:t>
      </w:r>
    </w:p>
    <w:p w14:paraId="027CBA2B" w14:textId="0265FB29" w:rsidR="0049797D" w:rsidRDefault="0049797D" w:rsidP="0049797D">
      <w:pPr>
        <w:pStyle w:val="TableCaption"/>
        <w:numPr>
          <w:ilvl w:val="0"/>
          <w:numId w:val="7"/>
        </w:numPr>
        <w:rPr>
          <w:b/>
          <w:bCs/>
          <w:i w:val="0"/>
          <w:highlight w:val="cyan"/>
        </w:rPr>
      </w:pPr>
      <w:r w:rsidRPr="0049797D">
        <w:rPr>
          <w:b/>
          <w:bCs/>
          <w:i w:val="0"/>
          <w:highlight w:val="cyan"/>
        </w:rPr>
        <w:t>Write down algorithm in proper format</w:t>
      </w:r>
    </w:p>
    <w:p w14:paraId="1D60F28B" w14:textId="2998A32B" w:rsidR="00854E5B" w:rsidRPr="0049797D" w:rsidRDefault="00854E5B" w:rsidP="0049797D">
      <w:pPr>
        <w:pStyle w:val="TableCaption"/>
        <w:numPr>
          <w:ilvl w:val="0"/>
          <w:numId w:val="7"/>
        </w:numPr>
        <w:rPr>
          <w:b/>
          <w:bCs/>
          <w:i w:val="0"/>
          <w:highlight w:val="cyan"/>
        </w:rPr>
      </w:pPr>
      <w:r w:rsidRPr="00854E5B">
        <w:rPr>
          <w:b/>
          <w:bCs/>
          <w:i w:val="0"/>
          <w:highlight w:val="cyan"/>
        </w:rPr>
        <w:t>PRISM</w:t>
      </w:r>
      <w:r w:rsidRPr="00854E5B">
        <w:rPr>
          <w:b/>
          <w:bCs/>
          <w:i w:val="0"/>
          <w:highlight w:val="cyan"/>
        </w:rPr>
        <w:t xml:space="preserve"> stand for what?</w:t>
      </w:r>
    </w:p>
    <w:p w14:paraId="1424C64F" w14:textId="77777777" w:rsidR="001F525C" w:rsidRPr="001F525C" w:rsidRDefault="001F525C" w:rsidP="001F525C">
      <w:pPr>
        <w:pStyle w:val="BodyText"/>
        <w:rPr>
          <w:b/>
          <w:bCs/>
          <w:highlight w:val="cyan"/>
        </w:rPr>
      </w:pPr>
    </w:p>
    <w:p w14:paraId="2488D31A" w14:textId="77777777" w:rsidR="001F525C" w:rsidRPr="001F525C" w:rsidRDefault="001F525C" w:rsidP="001F525C">
      <w:pPr>
        <w:pStyle w:val="BodyText"/>
      </w:pPr>
    </w:p>
    <w:p w14:paraId="706ADDD2" w14:textId="77777777" w:rsidR="00122CEE" w:rsidRPr="00122CEE" w:rsidRDefault="00D44EF6" w:rsidP="00122CEE">
      <w:pPr>
        <w:jc w:val="center"/>
        <w:rPr>
          <w:i/>
          <w:color w:val="585858"/>
          <w:lang w:val="en-IN"/>
        </w:rPr>
      </w:pPr>
      <w:r>
        <w:br/>
      </w:r>
      <w:proofErr w:type="spellStart"/>
      <w:r w:rsidR="00122CEE" w:rsidRPr="00122CEE">
        <w:rPr>
          <w:i/>
          <w:color w:val="585858"/>
          <w:lang w:val="en-IN"/>
        </w:rPr>
        <w:t>Sanjan</w:t>
      </w:r>
      <w:proofErr w:type="spellEnd"/>
      <w:r w:rsidR="00122CEE" w:rsidRPr="00122CEE">
        <w:rPr>
          <w:i/>
          <w:color w:val="585858"/>
          <w:lang w:val="en-IN"/>
        </w:rPr>
        <w:t xml:space="preserve"> </w:t>
      </w:r>
      <w:proofErr w:type="spellStart"/>
      <w:r w:rsidR="00122CEE" w:rsidRPr="00122CEE">
        <w:rPr>
          <w:i/>
          <w:color w:val="585858"/>
          <w:lang w:val="en-IN"/>
        </w:rPr>
        <w:t>Baitalik</w:t>
      </w:r>
      <w:r w:rsidR="00122CEE" w:rsidRPr="00122CEE">
        <w:rPr>
          <w:i/>
          <w:color w:val="585858"/>
          <w:vertAlign w:val="superscript"/>
          <w:lang w:val="en-IN"/>
        </w:rPr>
        <w:t>a</w:t>
      </w:r>
      <w:proofErr w:type="spellEnd"/>
      <w:r w:rsidR="00122CEE" w:rsidRPr="00122CEE">
        <w:rPr>
          <w:i/>
          <w:color w:val="585858"/>
          <w:vertAlign w:val="superscript"/>
          <w:lang w:val="en-IN"/>
        </w:rPr>
        <w:t>*</w:t>
      </w:r>
      <w:r w:rsidR="00122CEE" w:rsidRPr="00122CEE">
        <w:rPr>
          <w:i/>
          <w:color w:val="585858"/>
          <w:lang w:val="en-IN"/>
        </w:rPr>
        <w:t xml:space="preserve">, </w:t>
      </w:r>
      <w:proofErr w:type="spellStart"/>
      <w:r w:rsidR="00122CEE" w:rsidRPr="00122CEE">
        <w:rPr>
          <w:i/>
          <w:color w:val="585858"/>
          <w:lang w:val="en-IN"/>
        </w:rPr>
        <w:t>Rajashik</w:t>
      </w:r>
      <w:proofErr w:type="spellEnd"/>
      <w:r w:rsidR="00122CEE" w:rsidRPr="00122CEE">
        <w:rPr>
          <w:i/>
          <w:color w:val="585858"/>
          <w:lang w:val="en-IN"/>
        </w:rPr>
        <w:t xml:space="preserve"> </w:t>
      </w:r>
      <w:proofErr w:type="spellStart"/>
      <w:r w:rsidR="00122CEE" w:rsidRPr="00122CEE">
        <w:rPr>
          <w:i/>
          <w:color w:val="585858"/>
          <w:lang w:val="en-IN"/>
        </w:rPr>
        <w:t>Datta</w:t>
      </w:r>
      <w:r w:rsidR="00122CEE" w:rsidRPr="00122CEE">
        <w:rPr>
          <w:i/>
          <w:color w:val="585858"/>
          <w:vertAlign w:val="superscript"/>
          <w:lang w:val="en-IN"/>
        </w:rPr>
        <w:t>a</w:t>
      </w:r>
      <w:proofErr w:type="spellEnd"/>
      <w:r w:rsidR="00122CEE" w:rsidRPr="00122CEE">
        <w:rPr>
          <w:i/>
          <w:color w:val="585858"/>
          <w:lang w:val="en-IN"/>
        </w:rPr>
        <w:t xml:space="preserve">, </w:t>
      </w:r>
      <w:proofErr w:type="spellStart"/>
      <w:r w:rsidR="00122CEE" w:rsidRPr="00122CEE">
        <w:rPr>
          <w:i/>
          <w:color w:val="585858"/>
          <w:lang w:val="en-IN"/>
        </w:rPr>
        <w:t>Sujaan</w:t>
      </w:r>
      <w:proofErr w:type="spellEnd"/>
      <w:r w:rsidR="00122CEE" w:rsidRPr="00122CEE">
        <w:rPr>
          <w:i/>
          <w:color w:val="585858"/>
          <w:lang w:val="en-IN"/>
        </w:rPr>
        <w:t xml:space="preserve"> </w:t>
      </w:r>
      <w:proofErr w:type="spellStart"/>
      <w:r w:rsidR="00122CEE" w:rsidRPr="00122CEE">
        <w:rPr>
          <w:i/>
          <w:color w:val="585858"/>
          <w:lang w:val="en-IN"/>
        </w:rPr>
        <w:t>Bhattacharyya</w:t>
      </w:r>
      <w:r w:rsidR="00122CEE" w:rsidRPr="00122CEE">
        <w:rPr>
          <w:i/>
          <w:color w:val="585858"/>
          <w:vertAlign w:val="superscript"/>
          <w:lang w:val="en-IN"/>
        </w:rPr>
        <w:t>a</w:t>
      </w:r>
      <w:proofErr w:type="spellEnd"/>
      <w:r w:rsidR="00122CEE" w:rsidRPr="00122CEE">
        <w:rPr>
          <w:i/>
          <w:color w:val="585858"/>
          <w:lang w:val="en-IN"/>
        </w:rPr>
        <w:t xml:space="preserve">, </w:t>
      </w:r>
      <w:proofErr w:type="spellStart"/>
      <w:r w:rsidR="00122CEE" w:rsidRPr="00122CEE">
        <w:rPr>
          <w:i/>
          <w:color w:val="585858"/>
          <w:lang w:val="en-IN"/>
        </w:rPr>
        <w:t>Sanket</w:t>
      </w:r>
      <w:proofErr w:type="spellEnd"/>
      <w:r w:rsidR="00122CEE" w:rsidRPr="00122CEE">
        <w:rPr>
          <w:i/>
          <w:color w:val="585858"/>
          <w:lang w:val="en-IN"/>
        </w:rPr>
        <w:t xml:space="preserve"> </w:t>
      </w:r>
      <w:proofErr w:type="spellStart"/>
      <w:r w:rsidR="00122CEE" w:rsidRPr="00122CEE">
        <w:rPr>
          <w:i/>
          <w:color w:val="585858"/>
          <w:lang w:val="en-IN"/>
        </w:rPr>
        <w:t>Ghosh</w:t>
      </w:r>
      <w:r w:rsidR="00122CEE" w:rsidRPr="00122CEE">
        <w:rPr>
          <w:i/>
          <w:color w:val="585858"/>
          <w:vertAlign w:val="superscript"/>
          <w:lang w:val="en-IN"/>
        </w:rPr>
        <w:t>a</w:t>
      </w:r>
      <w:proofErr w:type="spellEnd"/>
      <w:r w:rsidR="00122CEE" w:rsidRPr="00122CEE">
        <w:rPr>
          <w:i/>
          <w:color w:val="585858"/>
          <w:lang w:val="en-IN"/>
        </w:rPr>
        <w:t xml:space="preserve">, Subhabrata </w:t>
      </w:r>
      <w:proofErr w:type="spellStart"/>
      <w:r w:rsidR="00122CEE" w:rsidRPr="00122CEE">
        <w:rPr>
          <w:i/>
          <w:color w:val="585858"/>
          <w:lang w:val="en-IN"/>
        </w:rPr>
        <w:t>Banerjee</w:t>
      </w:r>
      <w:r w:rsidR="00122CEE" w:rsidRPr="00122CEE">
        <w:rPr>
          <w:i/>
          <w:color w:val="585858"/>
          <w:vertAlign w:val="superscript"/>
          <w:lang w:val="en-IN"/>
        </w:rPr>
        <w:t>b</w:t>
      </w:r>
      <w:proofErr w:type="spellEnd"/>
    </w:p>
    <w:p w14:paraId="4ECCBF65" w14:textId="77777777" w:rsidR="00122CEE" w:rsidRPr="00122CEE" w:rsidRDefault="00122CEE" w:rsidP="00CB6135">
      <w:pPr>
        <w:rPr>
          <w:i/>
          <w:iCs/>
          <w:color w:val="585858"/>
          <w:lang w:val="en-IN"/>
        </w:rPr>
      </w:pPr>
      <w:r w:rsidRPr="00122CEE">
        <w:rPr>
          <w:i/>
          <w:iCs/>
          <w:color w:val="585858"/>
          <w:vertAlign w:val="superscript"/>
          <w:lang w:val="en-IN"/>
        </w:rPr>
        <w:t>a*</w:t>
      </w:r>
      <w:hyperlink r:id="rId8" w:history="1">
        <w:r w:rsidRPr="00122CEE">
          <w:rPr>
            <w:rStyle w:val="Hyperlink"/>
            <w:i/>
            <w:iCs/>
            <w:lang w:val="en-IN"/>
          </w:rPr>
          <w:t>rayan.baitalik@gmail.com</w:t>
        </w:r>
      </w:hyperlink>
      <w:r w:rsidRPr="00122CEE">
        <w:rPr>
          <w:i/>
          <w:iCs/>
          <w:color w:val="585858"/>
          <w:lang w:val="en-IN"/>
        </w:rPr>
        <w:t>, +91 8910675837, Institute of Engineering &amp; Management Kolkata, 0009-0005-1609-3808</w:t>
      </w:r>
    </w:p>
    <w:p w14:paraId="1FD75425" w14:textId="77777777" w:rsidR="00122CEE" w:rsidRPr="00122CEE" w:rsidRDefault="00122CEE" w:rsidP="00CB6135">
      <w:pPr>
        <w:rPr>
          <w:i/>
          <w:iCs/>
          <w:color w:val="585858"/>
          <w:lang w:val="en-IN"/>
        </w:rPr>
      </w:pPr>
      <w:r w:rsidRPr="00122CEE">
        <w:rPr>
          <w:i/>
          <w:iCs/>
          <w:color w:val="585858"/>
          <w:vertAlign w:val="superscript"/>
          <w:lang w:val="en-IN"/>
        </w:rPr>
        <w:t>a</w:t>
      </w:r>
      <w:r w:rsidRPr="00122CEE">
        <w:rPr>
          <w:i/>
          <w:iCs/>
          <w:color w:val="585858"/>
          <w:lang w:val="en-IN"/>
        </w:rPr>
        <w:t xml:space="preserve"> </w:t>
      </w:r>
      <w:hyperlink r:id="rId9" w:history="1">
        <w:r w:rsidRPr="00122CEE">
          <w:rPr>
            <w:rStyle w:val="Hyperlink"/>
            <w:i/>
            <w:iCs/>
            <w:lang w:val="en-IN"/>
          </w:rPr>
          <w:t>rajashikdatta215@gmail.com</w:t>
        </w:r>
      </w:hyperlink>
      <w:r w:rsidRPr="00122CEE">
        <w:rPr>
          <w:i/>
          <w:iCs/>
          <w:color w:val="585858"/>
          <w:lang w:val="en-IN"/>
        </w:rPr>
        <w:t>, +91 6294132431, Institute of Engineering &amp; Management Kolkata, 0009-0004-7644-2427</w:t>
      </w:r>
    </w:p>
    <w:p w14:paraId="22C3C9BD" w14:textId="77777777" w:rsidR="00122CEE" w:rsidRPr="00122CEE" w:rsidRDefault="00D44EF6" w:rsidP="00CB6135">
      <w:pPr>
        <w:rPr>
          <w:i/>
          <w:iCs/>
          <w:color w:val="585858"/>
          <w:lang w:val="en-IN"/>
        </w:rPr>
      </w:pPr>
      <w:hyperlink r:id="rId10" w:history="1">
        <w:r w:rsidR="00122CEE" w:rsidRPr="00122CEE">
          <w:rPr>
            <w:rStyle w:val="Hyperlink"/>
            <w:i/>
            <w:iCs/>
            <w:vertAlign w:val="superscript"/>
            <w:lang w:val="en-IN"/>
          </w:rPr>
          <w:t>a</w:t>
        </w:r>
        <w:r w:rsidR="00122CEE" w:rsidRPr="00122CEE">
          <w:rPr>
            <w:rStyle w:val="Hyperlink"/>
            <w:i/>
            <w:iCs/>
            <w:lang w:val="en-IN"/>
          </w:rPr>
          <w:t>sujaanbhattacharyya@gmail.com</w:t>
        </w:r>
      </w:hyperlink>
      <w:r w:rsidR="00122CEE" w:rsidRPr="00122CEE">
        <w:rPr>
          <w:i/>
          <w:iCs/>
          <w:color w:val="585858"/>
          <w:lang w:val="en-IN"/>
        </w:rPr>
        <w:t>, +91 8017481130, Institute of Engineering &amp; Management Kolkata, 0009-0005-7737-4718</w:t>
      </w:r>
    </w:p>
    <w:p w14:paraId="4C1F1746" w14:textId="77777777" w:rsidR="00122CEE" w:rsidRPr="00122CEE" w:rsidRDefault="00D44EF6" w:rsidP="00CB6135">
      <w:pPr>
        <w:rPr>
          <w:i/>
          <w:iCs/>
          <w:color w:val="585858"/>
          <w:lang w:val="en-IN"/>
        </w:rPr>
      </w:pPr>
      <w:hyperlink r:id="rId11" w:history="1">
        <w:r w:rsidR="00122CEE" w:rsidRPr="00122CEE">
          <w:rPr>
            <w:rStyle w:val="Hyperlink"/>
            <w:i/>
            <w:iCs/>
            <w:vertAlign w:val="superscript"/>
            <w:lang w:val="en-IN"/>
          </w:rPr>
          <w:t>a</w:t>
        </w:r>
        <w:r w:rsidR="00122CEE" w:rsidRPr="00122CEE">
          <w:rPr>
            <w:rStyle w:val="Hyperlink"/>
            <w:i/>
            <w:iCs/>
            <w:lang w:val="en-IN"/>
          </w:rPr>
          <w:t>sanketghosh50@gmail.com</w:t>
        </w:r>
      </w:hyperlink>
      <w:r w:rsidR="00122CEE" w:rsidRPr="00122CEE">
        <w:rPr>
          <w:i/>
          <w:iCs/>
          <w:color w:val="585858"/>
          <w:lang w:val="en-IN"/>
        </w:rPr>
        <w:t>, +91 8537087644, Institute of Engineering &amp; Management Kolkata, 0009-0005-4894-1912</w:t>
      </w:r>
    </w:p>
    <w:p w14:paraId="5FCCBA6F" w14:textId="5FAF3286" w:rsidR="00122CEE" w:rsidRPr="00122CEE" w:rsidRDefault="00D44EF6" w:rsidP="00CB6135">
      <w:pPr>
        <w:rPr>
          <w:i/>
          <w:iCs/>
          <w:color w:val="585858"/>
          <w:lang w:val="en-IN"/>
        </w:rPr>
      </w:pPr>
      <w:hyperlink r:id="rId12" w:history="1">
        <w:r w:rsidR="00122CEE" w:rsidRPr="00122CEE">
          <w:rPr>
            <w:rStyle w:val="Hyperlink"/>
            <w:i/>
            <w:iCs/>
            <w:vertAlign w:val="superscript"/>
            <w:lang w:val="en-IN"/>
          </w:rPr>
          <w:t>b</w:t>
        </w:r>
        <w:r w:rsidR="00122CEE" w:rsidRPr="00122CEE">
          <w:rPr>
            <w:rStyle w:val="Hyperlink"/>
            <w:i/>
            <w:iCs/>
            <w:lang w:val="en-IN"/>
          </w:rPr>
          <w:t>subhabrata.banerjee@iem.edu.in</w:t>
        </w:r>
      </w:hyperlink>
      <w:r w:rsidR="00122CEE" w:rsidRPr="00122CEE">
        <w:rPr>
          <w:i/>
          <w:iCs/>
          <w:color w:val="585858"/>
          <w:lang w:val="en-IN"/>
        </w:rPr>
        <w:t xml:space="preserve">, +91 8017764037, Institute of Engineering &amp; Management Kolkata </w:t>
      </w:r>
    </w:p>
    <w:p w14:paraId="21244437" w14:textId="4C1924A4" w:rsidR="00A755F6" w:rsidRDefault="00A755F6" w:rsidP="00A755F6">
      <w:pPr>
        <w:jc w:val="center"/>
      </w:pPr>
    </w:p>
    <w:p w14:paraId="0EDC3B85" w14:textId="77777777" w:rsidR="0049797D" w:rsidRDefault="00D44EF6" w:rsidP="00A755F6">
      <w:pPr>
        <w:pStyle w:val="BodyText"/>
        <w:jc w:val="both"/>
      </w:pPr>
      <w:r>
        <w:rPr>
          <w:b/>
          <w:bCs/>
        </w:rPr>
        <w:t>Abstract.</w:t>
      </w:r>
      <w:r>
        <w:t xml:space="preserve"> </w:t>
      </w:r>
      <w:proofErr w:type="spellStart"/>
      <w:r>
        <w:t>Memecoin</w:t>
      </w:r>
      <w:proofErr w:type="spellEnd"/>
      <w:r>
        <w:t xml:space="preserve"> markets are characterized by short lifecycles, abrupt regime shifts, and unusually strong dependence on social attention, which makes rigorous forecasting and fair model c</w:t>
      </w:r>
      <w:r>
        <w:t xml:space="preserve">omparison difficult. In this </w:t>
      </w:r>
      <w:r w:rsidR="00F924CA">
        <w:t>article</w:t>
      </w:r>
      <w:r>
        <w:t xml:space="preserve">, </w:t>
      </w:r>
      <w:r w:rsidRPr="00F924CA">
        <w:rPr>
          <w:highlight w:val="yellow"/>
        </w:rPr>
        <w:t>PRISM</w:t>
      </w:r>
      <w:r>
        <w:t xml:space="preserve">, a reproducible multi-modal forecasting framework, </w:t>
      </w:r>
      <w:r w:rsidR="00F924CA">
        <w:t>is</w:t>
      </w:r>
      <w:r>
        <w:t xml:space="preserve"> evaluated through a deterministic pipeline that combines historical price dynamics, pre-aligned sentiment features, a risk-aware token similarity graph, maxima</w:t>
      </w:r>
      <w:r>
        <w:t xml:space="preserve">l-independent-set diversification, and MAML-enhanced LSTM adaptation. The supplied workbook contained 1,273 candidate token sheets, of which 881 passed minimum history and coverage filters. A deterministic modeling subset of 200 tokens </w:t>
      </w:r>
      <w:r w:rsidR="00F924CA">
        <w:t>are</w:t>
      </w:r>
      <w:r>
        <w:t xml:space="preserve"> selected, yieldi</w:t>
      </w:r>
      <w:r>
        <w:t xml:space="preserve">ng 60,431 aligned observations. Chronological train-test splits, sequential ablations, paired Wilcoxon signed-rank tests with Holm correction, three random seeds, and robustness sweeps over train ratios and lookback windows </w:t>
      </w:r>
      <w:r w:rsidR="00F924CA">
        <w:t>are</w:t>
      </w:r>
      <w:r>
        <w:t xml:space="preserve"> used. </w:t>
      </w:r>
      <w:r w:rsidRPr="00F924CA">
        <w:rPr>
          <w:highlight w:val="yellow"/>
        </w:rPr>
        <w:t xml:space="preserve">The full PRISM model </w:t>
      </w:r>
      <w:r w:rsidRPr="00F924CA">
        <w:rPr>
          <w:highlight w:val="yellow"/>
        </w:rPr>
        <w:t xml:space="preserve">achieved a mean MAE of 0.123 and a mean RMSE of 0.148. A strict monotonic ablation trend </w:t>
      </w:r>
      <w:r w:rsidR="00F924CA" w:rsidRPr="00F924CA">
        <w:rPr>
          <w:highlight w:val="yellow"/>
        </w:rPr>
        <w:t>is</w:t>
      </w:r>
      <w:r w:rsidRPr="00F924CA">
        <w:rPr>
          <w:highlight w:val="yellow"/>
        </w:rPr>
        <w:t xml:space="preserve"> observed from the price-only </w:t>
      </w:r>
      <w:r w:rsidRPr="00F924CA">
        <w:rPr>
          <w:highlight w:val="yellow"/>
        </w:rPr>
        <w:lastRenderedPageBreak/>
        <w:t>baseline to the full system, with MAE improving from 4.054 in V0 to 0.698 in V1, 0.301 in V2, and 0.123 in V3. All adjacent improvemen</w:t>
      </w:r>
      <w:r w:rsidRPr="00F924CA">
        <w:rPr>
          <w:highlight w:val="yellow"/>
        </w:rPr>
        <w:t xml:space="preserve">ts </w:t>
      </w:r>
      <w:r w:rsidR="00F924CA" w:rsidRPr="00F924CA">
        <w:rPr>
          <w:highlight w:val="yellow"/>
        </w:rPr>
        <w:t>are</w:t>
      </w:r>
      <w:r w:rsidRPr="00F924CA">
        <w:rPr>
          <w:highlight w:val="yellow"/>
        </w:rPr>
        <w:t xml:space="preserve"> statistically significant after Holm correction. Against external baselines, PRISM significantly outperformed ARIMA, Random Forest, </w:t>
      </w:r>
      <w:proofErr w:type="spellStart"/>
      <w:r w:rsidRPr="00F924CA">
        <w:rPr>
          <w:highlight w:val="yellow"/>
        </w:rPr>
        <w:t>XGBoost</w:t>
      </w:r>
      <w:proofErr w:type="spellEnd"/>
      <w:r w:rsidRPr="00F924CA">
        <w:rPr>
          <w:highlight w:val="yellow"/>
        </w:rPr>
        <w:t>, and documented GRU/LSTM surrogate baselines, while Persistence and Prophet remained stronger aggregate base</w:t>
      </w:r>
      <w:r w:rsidRPr="00F924CA">
        <w:rPr>
          <w:highlight w:val="yellow"/>
        </w:rPr>
        <w:t xml:space="preserve">lines. It </w:t>
      </w:r>
      <w:r w:rsidR="00F924CA" w:rsidRPr="00F924CA">
        <w:rPr>
          <w:highlight w:val="yellow"/>
        </w:rPr>
        <w:t>is</w:t>
      </w:r>
      <w:r w:rsidRPr="00F924CA">
        <w:rPr>
          <w:highlight w:val="yellow"/>
        </w:rPr>
        <w:t xml:space="preserve"> therefore concluded that the main contribution of PRISM is not universal superiority over all forecasters, but validated component-wise gain, transparent experimentation, and a reproducible evaluation protocol for socio-financial forecasting </w:t>
      </w:r>
      <w:r w:rsidRPr="00F924CA">
        <w:rPr>
          <w:highlight w:val="yellow"/>
        </w:rPr>
        <w:t>in highly speculative token markets.</w:t>
      </w:r>
      <w:r w:rsidR="00F924CA">
        <w:t xml:space="preserve"> </w:t>
      </w:r>
    </w:p>
    <w:p w14:paraId="19169E60" w14:textId="34FAA6C2" w:rsidR="00EB0B3D" w:rsidRPr="0049797D" w:rsidRDefault="00F924CA" w:rsidP="00A755F6">
      <w:pPr>
        <w:pStyle w:val="BodyText"/>
        <w:jc w:val="both"/>
        <w:rPr>
          <w:b/>
          <w:bCs/>
          <w:sz w:val="32"/>
          <w:szCs w:val="32"/>
        </w:rPr>
      </w:pPr>
      <w:r w:rsidRPr="0049797D">
        <w:rPr>
          <w:b/>
          <w:bCs/>
          <w:sz w:val="32"/>
          <w:szCs w:val="32"/>
          <w:highlight w:val="cyan"/>
        </w:rPr>
        <w:t>No result, only comparison approach and technique mentioned</w:t>
      </w:r>
    </w:p>
    <w:p w14:paraId="13C67B14" w14:textId="2C5B3AB8" w:rsidR="00EB0B3D" w:rsidRDefault="00D44EF6">
      <w:pPr>
        <w:pStyle w:val="BodyText"/>
      </w:pPr>
      <w:r>
        <w:rPr>
          <w:b/>
          <w:bCs/>
        </w:rPr>
        <w:t>Keywords.</w:t>
      </w:r>
      <w:r>
        <w:t xml:space="preserve"> </w:t>
      </w:r>
      <w:r w:rsidR="00F924CA">
        <w:t>G</w:t>
      </w:r>
      <w:r w:rsidR="00F924CA">
        <w:t>raph selection</w:t>
      </w:r>
      <w:r w:rsidR="00F924CA">
        <w:t xml:space="preserve">; </w:t>
      </w:r>
      <w:proofErr w:type="spellStart"/>
      <w:r w:rsidR="00F924CA">
        <w:t>M</w:t>
      </w:r>
      <w:r>
        <w:t>emecoin</w:t>
      </w:r>
      <w:proofErr w:type="spellEnd"/>
      <w:r>
        <w:t xml:space="preserve"> forecasting; </w:t>
      </w:r>
      <w:r w:rsidR="00F924CA">
        <w:t>M</w:t>
      </w:r>
      <w:r w:rsidR="00F924CA">
        <w:t xml:space="preserve">eta-learning; </w:t>
      </w:r>
      <w:r w:rsidR="00F924CA">
        <w:t>M</w:t>
      </w:r>
      <w:r>
        <w:t xml:space="preserve">ultimodal finance; </w:t>
      </w:r>
      <w:r w:rsidR="00F924CA">
        <w:t>R</w:t>
      </w:r>
      <w:r w:rsidR="00F924CA">
        <w:t>eproducibility;</w:t>
      </w:r>
      <w:r w:rsidR="00F924CA">
        <w:t xml:space="preserve"> S</w:t>
      </w:r>
      <w:r>
        <w:t>entiment analysis</w:t>
      </w:r>
      <w:r w:rsidR="00F924CA">
        <w:t>.</w:t>
      </w:r>
    </w:p>
    <w:p w14:paraId="053DE18E" w14:textId="77777777" w:rsidR="0049797D" w:rsidRDefault="00D44EF6" w:rsidP="00A755F6">
      <w:pPr>
        <w:pStyle w:val="Heading1"/>
      </w:pPr>
      <w:bookmarkStart w:id="0" w:name="introduction"/>
      <w:r w:rsidRPr="00A755F6">
        <w:t>Introduction</w:t>
      </w:r>
      <w:r w:rsidR="00261B0B">
        <w:t xml:space="preserve"> </w:t>
      </w:r>
    </w:p>
    <w:p w14:paraId="406C7C91" w14:textId="3C3A6632" w:rsidR="00EB0B3D" w:rsidRPr="0049797D" w:rsidRDefault="00261B0B" w:rsidP="00A755F6">
      <w:pPr>
        <w:pStyle w:val="Heading1"/>
        <w:rPr>
          <w:rFonts w:ascii="Times New Roman" w:eastAsiaTheme="minorHAnsi" w:hAnsi="Times New Roman" w:cstheme="minorBidi"/>
          <w:color w:val="auto"/>
          <w:highlight w:val="cyan"/>
        </w:rPr>
      </w:pPr>
      <w:r w:rsidRPr="0049797D">
        <w:rPr>
          <w:rFonts w:ascii="Times New Roman" w:eastAsiaTheme="minorHAnsi" w:hAnsi="Times New Roman" w:cstheme="minorBidi"/>
          <w:color w:val="auto"/>
          <w:highlight w:val="cyan"/>
        </w:rPr>
        <w:t>Introduction and related work need to be merged</w:t>
      </w:r>
      <w:r w:rsidR="0049797D" w:rsidRPr="0049797D">
        <w:rPr>
          <w:rFonts w:ascii="Times New Roman" w:eastAsiaTheme="minorHAnsi" w:hAnsi="Times New Roman" w:cstheme="minorBidi"/>
          <w:color w:val="auto"/>
          <w:highlight w:val="cyan"/>
        </w:rPr>
        <w:t xml:space="preserve"> and cited after arranging the references year wise</w:t>
      </w:r>
    </w:p>
    <w:p w14:paraId="1CF39966" w14:textId="77777777" w:rsidR="00EB0B3D" w:rsidRPr="00261B0B" w:rsidRDefault="00D44EF6" w:rsidP="00A755F6">
      <w:pPr>
        <w:pStyle w:val="FirstParagraph"/>
        <w:jc w:val="both"/>
        <w:rPr>
          <w:highlight w:val="yellow"/>
        </w:rPr>
      </w:pPr>
      <w:r w:rsidRPr="00261B0B">
        <w:rPr>
          <w:highlight w:val="yellow"/>
        </w:rPr>
        <w:t xml:space="preserve">Forecasting in </w:t>
      </w:r>
      <w:proofErr w:type="spellStart"/>
      <w:r w:rsidRPr="00261B0B">
        <w:rPr>
          <w:highlight w:val="yellow"/>
        </w:rPr>
        <w:t>memecoin</w:t>
      </w:r>
      <w:proofErr w:type="spellEnd"/>
      <w:r w:rsidRPr="00261B0B">
        <w:rPr>
          <w:highlight w:val="yellow"/>
        </w:rPr>
        <w:t xml:space="preserve"> markets remains difficult because p</w:t>
      </w:r>
      <w:r w:rsidRPr="00261B0B">
        <w:rPr>
          <w:highlight w:val="yellow"/>
        </w:rPr>
        <w:t>rice formation is not governed only by conventional market signals. Community attention, social-media narratives, rapid listing cycles, thin liquidity, and extreme volatility contribute materially to short-horizon behavior. Recent cryptocurrency-forecastin</w:t>
      </w:r>
      <w:r w:rsidRPr="00261B0B">
        <w:rPr>
          <w:highlight w:val="yellow"/>
        </w:rPr>
        <w:t>g studies have shown that multi-source feature integration, particularly the fusion of sentiment and market variables, can improve predictive performance when timestamp alignment is handled carefully (</w:t>
      </w:r>
      <w:proofErr w:type="spellStart"/>
      <w:r w:rsidRPr="00261B0B">
        <w:rPr>
          <w:highlight w:val="yellow"/>
        </w:rPr>
        <w:t>Gurgul</w:t>
      </w:r>
      <w:proofErr w:type="spellEnd"/>
      <w:r w:rsidRPr="00261B0B">
        <w:rPr>
          <w:highlight w:val="yellow"/>
        </w:rPr>
        <w:t xml:space="preserve"> et al., 2025; Nezhad et al., 2026). At the same </w:t>
      </w:r>
      <w:r w:rsidRPr="00261B0B">
        <w:rPr>
          <w:highlight w:val="yellow"/>
        </w:rPr>
        <w:t xml:space="preserve">time, </w:t>
      </w:r>
      <w:proofErr w:type="spellStart"/>
      <w:r w:rsidRPr="00261B0B">
        <w:rPr>
          <w:highlight w:val="yellow"/>
        </w:rPr>
        <w:t>memecoin</w:t>
      </w:r>
      <w:proofErr w:type="spellEnd"/>
      <w:r w:rsidRPr="00261B0B">
        <w:rPr>
          <w:highlight w:val="yellow"/>
        </w:rPr>
        <w:t xml:space="preserve">-specific work has increasingly emphasized that financial dynamics cannot be separated from cultural, textual, visual, and community signals (Long et al., 2025a; Long et al., 2025b; </w:t>
      </w:r>
      <w:proofErr w:type="spellStart"/>
      <w:r w:rsidRPr="00261B0B">
        <w:rPr>
          <w:highlight w:val="yellow"/>
        </w:rPr>
        <w:t>Ke</w:t>
      </w:r>
      <w:proofErr w:type="spellEnd"/>
      <w:r w:rsidRPr="00261B0B">
        <w:rPr>
          <w:highlight w:val="yellow"/>
        </w:rPr>
        <w:t xml:space="preserve"> et al., 2025).</w:t>
      </w:r>
    </w:p>
    <w:p w14:paraId="4850A5E9" w14:textId="66F5DF2C" w:rsidR="00EB0B3D" w:rsidRPr="00261B0B" w:rsidRDefault="00D44EF6" w:rsidP="00A755F6">
      <w:pPr>
        <w:pStyle w:val="BodyText"/>
        <w:jc w:val="both"/>
        <w:rPr>
          <w:highlight w:val="yellow"/>
        </w:rPr>
      </w:pPr>
      <w:r w:rsidRPr="00261B0B">
        <w:rPr>
          <w:highlight w:val="yellow"/>
        </w:rPr>
        <w:t>The earlier version of the present manuscr</w:t>
      </w:r>
      <w:r w:rsidRPr="00261B0B">
        <w:rPr>
          <w:highlight w:val="yellow"/>
        </w:rPr>
        <w:t xml:space="preserve">ipt </w:t>
      </w:r>
      <w:r w:rsidR="00F924CA" w:rsidRPr="00261B0B">
        <w:rPr>
          <w:highlight w:val="yellow"/>
        </w:rPr>
        <w:t>is</w:t>
      </w:r>
      <w:r w:rsidRPr="00261B0B">
        <w:rPr>
          <w:highlight w:val="yellow"/>
        </w:rPr>
        <w:t xml:space="preserve"> weakened by issues that commonly affect fast-moving forecasting studies: insufficiently explicit baselines, incomplete data transparency, absent statistical testing, limited descriptive data exploration, and a lack of sequential ablation. Those wea</w:t>
      </w:r>
      <w:r w:rsidRPr="00261B0B">
        <w:rPr>
          <w:highlight w:val="yellow"/>
        </w:rPr>
        <w:t xml:space="preserve">knesses </w:t>
      </w:r>
      <w:r w:rsidR="00F924CA" w:rsidRPr="00261B0B">
        <w:rPr>
          <w:highlight w:val="yellow"/>
        </w:rPr>
        <w:t>are</w:t>
      </w:r>
      <w:r w:rsidRPr="00261B0B">
        <w:rPr>
          <w:highlight w:val="yellow"/>
        </w:rPr>
        <w:t xml:space="preserve"> addressed in the present rewrite. The introduction </w:t>
      </w:r>
      <w:r w:rsidR="00F924CA" w:rsidRPr="00261B0B">
        <w:rPr>
          <w:highlight w:val="yellow"/>
        </w:rPr>
        <w:t>is</w:t>
      </w:r>
      <w:r w:rsidRPr="00261B0B">
        <w:rPr>
          <w:highlight w:val="yellow"/>
        </w:rPr>
        <w:t xml:space="preserve"> reorganized around the forecasting problem, the data source </w:t>
      </w:r>
      <w:r w:rsidR="00F924CA" w:rsidRPr="00261B0B">
        <w:rPr>
          <w:highlight w:val="yellow"/>
        </w:rPr>
        <w:t>is</w:t>
      </w:r>
      <w:r w:rsidRPr="00261B0B">
        <w:rPr>
          <w:highlight w:val="yellow"/>
        </w:rPr>
        <w:t xml:space="preserve"> made auditable, baseline characteristics </w:t>
      </w:r>
      <w:r w:rsidR="00F924CA" w:rsidRPr="00261B0B">
        <w:rPr>
          <w:highlight w:val="yellow"/>
        </w:rPr>
        <w:t>are</w:t>
      </w:r>
      <w:r w:rsidRPr="00261B0B">
        <w:rPr>
          <w:highlight w:val="yellow"/>
        </w:rPr>
        <w:t xml:space="preserve"> added, model components </w:t>
      </w:r>
      <w:r w:rsidR="00F924CA" w:rsidRPr="00261B0B">
        <w:rPr>
          <w:highlight w:val="yellow"/>
        </w:rPr>
        <w:t>are</w:t>
      </w:r>
      <w:r w:rsidRPr="00261B0B">
        <w:rPr>
          <w:highlight w:val="yellow"/>
        </w:rPr>
        <w:t xml:space="preserve"> tested incrementally, robustness sweeps </w:t>
      </w:r>
      <w:r w:rsidR="00F924CA" w:rsidRPr="00261B0B">
        <w:rPr>
          <w:highlight w:val="yellow"/>
        </w:rPr>
        <w:t>are</w:t>
      </w:r>
      <w:r w:rsidRPr="00261B0B">
        <w:rPr>
          <w:highlight w:val="yellow"/>
        </w:rPr>
        <w:t xml:space="preserve"> adde</w:t>
      </w:r>
      <w:r w:rsidRPr="00261B0B">
        <w:rPr>
          <w:highlight w:val="yellow"/>
        </w:rPr>
        <w:t xml:space="preserve">d, and the principal claims </w:t>
      </w:r>
      <w:r w:rsidR="00F924CA" w:rsidRPr="00261B0B">
        <w:rPr>
          <w:highlight w:val="yellow"/>
        </w:rPr>
        <w:t>are</w:t>
      </w:r>
      <w:r w:rsidRPr="00261B0B">
        <w:rPr>
          <w:highlight w:val="yellow"/>
        </w:rPr>
        <w:t xml:space="preserve"> narrowed to those directly supported by the results.</w:t>
      </w:r>
    </w:p>
    <w:p w14:paraId="58F9BCE6" w14:textId="5D5F05B8" w:rsidR="00EB0B3D" w:rsidRDefault="00D44EF6" w:rsidP="00A755F6">
      <w:pPr>
        <w:pStyle w:val="BodyText"/>
        <w:jc w:val="both"/>
      </w:pPr>
      <w:r w:rsidRPr="00261B0B">
        <w:rPr>
          <w:highlight w:val="yellow"/>
        </w:rPr>
        <w:t xml:space="preserve">PRISM </w:t>
      </w:r>
      <w:r w:rsidR="00F924CA" w:rsidRPr="00261B0B">
        <w:rPr>
          <w:highlight w:val="yellow"/>
        </w:rPr>
        <w:t>is</w:t>
      </w:r>
      <w:r w:rsidRPr="00261B0B">
        <w:rPr>
          <w:highlight w:val="yellow"/>
        </w:rPr>
        <w:t xml:space="preserve"> designed to integrate four ideas that are individually common in the literature but are rarely combined and then validated in a disciplined way for </w:t>
      </w:r>
      <w:proofErr w:type="spellStart"/>
      <w:r w:rsidRPr="00261B0B">
        <w:rPr>
          <w:highlight w:val="yellow"/>
        </w:rPr>
        <w:t>memecoins</w:t>
      </w:r>
      <w:proofErr w:type="spellEnd"/>
      <w:r w:rsidRPr="00261B0B">
        <w:rPr>
          <w:highlight w:val="yellow"/>
        </w:rPr>
        <w:t>. F</w:t>
      </w:r>
      <w:r w:rsidRPr="00261B0B">
        <w:rPr>
          <w:highlight w:val="yellow"/>
        </w:rPr>
        <w:t xml:space="preserve">irst, token-level sentiment cues </w:t>
      </w:r>
      <w:r w:rsidR="00F924CA" w:rsidRPr="00261B0B">
        <w:rPr>
          <w:highlight w:val="yellow"/>
        </w:rPr>
        <w:t>are</w:t>
      </w:r>
      <w:r w:rsidRPr="00261B0B">
        <w:rPr>
          <w:highlight w:val="yellow"/>
        </w:rPr>
        <w:t xml:space="preserve"> fused with market variables. Second, a risk-aware similarity graph </w:t>
      </w:r>
      <w:r w:rsidR="00F924CA" w:rsidRPr="00261B0B">
        <w:rPr>
          <w:highlight w:val="yellow"/>
        </w:rPr>
        <w:t>is</w:t>
      </w:r>
      <w:r w:rsidRPr="00261B0B">
        <w:rPr>
          <w:highlight w:val="yellow"/>
        </w:rPr>
        <w:t xml:space="preserve"> constructed to encode cross-token relationships. Third, maximal-independent-set (MIS) diversification </w:t>
      </w:r>
      <w:r w:rsidR="00F924CA" w:rsidRPr="00261B0B">
        <w:rPr>
          <w:highlight w:val="yellow"/>
        </w:rPr>
        <w:t>is</w:t>
      </w:r>
      <w:r w:rsidRPr="00261B0B">
        <w:rPr>
          <w:highlight w:val="yellow"/>
        </w:rPr>
        <w:t xml:space="preserve"> used to stabilize the token neighborhood </w:t>
      </w:r>
      <w:r w:rsidRPr="00261B0B">
        <w:rPr>
          <w:highlight w:val="yellow"/>
        </w:rPr>
        <w:t xml:space="preserve">used during training and support selection. Fourth, a MAML-enhanced LSTM </w:t>
      </w:r>
      <w:r w:rsidR="00F924CA" w:rsidRPr="00261B0B">
        <w:rPr>
          <w:highlight w:val="yellow"/>
        </w:rPr>
        <w:t>is</w:t>
      </w:r>
      <w:r w:rsidRPr="00261B0B">
        <w:rPr>
          <w:highlight w:val="yellow"/>
        </w:rPr>
        <w:t xml:space="preserve"> employed so that token-specific forecasting could be adapted under sparse and heterogeneous histories. The resulting system </w:t>
      </w:r>
      <w:r w:rsidR="00F924CA" w:rsidRPr="00261B0B">
        <w:rPr>
          <w:highlight w:val="yellow"/>
        </w:rPr>
        <w:t>is</w:t>
      </w:r>
      <w:r w:rsidRPr="00261B0B">
        <w:rPr>
          <w:highlight w:val="yellow"/>
        </w:rPr>
        <w:t xml:space="preserve"> evaluated not as a claim of universal superiority, </w:t>
      </w:r>
      <w:r w:rsidRPr="00261B0B">
        <w:rPr>
          <w:highlight w:val="yellow"/>
        </w:rPr>
        <w:t>but as a claim that incremental multi-modal augmentation can be measured, reproduced, and interpreted.</w:t>
      </w:r>
    </w:p>
    <w:p w14:paraId="7FD0BAE9" w14:textId="1F360504" w:rsidR="00EB0B3D" w:rsidRDefault="00D44EF6" w:rsidP="00A755F6">
      <w:pPr>
        <w:pStyle w:val="BodyText"/>
        <w:jc w:val="both"/>
      </w:pPr>
      <w:r w:rsidRPr="00261B0B">
        <w:rPr>
          <w:highlight w:val="magenta"/>
        </w:rPr>
        <w:t xml:space="preserve">The contributions of the study can therefore be summarized as follows. A deterministic preprocessing and token-selection protocol </w:t>
      </w:r>
      <w:r w:rsidR="00F924CA" w:rsidRPr="00261B0B">
        <w:rPr>
          <w:highlight w:val="magenta"/>
        </w:rPr>
        <w:t>is</w:t>
      </w:r>
      <w:r w:rsidRPr="00261B0B">
        <w:rPr>
          <w:highlight w:val="magenta"/>
        </w:rPr>
        <w:t xml:space="preserve"> documented for the </w:t>
      </w:r>
      <w:r w:rsidRPr="00261B0B">
        <w:rPr>
          <w:highlight w:val="magenta"/>
        </w:rPr>
        <w:t xml:space="preserve">supplied database. Basic descriptive statistics and baseline characteristics </w:t>
      </w:r>
      <w:r w:rsidR="00F924CA" w:rsidRPr="00261B0B">
        <w:rPr>
          <w:highlight w:val="magenta"/>
        </w:rPr>
        <w:t>are</w:t>
      </w:r>
      <w:r w:rsidRPr="00261B0B">
        <w:rPr>
          <w:highlight w:val="magenta"/>
        </w:rPr>
        <w:t xml:space="preserve"> added to contextualize the token panel. A sequential ablation from V0 to V3 </w:t>
      </w:r>
      <w:r w:rsidR="00F924CA" w:rsidRPr="00261B0B">
        <w:rPr>
          <w:highlight w:val="magenta"/>
        </w:rPr>
        <w:t>is</w:t>
      </w:r>
      <w:r w:rsidRPr="00261B0B">
        <w:rPr>
          <w:highlight w:val="magenta"/>
        </w:rPr>
        <w:t xml:space="preserve"> reported and statistically tested. A baseline suite containing Persistence, ARIMA, Prophet, Ra</w:t>
      </w:r>
      <w:r w:rsidRPr="00261B0B">
        <w:rPr>
          <w:highlight w:val="magenta"/>
        </w:rPr>
        <w:t xml:space="preserve">ndom Forest, </w:t>
      </w:r>
      <w:proofErr w:type="spellStart"/>
      <w:r w:rsidRPr="00261B0B">
        <w:rPr>
          <w:highlight w:val="magenta"/>
        </w:rPr>
        <w:t>XGBoost</w:t>
      </w:r>
      <w:proofErr w:type="spellEnd"/>
      <w:r w:rsidRPr="00261B0B">
        <w:rPr>
          <w:highlight w:val="magenta"/>
        </w:rPr>
        <w:t xml:space="preserve">, and documented recurrent surrogate baselines </w:t>
      </w:r>
      <w:r w:rsidR="00F924CA" w:rsidRPr="00261B0B">
        <w:rPr>
          <w:highlight w:val="magenta"/>
        </w:rPr>
        <w:t>is</w:t>
      </w:r>
      <w:r w:rsidRPr="00261B0B">
        <w:rPr>
          <w:highlight w:val="magenta"/>
        </w:rPr>
        <w:t xml:space="preserve"> evaluated on the same subset. A robustness analysis over multiple train ratios and lookback windows </w:t>
      </w:r>
      <w:r w:rsidR="00F924CA" w:rsidRPr="00261B0B">
        <w:rPr>
          <w:highlight w:val="magenta"/>
        </w:rPr>
        <w:t>is</w:t>
      </w:r>
      <w:r w:rsidRPr="00261B0B">
        <w:rPr>
          <w:highlight w:val="magenta"/>
        </w:rPr>
        <w:t xml:space="preserve"> added. Finally, the discussion </w:t>
      </w:r>
      <w:r w:rsidR="00F924CA" w:rsidRPr="00261B0B">
        <w:rPr>
          <w:highlight w:val="magenta"/>
        </w:rPr>
        <w:t>is</w:t>
      </w:r>
      <w:r w:rsidRPr="00261B0B">
        <w:rPr>
          <w:highlight w:val="magenta"/>
        </w:rPr>
        <w:t xml:space="preserve"> aligned with the empirical evidence: PRISM </w:t>
      </w:r>
      <w:r w:rsidR="00F924CA" w:rsidRPr="00261B0B">
        <w:rPr>
          <w:highlight w:val="magenta"/>
        </w:rPr>
        <w:t>is</w:t>
      </w:r>
      <w:r w:rsidRPr="00261B0B">
        <w:rPr>
          <w:highlight w:val="magenta"/>
        </w:rPr>
        <w:t xml:space="preserve"> shown to be </w:t>
      </w:r>
      <w:r w:rsidRPr="00261B0B">
        <w:rPr>
          <w:highlight w:val="magenta"/>
        </w:rPr>
        <w:lastRenderedPageBreak/>
        <w:t>competitive and significantly stronger than several baselines, but not stronger than every baseline under aggregate MAE.</w:t>
      </w:r>
    </w:p>
    <w:p w14:paraId="766B3C1F" w14:textId="39CA006F" w:rsidR="00261B0B" w:rsidRPr="0049797D" w:rsidRDefault="00261B0B" w:rsidP="00A755F6">
      <w:pPr>
        <w:pStyle w:val="BodyText"/>
        <w:jc w:val="both"/>
        <w:rPr>
          <w:b/>
          <w:bCs/>
          <w:sz w:val="32"/>
          <w:szCs w:val="32"/>
        </w:rPr>
      </w:pPr>
      <w:r w:rsidRPr="0049797D">
        <w:rPr>
          <w:b/>
          <w:bCs/>
          <w:sz w:val="32"/>
          <w:szCs w:val="32"/>
          <w:highlight w:val="cyan"/>
        </w:rPr>
        <w:t>The above part to be added end of related work section and also to be rewritten</w:t>
      </w:r>
    </w:p>
    <w:p w14:paraId="059F8A6A" w14:textId="6FED286B" w:rsidR="00EB0B3D" w:rsidRPr="0049797D" w:rsidRDefault="00D44EF6" w:rsidP="00A1631D">
      <w:pPr>
        <w:pStyle w:val="Heading1"/>
      </w:pPr>
      <w:bookmarkStart w:id="1" w:name="related-work"/>
      <w:bookmarkEnd w:id="0"/>
      <w:r w:rsidRPr="00A1631D">
        <w:t>Related Work</w:t>
      </w:r>
      <w:r w:rsidR="00261B0B">
        <w:t xml:space="preserve"> </w:t>
      </w:r>
      <w:r w:rsidR="00261B0B" w:rsidRPr="0049797D">
        <w:rPr>
          <w:rFonts w:ascii="Times New Roman" w:eastAsiaTheme="minorHAnsi" w:hAnsi="Times New Roman" w:cstheme="minorBidi"/>
          <w:color w:val="auto"/>
          <w:highlight w:val="cyan"/>
        </w:rPr>
        <w:t>(citation missing)</w:t>
      </w:r>
    </w:p>
    <w:p w14:paraId="548DAB18" w14:textId="77777777" w:rsidR="00EB0B3D" w:rsidRPr="00261B0B" w:rsidRDefault="00D44EF6" w:rsidP="00A755F6">
      <w:pPr>
        <w:pStyle w:val="FirstParagraph"/>
        <w:jc w:val="both"/>
        <w:rPr>
          <w:highlight w:val="yellow"/>
        </w:rPr>
      </w:pPr>
      <w:r w:rsidRPr="00261B0B">
        <w:rPr>
          <w:highlight w:val="yellow"/>
        </w:rPr>
        <w:t>Forecasting work on digital assets has increasingly moved from single-signal time-series models toward hetero</w:t>
      </w:r>
      <w:r w:rsidRPr="00261B0B">
        <w:rPr>
          <w:highlight w:val="yellow"/>
        </w:rPr>
        <w:t>geneous fusion. Sentiment-enriched deep learning pipelines have been reported to improve cryptocurrency prediction when public discourse is aligned carefully with market timestamps (</w:t>
      </w:r>
      <w:proofErr w:type="spellStart"/>
      <w:r w:rsidRPr="00261B0B">
        <w:rPr>
          <w:highlight w:val="yellow"/>
        </w:rPr>
        <w:t>Critien</w:t>
      </w:r>
      <w:proofErr w:type="spellEnd"/>
      <w:r w:rsidRPr="00261B0B">
        <w:rPr>
          <w:highlight w:val="yellow"/>
        </w:rPr>
        <w:t xml:space="preserve"> et al., 2022; </w:t>
      </w:r>
      <w:proofErr w:type="spellStart"/>
      <w:r w:rsidRPr="00261B0B">
        <w:rPr>
          <w:highlight w:val="yellow"/>
        </w:rPr>
        <w:t>Gurgul</w:t>
      </w:r>
      <w:proofErr w:type="spellEnd"/>
      <w:r w:rsidRPr="00261B0B">
        <w:rPr>
          <w:highlight w:val="yellow"/>
        </w:rPr>
        <w:t xml:space="preserve"> et al., 2025). Nezhad et al. (2026) further s</w:t>
      </w:r>
      <w:r w:rsidRPr="00261B0B">
        <w:rPr>
          <w:highlight w:val="yellow"/>
        </w:rPr>
        <w:t>howed that the way sentiment is constructed, aggregated, and synchronized with price dynamics can be as important as the recurrent architecture itself. Recent sentiment-fusion studies have also adopted optimization-based and hybrid deep learning designs to</w:t>
      </w:r>
      <w:r w:rsidRPr="00261B0B">
        <w:rPr>
          <w:highlight w:val="yellow"/>
        </w:rPr>
        <w:t xml:space="preserve"> improve robustness in noisy social-media environments (Tiwari et al., 2025a; Tiwari et al., 2025b; </w:t>
      </w:r>
      <w:proofErr w:type="spellStart"/>
      <w:r w:rsidRPr="00261B0B">
        <w:rPr>
          <w:highlight w:val="yellow"/>
        </w:rPr>
        <w:t>Tabe</w:t>
      </w:r>
      <w:proofErr w:type="spellEnd"/>
      <w:r w:rsidRPr="00261B0B">
        <w:rPr>
          <w:highlight w:val="yellow"/>
        </w:rPr>
        <w:t xml:space="preserve"> et al., 2026).</w:t>
      </w:r>
    </w:p>
    <w:p w14:paraId="59E9A676" w14:textId="77777777" w:rsidR="00EB0B3D" w:rsidRPr="00261B0B" w:rsidRDefault="00D44EF6" w:rsidP="00A755F6">
      <w:pPr>
        <w:pStyle w:val="BodyText"/>
        <w:jc w:val="both"/>
        <w:rPr>
          <w:highlight w:val="yellow"/>
        </w:rPr>
      </w:pPr>
      <w:r w:rsidRPr="00261B0B">
        <w:rPr>
          <w:highlight w:val="yellow"/>
        </w:rPr>
        <w:t xml:space="preserve">In parallel, multimodal studies of </w:t>
      </w:r>
      <w:proofErr w:type="spellStart"/>
      <w:r w:rsidRPr="00261B0B">
        <w:rPr>
          <w:highlight w:val="yellow"/>
        </w:rPr>
        <w:t>memecoins</w:t>
      </w:r>
      <w:proofErr w:type="spellEnd"/>
      <w:r w:rsidRPr="00261B0B">
        <w:rPr>
          <w:highlight w:val="yellow"/>
        </w:rPr>
        <w:t xml:space="preserve"> have begun to frame these assets as socio-financial objects rather than as purely numerical</w:t>
      </w:r>
      <w:r w:rsidRPr="00261B0B">
        <w:rPr>
          <w:highlight w:val="yellow"/>
        </w:rPr>
        <w:t xml:space="preserve"> instruments. The Coin-Meme and </w:t>
      </w:r>
      <w:proofErr w:type="spellStart"/>
      <w:r w:rsidRPr="00261B0B">
        <w:rPr>
          <w:highlight w:val="yellow"/>
        </w:rPr>
        <w:t>CoinCLIP</w:t>
      </w:r>
      <w:proofErr w:type="spellEnd"/>
      <w:r w:rsidRPr="00261B0B">
        <w:rPr>
          <w:highlight w:val="yellow"/>
        </w:rPr>
        <w:t xml:space="preserve"> studies explicitly modeled visual, textual, community, and financial attributes in order to characterize viability and thematic structure in Web3 </w:t>
      </w:r>
      <w:proofErr w:type="spellStart"/>
      <w:r w:rsidRPr="00261B0B">
        <w:rPr>
          <w:highlight w:val="yellow"/>
        </w:rPr>
        <w:t>memecoin</w:t>
      </w:r>
      <w:proofErr w:type="spellEnd"/>
      <w:r w:rsidRPr="00261B0B">
        <w:rPr>
          <w:highlight w:val="yellow"/>
        </w:rPr>
        <w:t xml:space="preserve"> ecosystems (Long et al., 2025a; Long et al., 2025b). </w:t>
      </w:r>
      <w:proofErr w:type="spellStart"/>
      <w:r w:rsidRPr="00261B0B">
        <w:rPr>
          <w:highlight w:val="yellow"/>
        </w:rPr>
        <w:t>Ke</w:t>
      </w:r>
      <w:proofErr w:type="spellEnd"/>
      <w:r w:rsidRPr="00261B0B">
        <w:rPr>
          <w:highlight w:val="yellow"/>
        </w:rPr>
        <w:t xml:space="preserve"> et a</w:t>
      </w:r>
      <w:r w:rsidRPr="00261B0B">
        <w:rPr>
          <w:highlight w:val="yellow"/>
        </w:rPr>
        <w:t>l. (2025) similarly treated meme-coin price reactions as socio-technical events rather than as isolated market microstructure phenomena. These studies are important because token identity, discourse, community structure, and market behavior are shown to be</w:t>
      </w:r>
      <w:r w:rsidRPr="00261B0B">
        <w:rPr>
          <w:highlight w:val="yellow"/>
        </w:rPr>
        <w:t xml:space="preserve"> jointly generated.</w:t>
      </w:r>
    </w:p>
    <w:p w14:paraId="73A3E889" w14:textId="77777777" w:rsidR="00EB0B3D" w:rsidRPr="00261B0B" w:rsidRDefault="00D44EF6" w:rsidP="00A755F6">
      <w:pPr>
        <w:pStyle w:val="BodyText"/>
        <w:jc w:val="both"/>
        <w:rPr>
          <w:highlight w:val="yellow"/>
        </w:rPr>
      </w:pPr>
      <w:r w:rsidRPr="00261B0B">
        <w:rPr>
          <w:highlight w:val="yellow"/>
        </w:rPr>
        <w:t>The broader cryptocurrency forecasting literature has also expanded beyond recurrent neural networks. Transformer-CNN hybrids have been proposed for cryptocurrency trend prediction (Izadi et al., 2025), Temporal Fusion Transformer desig</w:t>
      </w:r>
      <w:r w:rsidRPr="00261B0B">
        <w:rPr>
          <w:highlight w:val="yellow"/>
        </w:rPr>
        <w:t>ns have been applied to trading strategies with technical and on-chain variables (Lee, 2025), and GRU/LSTM comparisons have continued to serve as essential deep-learning baselines for Bitcoin, Litecoin, and Ethereum (Kaur et al., 2025). At the same time, r</w:t>
      </w:r>
      <w:r w:rsidRPr="00261B0B">
        <w:rPr>
          <w:highlight w:val="yellow"/>
        </w:rPr>
        <w:t>ecent reviews have warned that sophisticated architectures are often compared against insufficiently strong baselines and under weak evaluation protocols (</w:t>
      </w:r>
      <w:proofErr w:type="spellStart"/>
      <w:r w:rsidRPr="00261B0B">
        <w:rPr>
          <w:highlight w:val="yellow"/>
        </w:rPr>
        <w:t>Giantsidi</w:t>
      </w:r>
      <w:proofErr w:type="spellEnd"/>
      <w:r w:rsidRPr="00261B0B">
        <w:rPr>
          <w:highlight w:val="yellow"/>
        </w:rPr>
        <w:t xml:space="preserve"> et al., 2025). This concern motivated the present use of simple baselines such as Persisten</w:t>
      </w:r>
      <w:r w:rsidRPr="00261B0B">
        <w:rPr>
          <w:highlight w:val="yellow"/>
        </w:rPr>
        <w:t>ce and Prophet alongside machine-learning and recurrent alternatives.</w:t>
      </w:r>
    </w:p>
    <w:p w14:paraId="721CD0A5" w14:textId="08CA6403" w:rsidR="00EB0B3D" w:rsidRDefault="00D44EF6" w:rsidP="001F525C">
      <w:pPr>
        <w:pStyle w:val="BodyText"/>
        <w:jc w:val="both"/>
      </w:pPr>
      <w:r w:rsidRPr="00261B0B">
        <w:rPr>
          <w:highlight w:val="yellow"/>
        </w:rPr>
        <w:t>Finally, portfolio and graph-selection methods remain relevant because token universes contain correlated and redundant assets. Graph-based portfolio formulations and independent-set sel</w:t>
      </w:r>
      <w:r w:rsidRPr="00261B0B">
        <w:rPr>
          <w:highlight w:val="yellow"/>
        </w:rPr>
        <w:t xml:space="preserve">ection have been used to identify diversified subsets of assets by explicitly avoiding strongly connected nodes (Hidaka et al., 2023). In </w:t>
      </w:r>
      <w:proofErr w:type="spellStart"/>
      <w:r w:rsidRPr="00261B0B">
        <w:rPr>
          <w:highlight w:val="yellow"/>
        </w:rPr>
        <w:t>memecoin</w:t>
      </w:r>
      <w:proofErr w:type="spellEnd"/>
      <w:r w:rsidRPr="00261B0B">
        <w:rPr>
          <w:highlight w:val="yellow"/>
        </w:rPr>
        <w:t xml:space="preserve"> settings, where correlated hype cycles can create simultaneous failures across superficially different tokens</w:t>
      </w:r>
      <w:r w:rsidRPr="00261B0B">
        <w:rPr>
          <w:highlight w:val="yellow"/>
        </w:rPr>
        <w:t xml:space="preserve">, a graph-aware diversification stage is particularly suitable. PRISM </w:t>
      </w:r>
      <w:r w:rsidR="00F924CA" w:rsidRPr="00261B0B">
        <w:rPr>
          <w:highlight w:val="yellow"/>
        </w:rPr>
        <w:t>is</w:t>
      </w:r>
      <w:r w:rsidRPr="00261B0B">
        <w:rPr>
          <w:highlight w:val="yellow"/>
        </w:rPr>
        <w:t xml:space="preserve"> therefore positioned at the intersection of sentiment-aware cryptocurrency forecasting, multimodal </w:t>
      </w:r>
      <w:proofErr w:type="spellStart"/>
      <w:r w:rsidRPr="00261B0B">
        <w:rPr>
          <w:highlight w:val="yellow"/>
        </w:rPr>
        <w:t>memecoin</w:t>
      </w:r>
      <w:proofErr w:type="spellEnd"/>
      <w:r w:rsidRPr="00261B0B">
        <w:rPr>
          <w:highlight w:val="yellow"/>
        </w:rPr>
        <w:t xml:space="preserve"> analysis, graph-based asset selection, and few-shot/meta-learning.</w:t>
      </w:r>
    </w:p>
    <w:p w14:paraId="567D33F7" w14:textId="77777777" w:rsidR="00EB0B3D" w:rsidRPr="00A1631D" w:rsidRDefault="00D44EF6" w:rsidP="001F525C">
      <w:pPr>
        <w:pStyle w:val="Heading1"/>
        <w:spacing w:before="0"/>
      </w:pPr>
      <w:bookmarkStart w:id="2" w:name="data-and-preprocessing"/>
      <w:bookmarkEnd w:id="1"/>
      <w:r w:rsidRPr="00A1631D">
        <w:t>Data an</w:t>
      </w:r>
      <w:r w:rsidRPr="00A1631D">
        <w:t>d Preprocessing</w:t>
      </w:r>
    </w:p>
    <w:p w14:paraId="1C3F6579" w14:textId="529FEEF5" w:rsidR="00EB0B3D" w:rsidRDefault="00D44EF6" w:rsidP="00A755F6">
      <w:pPr>
        <w:pStyle w:val="FirstParagraph"/>
        <w:jc w:val="both"/>
      </w:pPr>
      <w:r>
        <w:t xml:space="preserve">All experiments </w:t>
      </w:r>
      <w:r w:rsidR="00F924CA">
        <w:t>are</w:t>
      </w:r>
      <w:r>
        <w:t xml:space="preserve"> conducted on the supplied workbook rather than on a newly assembled data lake. The workbook contained 1,273 candidate token sheets. After filtering by minimum history and minimum price coverage, 881 sheets remained elig</w:t>
      </w:r>
      <w:r>
        <w:t xml:space="preserve">ible. To ensure deterministic experimentation and a controlled computational budget, the final modeling subset </w:t>
      </w:r>
      <w:r w:rsidR="00F924CA">
        <w:t>is</w:t>
      </w:r>
      <w:r>
        <w:t xml:space="preserve"> fixed to the top 200 eligible tokens ranked by available rows and then by sheet name in ascending lexical order. The resulting processed pane</w:t>
      </w:r>
      <w:r>
        <w:t>l contained 60,431 aligned observations.</w:t>
      </w:r>
    </w:p>
    <w:p w14:paraId="47248529" w14:textId="6F8B79A2" w:rsidR="00EB0B3D" w:rsidRDefault="00D44EF6" w:rsidP="00A755F6">
      <w:pPr>
        <w:pStyle w:val="BodyText"/>
        <w:jc w:val="both"/>
      </w:pPr>
      <w:r>
        <w:t xml:space="preserve">A forecasting horizon of three days and a default lookback window of fourteen days </w:t>
      </w:r>
      <w:r w:rsidR="00F924CA">
        <w:t>are</w:t>
      </w:r>
      <w:r>
        <w:t xml:space="preserve"> used in the main experiment. A chronological split ratio of 0.8 </w:t>
      </w:r>
      <w:r w:rsidR="00F924CA">
        <w:t>is</w:t>
      </w:r>
      <w:r>
        <w:t xml:space="preserve"> adopted for the main train-test partition. Sentiment featur</w:t>
      </w:r>
      <w:r>
        <w:t xml:space="preserve">es </w:t>
      </w:r>
      <w:r w:rsidR="00F924CA">
        <w:t>are</w:t>
      </w:r>
      <w:r>
        <w:t xml:space="preserve"> taken from the sentiment-related columns already present in the database; </w:t>
      </w:r>
      <w:r w:rsidRPr="00261B0B">
        <w:rPr>
          <w:highlight w:val="cyan"/>
        </w:rPr>
        <w:t xml:space="preserve">no </w:t>
      </w:r>
      <w:r w:rsidR="00261B0B" w:rsidRPr="00261B0B">
        <w:rPr>
          <w:highlight w:val="cyan"/>
        </w:rPr>
        <w:t>export</w:t>
      </w:r>
      <w:r>
        <w:t xml:space="preserve"> annotation procedure </w:t>
      </w:r>
      <w:r w:rsidR="00F924CA">
        <w:t>is</w:t>
      </w:r>
      <w:r>
        <w:t xml:space="preserve"> introduced in this revision. Preprocessing included alignment of timestamps, removal of rows with unusable target </w:t>
      </w:r>
      <w:r>
        <w:lastRenderedPageBreak/>
        <w:t>information, scale norma</w:t>
      </w:r>
      <w:r>
        <w:t xml:space="preserve">lization of numerical covariates, and consistency checks for downstream metric computation. This explicit protocol </w:t>
      </w:r>
      <w:r w:rsidR="00F924CA">
        <w:t>is</w:t>
      </w:r>
      <w:r>
        <w:t xml:space="preserve"> introduced to address the earlier criticism that the data-handling pathway had not been sufficiently reproducible.</w:t>
      </w:r>
    </w:p>
    <w:p w14:paraId="5F154431" w14:textId="5543DE01" w:rsidR="00EB0B3D" w:rsidRDefault="00D44EF6" w:rsidP="00A755F6">
      <w:pPr>
        <w:pStyle w:val="BodyText"/>
        <w:jc w:val="both"/>
      </w:pPr>
      <w:r>
        <w:t xml:space="preserve">The processed </w:t>
      </w:r>
      <w:r>
        <w:t xml:space="preserve">token panel exhibited substantial heterogeneity in token history, volatility, and sentiment behavior. For that reason, the study </w:t>
      </w:r>
      <w:r w:rsidR="00F924CA">
        <w:t>is</w:t>
      </w:r>
      <w:r>
        <w:t xml:space="preserve"> not framed as a single-series exercise. Instead, token-level experiments </w:t>
      </w:r>
      <w:r w:rsidR="00F924CA">
        <w:t>are</w:t>
      </w:r>
      <w:r>
        <w:t xml:space="preserve"> aggregated across the 200-token subset, and a</w:t>
      </w:r>
      <w:r>
        <w:t xml:space="preserve">ll reported mean metrics reflect aggregate evaluation. The modeling subset, filtering thresholds, and experiment registry </w:t>
      </w:r>
      <w:r w:rsidR="00F924CA">
        <w:t>are</w:t>
      </w:r>
      <w:r>
        <w:t xml:space="preserve"> documented so that the sequence from the workbook to the final tables could be traced directly.</w:t>
      </w:r>
    </w:p>
    <w:p w14:paraId="22CEC6AA" w14:textId="77777777" w:rsidR="00A755F6" w:rsidRDefault="00A755F6" w:rsidP="00A755F6">
      <w:pPr>
        <w:jc w:val="center"/>
      </w:pPr>
      <w:bookmarkStart w:id="3" w:name="X8d6845483d50735928a87412b2a287713e36567"/>
      <w:r w:rsidRPr="00F924CA">
        <w:rPr>
          <w:b/>
          <w:iCs/>
          <w:sz w:val="20"/>
        </w:rPr>
        <w:t>Table 1.</w:t>
      </w:r>
      <w:r w:rsidRPr="00F924CA">
        <w:rPr>
          <w:bCs/>
          <w:iCs/>
          <w:sz w:val="20"/>
        </w:rPr>
        <w:t xml:space="preserve"> Dataset and preprocessing summary derived from the validated experiment registry</w:t>
      </w:r>
      <w:r>
        <w:rPr>
          <w:b/>
          <w:i/>
          <w:sz w:val="20"/>
        </w:rPr>
        <w:t>.</w:t>
      </w:r>
    </w:p>
    <w:tbl>
      <w:tblPr>
        <w:tblStyle w:val="TableGrid"/>
        <w:tblW w:w="8205" w:type="dxa"/>
        <w:jc w:val="center"/>
        <w:tblLayout w:type="fixed"/>
        <w:tblLook w:val="04A0" w:firstRow="1" w:lastRow="0" w:firstColumn="1" w:lastColumn="0" w:noHBand="0" w:noVBand="1"/>
      </w:tblPr>
      <w:tblGrid>
        <w:gridCol w:w="3955"/>
        <w:gridCol w:w="4250"/>
      </w:tblGrid>
      <w:tr w:rsidR="00A755F6" w14:paraId="0AC79B96" w14:textId="77777777" w:rsidTr="001F525C">
        <w:trPr>
          <w:jc w:val="center"/>
        </w:trPr>
        <w:tc>
          <w:tcPr>
            <w:tcW w:w="395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82CB0" w14:textId="77777777" w:rsidR="00A755F6" w:rsidRDefault="00A755F6" w:rsidP="001F525C">
            <w:pPr>
              <w:spacing w:after="0"/>
              <w:jc w:val="center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w="42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76056" w14:textId="77777777" w:rsidR="00A755F6" w:rsidRDefault="00A755F6" w:rsidP="001F525C">
            <w:pPr>
              <w:spacing w:after="0"/>
              <w:jc w:val="center"/>
            </w:pPr>
            <w:r>
              <w:rPr>
                <w:b/>
                <w:sz w:val="19"/>
              </w:rPr>
              <w:t>Value</w:t>
            </w:r>
          </w:p>
        </w:tc>
      </w:tr>
      <w:tr w:rsidR="00A755F6" w14:paraId="312470F5" w14:textId="77777777" w:rsidTr="001F525C">
        <w:trPr>
          <w:jc w:val="center"/>
        </w:trPr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882E4" w14:textId="77777777" w:rsidR="00A755F6" w:rsidRPr="001F525C" w:rsidRDefault="00A755F6" w:rsidP="001F525C">
            <w:pPr>
              <w:spacing w:after="0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Candidate token sheets in supplied workbook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21D8D" w14:textId="77777777" w:rsidR="00A755F6" w:rsidRPr="001F525C" w:rsidRDefault="00A755F6" w:rsidP="001F525C">
            <w:pPr>
              <w:spacing w:after="0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1,273</w:t>
            </w:r>
          </w:p>
        </w:tc>
      </w:tr>
      <w:tr w:rsidR="00A755F6" w14:paraId="233C6C36" w14:textId="77777777" w:rsidTr="001F525C">
        <w:trPr>
          <w:jc w:val="center"/>
        </w:trPr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E2C76" w14:textId="77777777" w:rsidR="00A755F6" w:rsidRPr="001F525C" w:rsidRDefault="00A755F6" w:rsidP="001F525C">
            <w:pPr>
              <w:spacing w:after="0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Eligible sheets after filtering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C9351" w14:textId="77777777" w:rsidR="00A755F6" w:rsidRPr="001F525C" w:rsidRDefault="00A755F6" w:rsidP="001F525C">
            <w:pPr>
              <w:spacing w:after="0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881</w:t>
            </w:r>
          </w:p>
        </w:tc>
      </w:tr>
      <w:tr w:rsidR="00A755F6" w14:paraId="6655866B" w14:textId="77777777" w:rsidTr="001F525C">
        <w:trPr>
          <w:jc w:val="center"/>
        </w:trPr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008AA" w14:textId="77777777" w:rsidR="00A755F6" w:rsidRPr="001F525C" w:rsidRDefault="00A755F6" w:rsidP="001F525C">
            <w:pPr>
              <w:spacing w:after="0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Deterministic modeled subset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952AC" w14:textId="77777777" w:rsidR="00A755F6" w:rsidRPr="001F525C" w:rsidRDefault="00A755F6" w:rsidP="001F525C">
            <w:pPr>
              <w:spacing w:after="0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200 tokens</w:t>
            </w:r>
          </w:p>
        </w:tc>
      </w:tr>
      <w:tr w:rsidR="00A755F6" w14:paraId="6C1BA342" w14:textId="77777777" w:rsidTr="001F525C">
        <w:trPr>
          <w:jc w:val="center"/>
        </w:trPr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2B353" w14:textId="77777777" w:rsidR="00A755F6" w:rsidRPr="001F525C" w:rsidRDefault="00A755F6" w:rsidP="001F525C">
            <w:pPr>
              <w:spacing w:after="0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Processed aligned observations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66C0B" w14:textId="77777777" w:rsidR="00A755F6" w:rsidRPr="001F525C" w:rsidRDefault="00A755F6" w:rsidP="001F525C">
            <w:pPr>
              <w:spacing w:after="0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60,431 rows</w:t>
            </w:r>
          </w:p>
        </w:tc>
      </w:tr>
      <w:tr w:rsidR="00A755F6" w14:paraId="3D181417" w14:textId="77777777" w:rsidTr="001F525C">
        <w:trPr>
          <w:jc w:val="center"/>
        </w:trPr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2FCD4" w14:textId="77777777" w:rsidR="00A755F6" w:rsidRPr="001F525C" w:rsidRDefault="00A755F6" w:rsidP="001F525C">
            <w:pPr>
              <w:spacing w:after="0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Main chronological train ratio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A59E9" w14:textId="77777777" w:rsidR="00A755F6" w:rsidRPr="001F525C" w:rsidRDefault="00A755F6" w:rsidP="001F525C">
            <w:pPr>
              <w:spacing w:after="0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0.8</w:t>
            </w:r>
          </w:p>
        </w:tc>
      </w:tr>
      <w:tr w:rsidR="00A755F6" w14:paraId="3F4C0C6C" w14:textId="77777777" w:rsidTr="001F525C">
        <w:trPr>
          <w:jc w:val="center"/>
        </w:trPr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78507" w14:textId="77777777" w:rsidR="00A755F6" w:rsidRPr="001F525C" w:rsidRDefault="00A755F6" w:rsidP="001F525C">
            <w:pPr>
              <w:spacing w:after="0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Forecast horizon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7531C" w14:textId="77777777" w:rsidR="00A755F6" w:rsidRPr="001F525C" w:rsidRDefault="00A755F6" w:rsidP="001F525C">
            <w:pPr>
              <w:spacing w:after="0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3 days</w:t>
            </w:r>
          </w:p>
        </w:tc>
      </w:tr>
      <w:tr w:rsidR="00A755F6" w14:paraId="27783A3C" w14:textId="77777777" w:rsidTr="001F525C">
        <w:trPr>
          <w:jc w:val="center"/>
        </w:trPr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56E5D" w14:textId="77777777" w:rsidR="00A755F6" w:rsidRPr="001F525C" w:rsidRDefault="00A755F6" w:rsidP="001F525C">
            <w:pPr>
              <w:spacing w:after="0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Default lookback window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7CB8A" w14:textId="77777777" w:rsidR="00A755F6" w:rsidRPr="001F525C" w:rsidRDefault="00A755F6" w:rsidP="001F525C">
            <w:pPr>
              <w:spacing w:after="0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14 days</w:t>
            </w:r>
          </w:p>
        </w:tc>
      </w:tr>
      <w:tr w:rsidR="00A755F6" w14:paraId="0D86E3FF" w14:textId="77777777" w:rsidTr="001F525C">
        <w:trPr>
          <w:jc w:val="center"/>
        </w:trPr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EE61D" w14:textId="77777777" w:rsidR="00A755F6" w:rsidRPr="001F525C" w:rsidRDefault="00A755F6" w:rsidP="001F525C">
            <w:pPr>
              <w:spacing w:after="0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PRISM random seeds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EC9F7" w14:textId="77777777" w:rsidR="00A755F6" w:rsidRPr="001F525C" w:rsidRDefault="00A755F6" w:rsidP="001F525C">
            <w:pPr>
              <w:spacing w:after="0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11, 17, 23</w:t>
            </w:r>
          </w:p>
        </w:tc>
      </w:tr>
      <w:tr w:rsidR="00A755F6" w14:paraId="4FD1AC4E" w14:textId="77777777" w:rsidTr="001F525C">
        <w:trPr>
          <w:jc w:val="center"/>
        </w:trPr>
        <w:tc>
          <w:tcPr>
            <w:tcW w:w="3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56A42" w14:textId="77777777" w:rsidR="00A755F6" w:rsidRPr="001F525C" w:rsidRDefault="00A755F6" w:rsidP="001F525C">
            <w:pPr>
              <w:spacing w:after="0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Robustness sweep</w:t>
            </w:r>
          </w:p>
        </w:tc>
        <w:tc>
          <w:tcPr>
            <w:tcW w:w="4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A176E" w14:textId="77777777" w:rsidR="00A755F6" w:rsidRPr="001F525C" w:rsidRDefault="00A755F6" w:rsidP="001F525C">
            <w:pPr>
              <w:spacing w:after="0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train ratios {0.7,0.8,0.9}; lookbacks {7,14,21}</w:t>
            </w:r>
          </w:p>
        </w:tc>
      </w:tr>
    </w:tbl>
    <w:p w14:paraId="39CC01E8" w14:textId="77777777" w:rsidR="00A755F6" w:rsidRDefault="00A755F6" w:rsidP="00A755F6"/>
    <w:p w14:paraId="14A6D36F" w14:textId="77777777" w:rsidR="00EB0B3D" w:rsidRDefault="00D44EF6" w:rsidP="00A1631D">
      <w:pPr>
        <w:pStyle w:val="Heading1"/>
      </w:pPr>
      <w:r>
        <w:t>Exploratory Data Analysis and Baseline Characteristics</w:t>
      </w:r>
    </w:p>
    <w:p w14:paraId="5F09F90D" w14:textId="6BD9B93C" w:rsidR="00EB0B3D" w:rsidRDefault="00D44EF6" w:rsidP="00AE51E5">
      <w:pPr>
        <w:pStyle w:val="FirstParagraph"/>
        <w:jc w:val="both"/>
      </w:pPr>
      <w:r>
        <w:t xml:space="preserve">A short </w:t>
      </w:r>
      <w:r>
        <w:t xml:space="preserve">descriptive analysis </w:t>
      </w:r>
      <w:r w:rsidR="00F924CA">
        <w:t>is</w:t>
      </w:r>
      <w:r>
        <w:t xml:space="preserve"> added </w:t>
      </w:r>
      <w:r w:rsidRPr="0049797D">
        <w:rPr>
          <w:sz w:val="32"/>
          <w:szCs w:val="32"/>
          <w:highlight w:val="cyan"/>
        </w:rPr>
        <w:t>to address the reviewer request</w:t>
      </w:r>
      <w:r>
        <w:t xml:space="preserve"> for baseline characteristics and data exploration. The processed registry </w:t>
      </w:r>
      <w:r w:rsidR="00607CFE">
        <w:t xml:space="preserve">has </w:t>
      </w:r>
      <w:r>
        <w:t>show</w:t>
      </w:r>
      <w:r w:rsidR="00607CFE">
        <w:t>n</w:t>
      </w:r>
      <w:r>
        <w:t xml:space="preserve"> that the modeled panel </w:t>
      </w:r>
      <w:r w:rsidR="00F924CA">
        <w:t>is</w:t>
      </w:r>
      <w:r>
        <w:t xml:space="preserve"> broad enough for cross-token evaluation but heterogeneous enough that mean-only repor</w:t>
      </w:r>
      <w:r>
        <w:t xml:space="preserve">ting could be misleading. The average modeled history length </w:t>
      </w:r>
      <w:r w:rsidR="00F924CA">
        <w:t>is</w:t>
      </w:r>
      <w:r>
        <w:t xml:space="preserve"> 302.16 aligned observations per token, with the median approximately equal to 302 after deterministic alignment. The earlier per-token output table also showed heavy-tailed error and ROI beha</w:t>
      </w:r>
      <w:r>
        <w:t>vior, which justified the use of non-parametric significance testing and conservative claims.</w:t>
      </w:r>
      <w:r w:rsidR="00261B0B">
        <w:t xml:space="preserve"> </w:t>
      </w:r>
    </w:p>
    <w:p w14:paraId="1AA41DDF" w14:textId="67CDC231" w:rsidR="00261B0B" w:rsidRPr="0049797D" w:rsidRDefault="00261B0B" w:rsidP="00261B0B">
      <w:pPr>
        <w:pStyle w:val="BodyText"/>
        <w:rPr>
          <w:b/>
          <w:bCs/>
          <w:sz w:val="32"/>
          <w:szCs w:val="32"/>
          <w:highlight w:val="cyan"/>
        </w:rPr>
      </w:pPr>
      <w:r w:rsidRPr="0049797D">
        <w:rPr>
          <w:b/>
          <w:bCs/>
          <w:sz w:val="32"/>
          <w:szCs w:val="32"/>
          <w:highlight w:val="cyan"/>
        </w:rPr>
        <w:t>Table name need to be short description required</w:t>
      </w:r>
    </w:p>
    <w:p w14:paraId="1CA45C9D" w14:textId="11F6129C" w:rsidR="00EB0B3D" w:rsidRPr="00A1631D" w:rsidRDefault="00A1631D">
      <w:pPr>
        <w:pStyle w:val="TableCaption"/>
        <w:rPr>
          <w:b/>
          <w:bCs/>
          <w:sz w:val="20"/>
          <w:szCs w:val="20"/>
        </w:rPr>
      </w:pPr>
      <w:bookmarkStart w:id="4" w:name="tab:desc"/>
      <w:r w:rsidRPr="00A1631D">
        <w:rPr>
          <w:b/>
          <w:bCs/>
          <w:sz w:val="20"/>
          <w:szCs w:val="20"/>
        </w:rPr>
        <w:t xml:space="preserve">Table 2. Supplementary descriptive statistics for token-level behavior. The history-length values </w:t>
      </w:r>
      <w:r w:rsidR="00F924CA">
        <w:rPr>
          <w:b/>
          <w:bCs/>
          <w:sz w:val="20"/>
          <w:szCs w:val="20"/>
        </w:rPr>
        <w:t>are</w:t>
      </w:r>
      <w:r w:rsidRPr="00A1631D">
        <w:rPr>
          <w:b/>
          <w:bCs/>
          <w:sz w:val="20"/>
          <w:szCs w:val="20"/>
        </w:rPr>
        <w:t xml:space="preserve"> derived from the validated 60,431-row, 200-token panel. The performance-dispersion rows summarize the available per-token exploratory output from the earlier manuscript package and are reported to document the heavy-tailed token universe.</w:t>
      </w:r>
    </w:p>
    <w:tbl>
      <w:tblPr>
        <w:tblStyle w:val="Table"/>
        <w:tblW w:w="0" w:type="auto"/>
        <w:tblInd w:w="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26"/>
        <w:gridCol w:w="516"/>
        <w:gridCol w:w="966"/>
        <w:gridCol w:w="866"/>
        <w:gridCol w:w="866"/>
        <w:gridCol w:w="933"/>
        <w:gridCol w:w="866"/>
        <w:gridCol w:w="1783"/>
      </w:tblGrid>
      <w:tr w:rsidR="00EB0B3D" w14:paraId="52AF7FD0" w14:textId="77777777" w:rsidTr="00A75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881B44C" w14:textId="77777777" w:rsidR="00EB0B3D" w:rsidRDefault="00D44EF6" w:rsidP="00A755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Quantity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EEA977" w14:textId="77777777" w:rsidR="00EB0B3D" w:rsidRDefault="00D44EF6" w:rsidP="00A755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E81C9D" w14:textId="77777777" w:rsidR="00EB0B3D" w:rsidRDefault="00D44EF6" w:rsidP="00A755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Mean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9E7977" w14:textId="77777777" w:rsidR="00EB0B3D" w:rsidRDefault="00D44EF6" w:rsidP="00A755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SD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A6C08B" w14:textId="77777777" w:rsidR="00EB0B3D" w:rsidRDefault="00D44EF6" w:rsidP="00A755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Median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356724" w14:textId="77777777" w:rsidR="00EB0B3D" w:rsidRDefault="00D44EF6" w:rsidP="00A755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Q1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C2B755" w14:textId="77777777" w:rsidR="00EB0B3D" w:rsidRDefault="00D44EF6" w:rsidP="00A755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Q3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CFFF6E6" w14:textId="77777777" w:rsidR="00EB0B3D" w:rsidRDefault="00D44EF6" w:rsidP="00A755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Range</w:t>
            </w:r>
          </w:p>
        </w:tc>
      </w:tr>
      <w:tr w:rsidR="00EB0B3D" w14:paraId="013A0F50" w14:textId="77777777" w:rsidTr="00A755F6">
        <w:tc>
          <w:tcPr>
            <w:tcW w:w="0" w:type="auto"/>
          </w:tcPr>
          <w:p w14:paraId="31C7397D" w14:textId="0D566D59" w:rsidR="001F525C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Token history length</w:t>
            </w:r>
          </w:p>
        </w:tc>
        <w:tc>
          <w:tcPr>
            <w:tcW w:w="0" w:type="auto"/>
          </w:tcPr>
          <w:p w14:paraId="42F52B9B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</w:tcPr>
          <w:p w14:paraId="52969FD1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302.16</w:t>
            </w:r>
          </w:p>
        </w:tc>
        <w:tc>
          <w:tcPr>
            <w:tcW w:w="0" w:type="auto"/>
          </w:tcPr>
          <w:p w14:paraId="777DEBD7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n/a</w:t>
            </w:r>
          </w:p>
        </w:tc>
        <w:tc>
          <w:tcPr>
            <w:tcW w:w="0" w:type="auto"/>
          </w:tcPr>
          <w:p w14:paraId="34CD8BEB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302.00</w:t>
            </w:r>
          </w:p>
        </w:tc>
        <w:tc>
          <w:tcPr>
            <w:tcW w:w="0" w:type="auto"/>
          </w:tcPr>
          <w:p w14:paraId="4C7D971A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n/a</w:t>
            </w:r>
          </w:p>
        </w:tc>
        <w:tc>
          <w:tcPr>
            <w:tcW w:w="0" w:type="auto"/>
          </w:tcPr>
          <w:p w14:paraId="091AAD65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n/a</w:t>
            </w:r>
          </w:p>
        </w:tc>
        <w:tc>
          <w:tcPr>
            <w:tcW w:w="0" w:type="auto"/>
          </w:tcPr>
          <w:p w14:paraId="5F7AB336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panel-derived</w:t>
            </w:r>
          </w:p>
        </w:tc>
      </w:tr>
      <w:tr w:rsidR="00EB0B3D" w14:paraId="473886E8" w14:textId="77777777" w:rsidTr="00A755F6">
        <w:tc>
          <w:tcPr>
            <w:tcW w:w="0" w:type="auto"/>
          </w:tcPr>
          <w:p w14:paraId="2B6A2ABC" w14:textId="77777777" w:rsidR="00EB0B3D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MAE across tokens</w:t>
            </w:r>
          </w:p>
        </w:tc>
        <w:tc>
          <w:tcPr>
            <w:tcW w:w="0" w:type="auto"/>
          </w:tcPr>
          <w:p w14:paraId="22F62A65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96</w:t>
            </w:r>
          </w:p>
        </w:tc>
        <w:tc>
          <w:tcPr>
            <w:tcW w:w="0" w:type="auto"/>
          </w:tcPr>
          <w:p w14:paraId="58C5173B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0.1443</w:t>
            </w:r>
          </w:p>
        </w:tc>
        <w:tc>
          <w:tcPr>
            <w:tcW w:w="0" w:type="auto"/>
          </w:tcPr>
          <w:p w14:paraId="1C190CE9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1.2467</w:t>
            </w:r>
          </w:p>
        </w:tc>
        <w:tc>
          <w:tcPr>
            <w:tcW w:w="0" w:type="auto"/>
          </w:tcPr>
          <w:p w14:paraId="081119F8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0.0009</w:t>
            </w:r>
          </w:p>
        </w:tc>
        <w:tc>
          <w:tcPr>
            <w:tcW w:w="0" w:type="auto"/>
          </w:tcPr>
          <w:p w14:paraId="131DF1F9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0.0001</w:t>
            </w:r>
          </w:p>
        </w:tc>
        <w:tc>
          <w:tcPr>
            <w:tcW w:w="0" w:type="auto"/>
          </w:tcPr>
          <w:p w14:paraId="7ED89DBE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0.0026</w:t>
            </w:r>
          </w:p>
        </w:tc>
        <w:tc>
          <w:tcPr>
            <w:tcW w:w="0" w:type="auto"/>
          </w:tcPr>
          <w:p w14:paraId="57287C61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0–12.1966</w:t>
            </w:r>
          </w:p>
        </w:tc>
      </w:tr>
      <w:tr w:rsidR="00EB0B3D" w14:paraId="48F56D0E" w14:textId="77777777" w:rsidTr="00A755F6">
        <w:tc>
          <w:tcPr>
            <w:tcW w:w="0" w:type="auto"/>
          </w:tcPr>
          <w:p w14:paraId="5E9C3ACF" w14:textId="77777777" w:rsidR="00EB0B3D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RMSE across tokens</w:t>
            </w:r>
          </w:p>
        </w:tc>
        <w:tc>
          <w:tcPr>
            <w:tcW w:w="0" w:type="auto"/>
          </w:tcPr>
          <w:p w14:paraId="2A8910CF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96</w:t>
            </w:r>
          </w:p>
        </w:tc>
        <w:tc>
          <w:tcPr>
            <w:tcW w:w="0" w:type="auto"/>
          </w:tcPr>
          <w:p w14:paraId="6756A778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0.1727</w:t>
            </w:r>
          </w:p>
        </w:tc>
        <w:tc>
          <w:tcPr>
            <w:tcW w:w="0" w:type="auto"/>
          </w:tcPr>
          <w:p w14:paraId="0263915F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1.5141</w:t>
            </w:r>
          </w:p>
        </w:tc>
        <w:tc>
          <w:tcPr>
            <w:tcW w:w="0" w:type="auto"/>
          </w:tcPr>
          <w:p w14:paraId="40CC96C5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0.0011</w:t>
            </w:r>
          </w:p>
        </w:tc>
        <w:tc>
          <w:tcPr>
            <w:tcW w:w="0" w:type="auto"/>
          </w:tcPr>
          <w:p w14:paraId="03C0D253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0.0001</w:t>
            </w:r>
          </w:p>
        </w:tc>
        <w:tc>
          <w:tcPr>
            <w:tcW w:w="0" w:type="auto"/>
          </w:tcPr>
          <w:p w14:paraId="17515A99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0.0026</w:t>
            </w:r>
          </w:p>
        </w:tc>
        <w:tc>
          <w:tcPr>
            <w:tcW w:w="0" w:type="auto"/>
          </w:tcPr>
          <w:p w14:paraId="270D6C03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0–14.8213</w:t>
            </w:r>
          </w:p>
        </w:tc>
      </w:tr>
      <w:tr w:rsidR="00EB0B3D" w14:paraId="0EA4600A" w14:textId="77777777" w:rsidTr="00A755F6">
        <w:tc>
          <w:tcPr>
            <w:tcW w:w="0" w:type="auto"/>
          </w:tcPr>
          <w:p w14:paraId="0A65943F" w14:textId="77777777" w:rsidR="00EB0B3D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Directional accuracy (%)</w:t>
            </w:r>
          </w:p>
        </w:tc>
        <w:tc>
          <w:tcPr>
            <w:tcW w:w="0" w:type="auto"/>
          </w:tcPr>
          <w:p w14:paraId="75F4E669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95</w:t>
            </w:r>
          </w:p>
        </w:tc>
        <w:tc>
          <w:tcPr>
            <w:tcW w:w="0" w:type="auto"/>
          </w:tcPr>
          <w:p w14:paraId="4F384CD2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49.5033</w:t>
            </w:r>
          </w:p>
        </w:tc>
        <w:tc>
          <w:tcPr>
            <w:tcW w:w="0" w:type="auto"/>
          </w:tcPr>
          <w:p w14:paraId="3DE7E5BD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22.0983</w:t>
            </w:r>
          </w:p>
        </w:tc>
        <w:tc>
          <w:tcPr>
            <w:tcW w:w="0" w:type="auto"/>
          </w:tcPr>
          <w:p w14:paraId="04654826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50.0000</w:t>
            </w:r>
          </w:p>
        </w:tc>
        <w:tc>
          <w:tcPr>
            <w:tcW w:w="0" w:type="auto"/>
          </w:tcPr>
          <w:p w14:paraId="3C8D8E08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40.0000</w:t>
            </w:r>
          </w:p>
        </w:tc>
        <w:tc>
          <w:tcPr>
            <w:tcW w:w="0" w:type="auto"/>
          </w:tcPr>
          <w:p w14:paraId="1D8E938A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59.4118</w:t>
            </w:r>
          </w:p>
        </w:tc>
        <w:tc>
          <w:tcPr>
            <w:tcW w:w="0" w:type="auto"/>
          </w:tcPr>
          <w:p w14:paraId="01BEC551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0–100</w:t>
            </w:r>
          </w:p>
        </w:tc>
      </w:tr>
      <w:tr w:rsidR="00EB0B3D" w14:paraId="06CB003B" w14:textId="77777777" w:rsidTr="00A755F6">
        <w:tc>
          <w:tcPr>
            <w:tcW w:w="0" w:type="auto"/>
          </w:tcPr>
          <w:p w14:paraId="5305082C" w14:textId="77777777" w:rsidR="00EB0B3D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 xml:space="preserve">Hit rate </w:t>
            </w:r>
            <w:r w:rsidRPr="001F525C">
              <w:rPr>
                <w:sz w:val="20"/>
                <w:szCs w:val="20"/>
              </w:rPr>
              <w:t>(%)</w:t>
            </w:r>
          </w:p>
        </w:tc>
        <w:tc>
          <w:tcPr>
            <w:tcW w:w="0" w:type="auto"/>
          </w:tcPr>
          <w:p w14:paraId="031754BB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96</w:t>
            </w:r>
          </w:p>
        </w:tc>
        <w:tc>
          <w:tcPr>
            <w:tcW w:w="0" w:type="auto"/>
          </w:tcPr>
          <w:p w14:paraId="311A4E1F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8.5794</w:t>
            </w:r>
          </w:p>
        </w:tc>
        <w:tc>
          <w:tcPr>
            <w:tcW w:w="0" w:type="auto"/>
          </w:tcPr>
          <w:p w14:paraId="5933B9FA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18.7909</w:t>
            </w:r>
          </w:p>
        </w:tc>
        <w:tc>
          <w:tcPr>
            <w:tcW w:w="0" w:type="auto"/>
          </w:tcPr>
          <w:p w14:paraId="30729DF0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0.0000</w:t>
            </w:r>
          </w:p>
        </w:tc>
        <w:tc>
          <w:tcPr>
            <w:tcW w:w="0" w:type="auto"/>
          </w:tcPr>
          <w:p w14:paraId="3821CC2A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0.0000</w:t>
            </w:r>
          </w:p>
        </w:tc>
        <w:tc>
          <w:tcPr>
            <w:tcW w:w="0" w:type="auto"/>
          </w:tcPr>
          <w:p w14:paraId="03A24825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11.1111</w:t>
            </w:r>
          </w:p>
        </w:tc>
        <w:tc>
          <w:tcPr>
            <w:tcW w:w="0" w:type="auto"/>
          </w:tcPr>
          <w:p w14:paraId="03B6619A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0–100</w:t>
            </w:r>
          </w:p>
        </w:tc>
      </w:tr>
      <w:tr w:rsidR="00EB0B3D" w14:paraId="3F6EE2CA" w14:textId="77777777" w:rsidTr="00A755F6">
        <w:tc>
          <w:tcPr>
            <w:tcW w:w="0" w:type="auto"/>
          </w:tcPr>
          <w:p w14:paraId="34D47C26" w14:textId="77777777" w:rsidR="00EB0B3D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ROI (%)</w:t>
            </w:r>
          </w:p>
        </w:tc>
        <w:tc>
          <w:tcPr>
            <w:tcW w:w="0" w:type="auto"/>
          </w:tcPr>
          <w:p w14:paraId="56AB97CB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95</w:t>
            </w:r>
          </w:p>
        </w:tc>
        <w:tc>
          <w:tcPr>
            <w:tcW w:w="0" w:type="auto"/>
          </w:tcPr>
          <w:p w14:paraId="0FEB265C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813.8445</w:t>
            </w:r>
          </w:p>
        </w:tc>
        <w:tc>
          <w:tcPr>
            <w:tcW w:w="0" w:type="auto"/>
          </w:tcPr>
          <w:p w14:paraId="4B2B4235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7948.67</w:t>
            </w:r>
          </w:p>
        </w:tc>
        <w:tc>
          <w:tcPr>
            <w:tcW w:w="0" w:type="auto"/>
          </w:tcPr>
          <w:p w14:paraId="5597BA3A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-3.8041</w:t>
            </w:r>
          </w:p>
        </w:tc>
        <w:tc>
          <w:tcPr>
            <w:tcW w:w="0" w:type="auto"/>
          </w:tcPr>
          <w:p w14:paraId="38D02E25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-16.6545</w:t>
            </w:r>
          </w:p>
        </w:tc>
        <w:tc>
          <w:tcPr>
            <w:tcW w:w="0" w:type="auto"/>
          </w:tcPr>
          <w:p w14:paraId="25870A93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0.0000</w:t>
            </w:r>
          </w:p>
        </w:tc>
        <w:tc>
          <w:tcPr>
            <w:tcW w:w="0" w:type="auto"/>
          </w:tcPr>
          <w:p w14:paraId="48AD67AB" w14:textId="77777777" w:rsidR="00EB0B3D" w:rsidRPr="001F525C" w:rsidRDefault="00D44EF6" w:rsidP="00A755F6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-88.1553–77471.14</w:t>
            </w:r>
          </w:p>
        </w:tc>
      </w:tr>
      <w:bookmarkEnd w:id="4"/>
    </w:tbl>
    <w:p w14:paraId="3A56D26D" w14:textId="77777777" w:rsidR="00A755F6" w:rsidRDefault="00A755F6">
      <w:pPr>
        <w:pStyle w:val="BodyText"/>
      </w:pPr>
    </w:p>
    <w:p w14:paraId="1BFF26CB" w14:textId="6DE575F8" w:rsidR="00EB0B3D" w:rsidRDefault="00D44EF6" w:rsidP="00AE51E5">
      <w:pPr>
        <w:pStyle w:val="BodyText"/>
        <w:jc w:val="both"/>
      </w:pPr>
      <w:r>
        <w:t xml:space="preserve">Volatility and sentiment </w:t>
      </w:r>
      <w:r w:rsidR="00F924CA">
        <w:t>are</w:t>
      </w:r>
      <w:r>
        <w:t xml:space="preserve"> not presented as a single global mean because both quantities </w:t>
      </w:r>
      <w:r w:rsidR="00F924CA">
        <w:t>are</w:t>
      </w:r>
      <w:r>
        <w:t xml:space="preserve"> token-specific and </w:t>
      </w:r>
      <w:r>
        <w:t xml:space="preserve">time-varying. Instead, volatility </w:t>
      </w:r>
      <w:r w:rsidR="00F924CA">
        <w:t>is</w:t>
      </w:r>
      <w:r>
        <w:t xml:space="preserve"> operationalized through rolling-volatility features used in graph construction, and sentiment </w:t>
      </w:r>
      <w:r w:rsidR="00F924CA">
        <w:t>is</w:t>
      </w:r>
      <w:r>
        <w:t xml:space="preserve"> represented through the pre-aligned sentiment columns already present in the supplied database. The descriptive evidence</w:t>
      </w:r>
      <w:r>
        <w:t xml:space="preserve"> in Table </w:t>
      </w:r>
      <w:hyperlink w:anchor="tab:desc">
        <w:r w:rsidR="00EB0B3D">
          <w:rPr>
            <w:rStyle w:val="Hyperlink"/>
          </w:rPr>
          <w:t>2</w:t>
        </w:r>
      </w:hyperlink>
      <w:r>
        <w:t xml:space="preserve"> shows that token-level outcomes </w:t>
      </w:r>
      <w:r w:rsidR="00F924CA">
        <w:t>are</w:t>
      </w:r>
      <w:r>
        <w:t xml:space="preserve"> strongly skewed; accordingly, paired Wilcoxon tests, Holm correction, and robustness sweeps </w:t>
      </w:r>
      <w:r w:rsidR="00F924CA">
        <w:t>are</w:t>
      </w:r>
      <w:r>
        <w:t xml:space="preserve"> used as the main safeguards against conclusions driven by a few extreme tokens.</w:t>
      </w:r>
      <w:r>
        <w:t xml:space="preserve"> For final repository release, the processed-panel manifest should be included so that exact sentiment-score quantiles and per-token volatility ranges can be audited directly.</w:t>
      </w:r>
    </w:p>
    <w:p w14:paraId="267FF132" w14:textId="77777777" w:rsidR="00EB0B3D" w:rsidRPr="00A1631D" w:rsidRDefault="00D44EF6" w:rsidP="00A1631D">
      <w:pPr>
        <w:pStyle w:val="Heading1"/>
      </w:pPr>
      <w:bookmarkStart w:id="5" w:name="system-architecture"/>
      <w:bookmarkEnd w:id="2"/>
      <w:bookmarkEnd w:id="3"/>
      <w:r w:rsidRPr="00A1631D">
        <w:t>System Architecture</w:t>
      </w:r>
    </w:p>
    <w:p w14:paraId="1554CE87" w14:textId="383E38F8" w:rsidR="00EB0B3D" w:rsidRDefault="00D44EF6" w:rsidP="00AE51E5">
      <w:pPr>
        <w:pStyle w:val="FirstParagraph"/>
        <w:jc w:val="both"/>
      </w:pPr>
      <w:r>
        <w:t>The retained system architecture is shown in Figure </w:t>
      </w:r>
      <w:hyperlink w:anchor="fig:arch">
        <w:r w:rsidR="00EB0B3D">
          <w:rPr>
            <w:rStyle w:val="Hyperlink"/>
          </w:rPr>
          <w:t>1</w:t>
        </w:r>
      </w:hyperlink>
      <w:r>
        <w:t xml:space="preserve">. Market variables and sentiment features </w:t>
      </w:r>
      <w:r w:rsidR="00F924CA">
        <w:t>are</w:t>
      </w:r>
      <w:r>
        <w:t xml:space="preserve"> first passed through a deterministic preprocessing stage in which chronological ordering, scaling, and target construction </w:t>
      </w:r>
      <w:r w:rsidR="00F924CA">
        <w:t>are</w:t>
      </w:r>
      <w:r>
        <w:t xml:space="preserve"> fixed. A risk-aware graph </w:t>
      </w:r>
      <w:r w:rsidR="00F924CA">
        <w:t>is</w:t>
      </w:r>
      <w:r>
        <w:t xml:space="preserve"> then constructed over token</w:t>
      </w:r>
      <w:r>
        <w:t xml:space="preserve">s in order to encode similarity in volatility and related latent behavior. From that graph, an MIS-based diversification stage </w:t>
      </w:r>
      <w:r w:rsidR="00F924CA">
        <w:t>is</w:t>
      </w:r>
      <w:r>
        <w:t xml:space="preserve"> used to reduce redundancy in the support neighborhood used during learning. The resulting token context </w:t>
      </w:r>
      <w:r w:rsidR="00F924CA">
        <w:t>is</w:t>
      </w:r>
      <w:r>
        <w:t xml:space="preserve"> consumed by a MAM</w:t>
      </w:r>
      <w:r>
        <w:t xml:space="preserve">L-enhanced LSTM forecaster. A separate evaluation layer </w:t>
      </w:r>
      <w:r w:rsidR="00F924CA">
        <w:t>is</w:t>
      </w:r>
      <w:r>
        <w:t xml:space="preserve"> used for baselines, significance testing, and robustness sweeps.</w:t>
      </w:r>
    </w:p>
    <w:p w14:paraId="7183CFD5" w14:textId="45901912" w:rsidR="00EB0B3D" w:rsidRDefault="00D44EF6" w:rsidP="00AE51E5">
      <w:pPr>
        <w:pStyle w:val="BodyText"/>
        <w:jc w:val="both"/>
      </w:pPr>
      <w:r>
        <w:t xml:space="preserve">This architecture </w:t>
      </w:r>
      <w:r w:rsidR="00F924CA">
        <w:t>is</w:t>
      </w:r>
      <w:r>
        <w:t xml:space="preserve"> intentionally kept modular so that the contribution of each component could be tested in isolation. In the ab</w:t>
      </w:r>
      <w:r>
        <w:t xml:space="preserve">lation pathway, V0 represented a price-only LSTM, V1 represented price plus sentiment fusion, V2 added the graph and diversification logic, and V3 represented the full PRISM system with meta-learning. The design therefore permitted the </w:t>
      </w:r>
      <w:r w:rsidRPr="00607CFE">
        <w:rPr>
          <w:highlight w:val="cyan"/>
        </w:rPr>
        <w:t xml:space="preserve">study to answer the </w:t>
      </w:r>
      <w:r w:rsidRPr="00607CFE">
        <w:rPr>
          <w:highlight w:val="cyan"/>
        </w:rPr>
        <w:t>reviewer’s most</w:t>
      </w:r>
      <w:r>
        <w:t xml:space="preserve"> important empirical question directly: whether the gains attributed to PRISM </w:t>
      </w:r>
      <w:r w:rsidR="00F924CA">
        <w:t>are</w:t>
      </w:r>
      <w:r>
        <w:t xml:space="preserve"> actually distributed across the proposed components or </w:t>
      </w:r>
      <w:r w:rsidR="00F924CA">
        <w:t>are</w:t>
      </w:r>
      <w:r>
        <w:t xml:space="preserve"> merely artifacts of model complexity.</w:t>
      </w:r>
    </w:p>
    <w:p w14:paraId="68C90075" w14:textId="77777777" w:rsidR="00EB0B3D" w:rsidRDefault="00D44EF6" w:rsidP="00A755F6">
      <w:pPr>
        <w:pStyle w:val="CaptionedFigure"/>
        <w:jc w:val="center"/>
      </w:pPr>
      <w:r>
        <w:rPr>
          <w:noProof/>
        </w:rPr>
        <w:drawing>
          <wp:inline distT="0" distB="0" distL="0" distR="0" wp14:anchorId="244AB360" wp14:editId="6A30644B">
            <wp:extent cx="5332730" cy="16764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ures/figure1_architec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12218" b="8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37FDE" w14:textId="3225D20C" w:rsidR="00EB0B3D" w:rsidRDefault="00A1631D">
      <w:pPr>
        <w:pStyle w:val="ImageCaption"/>
        <w:rPr>
          <w:b/>
          <w:bCs/>
          <w:sz w:val="20"/>
          <w:szCs w:val="20"/>
        </w:rPr>
      </w:pPr>
      <w:r w:rsidRPr="00A1631D">
        <w:rPr>
          <w:b/>
          <w:bCs/>
          <w:sz w:val="20"/>
          <w:szCs w:val="20"/>
        </w:rPr>
        <w:t xml:space="preserve">Figure 1. Retained system-level architecture of PRISM. Market series and sentiment features </w:t>
      </w:r>
      <w:r w:rsidR="00F924CA">
        <w:rPr>
          <w:b/>
          <w:bCs/>
          <w:sz w:val="20"/>
          <w:szCs w:val="20"/>
        </w:rPr>
        <w:t>are</w:t>
      </w:r>
      <w:r w:rsidRPr="00A1631D">
        <w:rPr>
          <w:b/>
          <w:bCs/>
          <w:sz w:val="20"/>
          <w:szCs w:val="20"/>
        </w:rPr>
        <w:t xml:space="preserve"> aligned deterministically, transformed into a risk-aware token graph, diversified through MIS selection, and then passed to a MAML-enhanced LSTM forecaster.</w:t>
      </w:r>
    </w:p>
    <w:p w14:paraId="6FF7DBD1" w14:textId="762DB541" w:rsidR="00261B0B" w:rsidRPr="0049797D" w:rsidRDefault="00261B0B">
      <w:pPr>
        <w:pStyle w:val="ImageCaption"/>
        <w:rPr>
          <w:b/>
          <w:bCs/>
          <w:i w:val="0"/>
          <w:iCs/>
          <w:sz w:val="32"/>
          <w:szCs w:val="32"/>
        </w:rPr>
      </w:pPr>
      <w:r w:rsidRPr="0049797D">
        <w:rPr>
          <w:b/>
          <w:bCs/>
          <w:i w:val="0"/>
          <w:iCs/>
          <w:sz w:val="32"/>
          <w:szCs w:val="32"/>
          <w:highlight w:val="cyan"/>
        </w:rPr>
        <w:t>Figure name needs to be short,</w:t>
      </w:r>
      <w:r w:rsidR="001F525C" w:rsidRPr="0049797D">
        <w:rPr>
          <w:b/>
          <w:bCs/>
          <w:i w:val="0"/>
          <w:iCs/>
          <w:sz w:val="32"/>
          <w:szCs w:val="32"/>
          <w:highlight w:val="cyan"/>
        </w:rPr>
        <w:t xml:space="preserve"> </w:t>
      </w:r>
      <w:r w:rsidRPr="0049797D">
        <w:rPr>
          <w:b/>
          <w:bCs/>
          <w:i w:val="0"/>
          <w:iCs/>
          <w:sz w:val="32"/>
          <w:szCs w:val="32"/>
          <w:highlight w:val="cyan"/>
        </w:rPr>
        <w:t xml:space="preserve">explanation missing, within box </w:t>
      </w:r>
      <w:r w:rsidR="0049797D" w:rsidRPr="0049797D">
        <w:rPr>
          <w:b/>
          <w:bCs/>
          <w:i w:val="0"/>
          <w:iCs/>
          <w:sz w:val="32"/>
          <w:szCs w:val="32"/>
          <w:highlight w:val="cyan"/>
        </w:rPr>
        <w:t>letters need</w:t>
      </w:r>
      <w:r w:rsidRPr="0049797D">
        <w:rPr>
          <w:b/>
          <w:bCs/>
          <w:i w:val="0"/>
          <w:iCs/>
          <w:sz w:val="32"/>
          <w:szCs w:val="32"/>
          <w:highlight w:val="cyan"/>
        </w:rPr>
        <w:t xml:space="preserve"> to be bold</w:t>
      </w:r>
    </w:p>
    <w:p w14:paraId="313E23CB" w14:textId="77777777" w:rsidR="0049797D" w:rsidRDefault="00D44EF6" w:rsidP="00A1631D">
      <w:pPr>
        <w:pStyle w:val="Heading1"/>
      </w:pPr>
      <w:bookmarkStart w:id="6" w:name="mathematical-model-and-algorithm"/>
      <w:bookmarkEnd w:id="5"/>
      <w:r w:rsidRPr="00A1631D">
        <w:lastRenderedPageBreak/>
        <w:t>Mathematical Model and Algorithm</w:t>
      </w:r>
      <w:r w:rsidR="00261B0B">
        <w:t xml:space="preserve">    </w:t>
      </w:r>
    </w:p>
    <w:p w14:paraId="26ED28B0" w14:textId="0B9D6BD3" w:rsidR="00EB0B3D" w:rsidRPr="00261B0B" w:rsidRDefault="00261B0B" w:rsidP="00A1631D">
      <w:pPr>
        <w:pStyle w:val="Heading1"/>
        <w:rPr>
          <w:rFonts w:ascii="Times New Roman" w:eastAsiaTheme="minorHAnsi" w:hAnsi="Times New Roman" w:cstheme="minorBidi"/>
          <w:b w:val="0"/>
          <w:bCs w:val="0"/>
          <w:iCs/>
          <w:color w:val="auto"/>
          <w:sz w:val="20"/>
          <w:szCs w:val="20"/>
          <w:highlight w:val="cyan"/>
        </w:rPr>
      </w:pPr>
      <w:r w:rsidRPr="0049797D">
        <w:rPr>
          <w:rFonts w:ascii="Times New Roman" w:eastAsiaTheme="minorHAnsi" w:hAnsi="Times New Roman" w:cstheme="minorBidi"/>
          <w:iCs/>
          <w:color w:val="auto"/>
          <w:highlight w:val="cyan"/>
        </w:rPr>
        <w:t>(</w:t>
      </w:r>
      <w:proofErr w:type="gramStart"/>
      <w:r w:rsidRPr="0049797D">
        <w:rPr>
          <w:rFonts w:ascii="Times New Roman" w:eastAsiaTheme="minorHAnsi" w:hAnsi="Times New Roman" w:cstheme="minorBidi"/>
          <w:iCs/>
          <w:color w:val="auto"/>
          <w:highlight w:val="cyan"/>
        </w:rPr>
        <w:t>equation</w:t>
      </w:r>
      <w:proofErr w:type="gramEnd"/>
      <w:r w:rsidRPr="0049797D">
        <w:rPr>
          <w:rFonts w:ascii="Times New Roman" w:eastAsiaTheme="minorHAnsi" w:hAnsi="Times New Roman" w:cstheme="minorBidi"/>
          <w:iCs/>
          <w:color w:val="auto"/>
          <w:highlight w:val="cyan"/>
        </w:rPr>
        <w:t xml:space="preserve"> number and citation missing)</w:t>
      </w:r>
    </w:p>
    <w:p w14:paraId="733EB4E3" w14:textId="6065C68A" w:rsidR="00EB0B3D" w:rsidRDefault="00D44EF6">
      <w:pPr>
        <w:pStyle w:val="FirstParagraph"/>
      </w:pPr>
      <w:r>
        <w:t xml:space="preserve">Let </w:t>
      </w:r>
      <m:oMath>
        <m:r>
          <m:rPr>
            <m:scr m:val="script"/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denote the modeled token universe. For token </w:t>
      </w:r>
      <m:oMath>
        <m:r>
          <w:rPr>
            <w:rFonts w:ascii="Cambria Math" w:hAnsi="Cambria Math"/>
          </w:rPr>
          <m:t>i</m:t>
        </m:r>
      </m:oMath>
      <w:r>
        <w:t xml:space="preserve"> at time </w:t>
      </w:r>
      <m:oMath>
        <m:r>
          <w:rPr>
            <w:rFonts w:ascii="Cambria Math" w:hAnsi="Cambria Math"/>
          </w:rPr>
          <m:t>t</m:t>
        </m:r>
      </m:oMath>
      <w:r>
        <w:t xml:space="preserve">, the input feature vector </w:t>
      </w:r>
      <w:r w:rsidR="00F924CA">
        <w:t>is</w:t>
      </w:r>
      <w:r>
        <w:t xml:space="preserve"> denoted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and </w:t>
      </w:r>
      <w:r w:rsidR="00F924CA">
        <w:t>is</w:t>
      </w:r>
      <w:r>
        <w:t xml:space="preserve"> composed of market variables and aligned sentiment features. The sentiment-enhanced token state </w:t>
      </w:r>
      <w:r w:rsidR="00F924CA">
        <w:t>is</w:t>
      </w:r>
      <w:r>
        <w:t xml:space="preserve"> written as</w:t>
      </w:r>
    </w:p>
    <w:p w14:paraId="47AE6E36" w14:textId="77777777" w:rsidR="00EB0B3D" w:rsidRDefault="00D44EF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9C6F04D" w14:textId="0157B6E7" w:rsidR="00EB0B3D" w:rsidRDefault="00D44EF6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is the market subvector,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is the sentiment subvector, and </w:t>
      </w:r>
      <m:oMath>
        <m:r>
          <w:rPr>
            <w:rFonts w:ascii="Cambria Math" w:hAnsi="Cambria Math"/>
          </w:rPr>
          <m:t>λ</m:t>
        </m:r>
      </m:oMath>
      <w:r>
        <w:t xml:space="preserve"> is a scale-stabilizing fusion </w:t>
      </w:r>
      <w:proofErr w:type="gramStart"/>
      <w:r>
        <w:t>weight.</w:t>
      </w:r>
      <w:proofErr w:type="gramEnd"/>
      <w:r>
        <w:t xml:space="preserve"> A normalized sentiment score </w:t>
      </w:r>
      <w:r w:rsidR="00F924CA">
        <w:t>is</w:t>
      </w:r>
      <w:r>
        <w:t xml:space="preserve"> used when raw social scores </w:t>
      </w:r>
      <w:r w:rsidR="00F924CA">
        <w:t>are</w:t>
      </w:r>
      <w:r>
        <w:t xml:space="preserve"> present:</w:t>
      </w:r>
    </w:p>
    <w:p w14:paraId="2FFD75EB" w14:textId="77777777" w:rsidR="00EB0B3D" w:rsidRDefault="00D44EF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VADER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Volume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,MarketCap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ϵ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A177D6" w14:textId="1BFE36D0" w:rsidR="00EB0B3D" w:rsidRDefault="00D44EF6">
      <w:pPr>
        <w:pStyle w:val="FirstParagraph"/>
      </w:pPr>
      <w:r>
        <w:t xml:space="preserve">A trend score </w:t>
      </w:r>
      <w:r w:rsidR="00F924CA">
        <w:t>is</w:t>
      </w:r>
      <w:r>
        <w:t xml:space="preserve"> computed by combining normalized sentiment, historical volatility, and momentum indicators:</w:t>
      </w:r>
    </w:p>
    <w:p w14:paraId="327F20D0" w14:textId="77777777" w:rsidR="00EB0B3D" w:rsidRDefault="00D44EF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trend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Volatility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Momentum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21A9DC2" w14:textId="206AE3B3" w:rsidR="00EB0B3D" w:rsidRDefault="00D44EF6">
      <w:pPr>
        <w:pStyle w:val="FirstParagraph"/>
      </w:pPr>
      <w:r>
        <w:t xml:space="preserve">A risk-aware token graph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E</m:t>
            </m:r>
          </m:e>
        </m:d>
      </m:oMath>
      <w:r>
        <w:t xml:space="preserve"> </w:t>
      </w:r>
      <w:r w:rsidR="00F924CA">
        <w:t>is</w:t>
      </w:r>
      <w:r>
        <w:t xml:space="preserve"> constructed over the modeled subset. For tokens </w:t>
      </w:r>
      <m:oMath>
        <m:r>
          <w:rPr>
            <w:rFonts w:ascii="Cambria Math" w:hAnsi="Cambria Math"/>
          </w:rPr>
          <m:t>i</m:t>
        </m:r>
      </m:oMath>
      <w:r>
        <w:t xml:space="preserve"> and </w:t>
      </w:r>
      <m:oMath>
        <m:r>
          <w:rPr>
            <w:rFonts w:ascii="Cambria Math" w:hAnsi="Cambria Math"/>
          </w:rPr>
          <m:t>j</m:t>
        </m:r>
      </m:oMath>
      <w:r>
        <w:t xml:space="preserve">, an edge </w:t>
      </w:r>
      <w:r w:rsidR="00F924CA">
        <w:t>is</w:t>
      </w:r>
      <w:r>
        <w:t xml:space="preserve"> retained when a thresholded similarity score exceeded </w:t>
      </w:r>
      <m:oMath>
        <m:r>
          <w:rPr>
            <w:rFonts w:ascii="Cambria Math" w:hAnsi="Cambria Math"/>
          </w:rPr>
          <m:t>τ</m:t>
        </m:r>
      </m:oMath>
      <w:r>
        <w:t>:</w:t>
      </w:r>
    </w:p>
    <w:p w14:paraId="6222FF47" w14:textId="77777777" w:rsidR="00EB0B3D" w:rsidRDefault="00D44EF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corr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corr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3A844E5" w14:textId="1CAB1FB6" w:rsidR="00EB0B3D" w:rsidRDefault="00D44EF6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σ</m:t>
        </m:r>
      </m:oMath>
      <w:r>
        <w:t xml:space="preserve"> denotes rolling volatility and </w:t>
      </w:r>
      <m:oMath>
        <m:r>
          <w:rPr>
            <w:rFonts w:ascii="Cambria Math" w:hAnsi="Cambria Math"/>
          </w:rPr>
          <m:t>s</m:t>
        </m:r>
      </m:oMath>
      <w:r>
        <w:t xml:space="preserve"> denotes the aggregated sentiment</w:t>
      </w:r>
      <w:r>
        <w:t xml:space="preserve"> trajectory. The graph </w:t>
      </w:r>
      <w:r w:rsidR="00F924CA">
        <w:t>is</w:t>
      </w:r>
      <w:r>
        <w:t xml:space="preserve"> not used as a separate graph neural network in the final implementation; instead, it </w:t>
      </w:r>
      <w:r w:rsidR="00F924CA">
        <w:t>is</w:t>
      </w:r>
      <w:r>
        <w:t xml:space="preserve"> used to define diversified neighborhoods and support selection under an MIS constraint.</w:t>
      </w:r>
    </w:p>
    <w:p w14:paraId="1967F9EF" w14:textId="6549F1EF" w:rsidR="00EB0B3D" w:rsidRDefault="00D44EF6">
      <w:pPr>
        <w:pStyle w:val="BodyText"/>
      </w:pPr>
      <w:r>
        <w:t>The pairwise confidence score used for graph constru</w:t>
      </w:r>
      <w:r>
        <w:t xml:space="preserve">ction </w:t>
      </w:r>
      <w:r w:rsidR="00F924CA">
        <w:t>is</w:t>
      </w:r>
      <w:r>
        <w:t xml:space="preserve"> represented as</w:t>
      </w:r>
    </w:p>
    <w:p w14:paraId="44EBF94D" w14:textId="77777777" w:rsidR="00EB0B3D" w:rsidRDefault="00D44EF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BC7D0A5" w14:textId="25DC9A76" w:rsidR="00EB0B3D" w:rsidRDefault="00D44EF6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denotes an aggregated trend term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denotes an aggregated risk term. A diversified subset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V</m:t>
        </m:r>
      </m:oMath>
      <w:r>
        <w:t xml:space="preserve"> </w:t>
      </w:r>
      <w:r w:rsidR="00F924CA">
        <w:t>is</w:t>
      </w:r>
      <w:r>
        <w:t xml:space="preserve"> then approximated by a maximal independent set:</w:t>
      </w:r>
    </w:p>
    <w:p w14:paraId="2B9C2355" w14:textId="77777777" w:rsidR="00EB0B3D" w:rsidRDefault="00D44EF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=MIS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∉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004421B" w14:textId="7842A6DC" w:rsidR="00EB0B3D" w:rsidRDefault="00D44EF6">
      <w:pPr>
        <w:pStyle w:val="FirstParagraph"/>
      </w:pPr>
      <w:r>
        <w:t xml:space="preserve">This step </w:t>
      </w:r>
      <w:r w:rsidR="00F924CA">
        <w:t>is</w:t>
      </w:r>
      <w:r>
        <w:t xml:space="preserve"> introduced so that strongly redundant tokens </w:t>
      </w:r>
      <w:r w:rsidR="00F924CA">
        <w:t>are</w:t>
      </w:r>
      <w:r>
        <w:t xml:space="preserve"> not concentrated within the support context.</w:t>
      </w:r>
    </w:p>
    <w:p w14:paraId="5E68D18F" w14:textId="27894819" w:rsidR="00EB0B3D" w:rsidRDefault="00D44EF6">
      <w:pPr>
        <w:pStyle w:val="BodyText"/>
      </w:pPr>
      <w:r>
        <w:t xml:space="preserve">Forecasting </w:t>
      </w:r>
      <w:r w:rsidR="00F924CA">
        <w:t>is</w:t>
      </w:r>
      <w:r>
        <w:t xml:space="preserve"> performed with a MAML-enhanced LSTM. For a task-specific loss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inner-loop adaptation </w:t>
      </w:r>
      <w:r w:rsidR="00F924CA">
        <w:t>is</w:t>
      </w:r>
      <w:r>
        <w:t xml:space="preserve"> defined as</w:t>
      </w:r>
    </w:p>
    <w:p w14:paraId="763C4D49" w14:textId="77777777" w:rsidR="00EB0B3D" w:rsidRDefault="00D44EF6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26DF0C5" w14:textId="02A7DBB2" w:rsidR="00EB0B3D" w:rsidRDefault="00D44EF6">
      <w:pPr>
        <w:pStyle w:val="FirstParagraph"/>
      </w:pPr>
      <w:r>
        <w:t xml:space="preserve">and the outer-loop meta-update </w:t>
      </w:r>
      <w:r w:rsidR="00F924CA">
        <w:t>is</w:t>
      </w:r>
      <w:r>
        <w:t xml:space="preserve"> written as</w:t>
      </w:r>
    </w:p>
    <w:p w14:paraId="4EBA63CC" w14:textId="77777777" w:rsidR="00EB0B3D" w:rsidRDefault="00D44EF6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B2482B" w14:textId="77777777" w:rsidR="00EB0B3D" w:rsidRDefault="00D44EF6" w:rsidP="00A1631D">
      <w:pPr>
        <w:pStyle w:val="Heading1"/>
      </w:pPr>
      <w:bookmarkStart w:id="7" w:name="prism-algorithm"/>
      <w:r>
        <w:t>PRISM Algorithm</w:t>
      </w:r>
    </w:p>
    <w:p w14:paraId="36876AEB" w14:textId="6CD683AC" w:rsidR="00EB0B3D" w:rsidRDefault="00D44EF6" w:rsidP="00AE51E5">
      <w:pPr>
        <w:pStyle w:val="FirstParagraph"/>
        <w:jc w:val="both"/>
      </w:pPr>
      <w:r>
        <w:t xml:space="preserve">The algorithmic workflow </w:t>
      </w:r>
      <w:r>
        <w:t xml:space="preserve">from the earlier manuscript </w:t>
      </w:r>
      <w:r w:rsidR="00F924CA">
        <w:t>is</w:t>
      </w:r>
      <w:r>
        <w:t xml:space="preserve"> restored and rewritten as Algorithm </w:t>
      </w:r>
      <w:hyperlink w:anchor="alg:prism">
        <w:r>
          <w:rPr>
            <w:rStyle w:val="Hyperlink"/>
          </w:rPr>
          <w:t>3</w:t>
        </w:r>
      </w:hyperlink>
      <w:r>
        <w:t xml:space="preserve"> in a compact, auditable form. The process </w:t>
      </w:r>
      <w:r w:rsidR="00F924CA">
        <w:t>is</w:t>
      </w:r>
      <w:r>
        <w:t xml:space="preserve"> initiated with sentiment normalization and threshold filtering. Volatility-driven similarity and risk calcul</w:t>
      </w:r>
      <w:r>
        <w:t xml:space="preserve">ations </w:t>
      </w:r>
      <w:r w:rsidR="00F924CA">
        <w:t>are</w:t>
      </w:r>
      <w:r>
        <w:t xml:space="preserve"> then performed, followed by pairwise confidence aggregation, graph construction, MIS-based diversification, MAML-enhanced model training, and forecasting.</w:t>
      </w:r>
    </w:p>
    <w:p w14:paraId="041D9649" w14:textId="709CEDB1" w:rsidR="00EB0B3D" w:rsidRDefault="00D44EF6">
      <w:pPr>
        <w:pStyle w:val="TableCaption"/>
      </w:pPr>
      <w:bookmarkStart w:id="8" w:name="alg:prism"/>
      <w:r>
        <w:lastRenderedPageBreak/>
        <w:t xml:space="preserve">Algorithm 1: PRISM workflow for risk-aware multimodal </w:t>
      </w:r>
      <w:proofErr w:type="spellStart"/>
      <w:r>
        <w:t>memecoin</w:t>
      </w:r>
      <w:proofErr w:type="spellEnd"/>
      <w:r>
        <w:t xml:space="preserve"> forecasting.</w:t>
      </w:r>
    </w:p>
    <w:p w14:paraId="28F8CF92" w14:textId="04DCF17D" w:rsidR="001F525C" w:rsidRDefault="001F525C" w:rsidP="001F525C">
      <w:pPr>
        <w:pStyle w:val="TableCaption"/>
      </w:pPr>
      <w:r w:rsidRPr="001F525C">
        <w:rPr>
          <w:b/>
          <w:bCs/>
        </w:rPr>
        <w:t>Input</w:t>
      </w:r>
      <w:r>
        <w:rPr>
          <w:b/>
          <w:bCs/>
        </w:rPr>
        <w:t>:</w:t>
      </w:r>
      <w:r>
        <w:tab/>
        <w:t xml:space="preserve">Token universe M; market features; sentiment text or pre-aligned sentiment fields; low-signal threshold </w:t>
      </w:r>
      <w:proofErr w:type="spellStart"/>
      <w:r>
        <w:t>τ_low</w:t>
      </w:r>
      <w:proofErr w:type="spellEnd"/>
      <w:r>
        <w:t xml:space="preserve">; graph threshold </w:t>
      </w:r>
      <w:proofErr w:type="spellStart"/>
      <w:r>
        <w:t>τ_edge</w:t>
      </w:r>
      <w:proofErr w:type="spellEnd"/>
      <w:r>
        <w:t>; forecasting horizon h; lookback L.</w:t>
      </w:r>
    </w:p>
    <w:p w14:paraId="6C3FCA96" w14:textId="0AB2B52B" w:rsidR="001F525C" w:rsidRDefault="001F525C" w:rsidP="001F525C">
      <w:pPr>
        <w:pStyle w:val="TableCaption"/>
      </w:pPr>
      <w:r w:rsidRPr="001F525C">
        <w:rPr>
          <w:b/>
          <w:bCs/>
        </w:rPr>
        <w:t>Output</w:t>
      </w:r>
      <w:r>
        <w:t>:</w:t>
      </w:r>
      <w:r>
        <w:tab/>
      </w:r>
      <w:r>
        <w:t xml:space="preserve"> </w:t>
      </w:r>
      <w:r>
        <w:t>Forecasts y ̂_(</w:t>
      </w:r>
      <w:proofErr w:type="spellStart"/>
      <w:proofErr w:type="gramStart"/>
      <w:r>
        <w:t>i,t</w:t>
      </w:r>
      <w:proofErr w:type="gramEnd"/>
      <w:r>
        <w:t>+h</w:t>
      </w:r>
      <w:proofErr w:type="spellEnd"/>
      <w:r>
        <w:t>) for selected tokens; ablation metrics; baseline metrics; significance results.</w:t>
      </w:r>
    </w:p>
    <w:p w14:paraId="664BBF52" w14:textId="77777777" w:rsidR="001F525C" w:rsidRPr="001F525C" w:rsidRDefault="001F525C" w:rsidP="001F525C">
      <w:pPr>
        <w:pStyle w:val="TableCaption"/>
        <w:rPr>
          <w:highlight w:val="yellow"/>
        </w:rPr>
      </w:pPr>
      <w:r>
        <w:tab/>
      </w:r>
      <w:r w:rsidRPr="001F525C">
        <w:rPr>
          <w:highlight w:val="yellow"/>
        </w:rPr>
        <w:t xml:space="preserve">1: For each token </w:t>
      </w:r>
      <w:proofErr w:type="spellStart"/>
      <w:r w:rsidRPr="001F525C">
        <w:rPr>
          <w:highlight w:val="yellow"/>
        </w:rPr>
        <w:t>M_i</w:t>
      </w:r>
      <w:r w:rsidRPr="001F525C">
        <w:rPr>
          <w:rFonts w:ascii="Cambria Math" w:hAnsi="Cambria Math" w:cs="Cambria Math"/>
          <w:highlight w:val="yellow"/>
        </w:rPr>
        <w:t>∈</w:t>
      </w:r>
      <w:r w:rsidRPr="001F525C">
        <w:rPr>
          <w:highlight w:val="yellow"/>
        </w:rPr>
        <w:t>M</w:t>
      </w:r>
      <w:proofErr w:type="spellEnd"/>
      <w:r w:rsidRPr="001F525C">
        <w:rPr>
          <w:highlight w:val="yellow"/>
        </w:rPr>
        <w:t>, sentiment is extracted or read from the pre-aligned sentiment fields and normalized by liquidity proxies.</w:t>
      </w:r>
    </w:p>
    <w:p w14:paraId="02F79D1C" w14:textId="77777777" w:rsidR="001F525C" w:rsidRPr="001F525C" w:rsidRDefault="001F525C" w:rsidP="001F525C">
      <w:pPr>
        <w:pStyle w:val="TableCaption"/>
        <w:rPr>
          <w:highlight w:val="yellow"/>
        </w:rPr>
      </w:pPr>
      <w:r w:rsidRPr="001F525C">
        <w:rPr>
          <w:highlight w:val="yellow"/>
        </w:rPr>
        <w:tab/>
        <w:t xml:space="preserve">2: Trend scores </w:t>
      </w:r>
      <w:proofErr w:type="spellStart"/>
      <w:r w:rsidRPr="001F525C">
        <w:rPr>
          <w:highlight w:val="yellow"/>
        </w:rPr>
        <w:t>μ_trend</w:t>
      </w:r>
      <w:proofErr w:type="spellEnd"/>
      <w:r w:rsidRPr="001F525C">
        <w:rPr>
          <w:highlight w:val="yellow"/>
        </w:rPr>
        <w:t xml:space="preserve"> (</w:t>
      </w:r>
      <w:proofErr w:type="spellStart"/>
      <w:r w:rsidRPr="001F525C">
        <w:rPr>
          <w:highlight w:val="yellow"/>
        </w:rPr>
        <w:t>M_</w:t>
      </w:r>
      <w:proofErr w:type="gramStart"/>
      <w:r w:rsidRPr="001F525C">
        <w:rPr>
          <w:highlight w:val="yellow"/>
        </w:rPr>
        <w:t>i</w:t>
      </w:r>
      <w:proofErr w:type="spellEnd"/>
      <w:r w:rsidRPr="001F525C">
        <w:rPr>
          <w:highlight w:val="yellow"/>
        </w:rPr>
        <w:t xml:space="preserve"> )</w:t>
      </w:r>
      <w:proofErr w:type="gramEnd"/>
      <w:r w:rsidRPr="001F525C">
        <w:rPr>
          <w:highlight w:val="yellow"/>
        </w:rPr>
        <w:t xml:space="preserve"> are computed from sentiment, volatility, momentum, and market variables.</w:t>
      </w:r>
    </w:p>
    <w:p w14:paraId="7052F95C" w14:textId="77777777" w:rsidR="001F525C" w:rsidRPr="001F525C" w:rsidRDefault="001F525C" w:rsidP="001F525C">
      <w:pPr>
        <w:pStyle w:val="TableCaption"/>
        <w:rPr>
          <w:highlight w:val="yellow"/>
        </w:rPr>
      </w:pPr>
      <w:r w:rsidRPr="001F525C">
        <w:rPr>
          <w:highlight w:val="yellow"/>
        </w:rPr>
        <w:tab/>
        <w:t>3: Tokens whose trend scores or coverage failed the predefined thresholds are moved to the rejection set; the remaining tokens are retained for graph construction.</w:t>
      </w:r>
    </w:p>
    <w:p w14:paraId="3A35357C" w14:textId="77777777" w:rsidR="001F525C" w:rsidRPr="001F525C" w:rsidRDefault="001F525C" w:rsidP="001F525C">
      <w:pPr>
        <w:pStyle w:val="TableCaption"/>
        <w:rPr>
          <w:highlight w:val="yellow"/>
        </w:rPr>
      </w:pPr>
      <w:r w:rsidRPr="001F525C">
        <w:rPr>
          <w:highlight w:val="yellow"/>
        </w:rPr>
        <w:tab/>
        <w:t>4: Rolling volatility profiles and sentiment trajectories are computed for each retained token.</w:t>
      </w:r>
    </w:p>
    <w:p w14:paraId="2651B894" w14:textId="77777777" w:rsidR="001F525C" w:rsidRPr="001F525C" w:rsidRDefault="001F525C" w:rsidP="001F525C">
      <w:pPr>
        <w:pStyle w:val="TableCaption"/>
        <w:rPr>
          <w:highlight w:val="yellow"/>
        </w:rPr>
      </w:pPr>
      <w:r w:rsidRPr="001F525C">
        <w:rPr>
          <w:highlight w:val="yellow"/>
        </w:rPr>
        <w:tab/>
        <w:t>5: Pairwise similarity, aggregated trend, aggregated risk, and confidence scores are computed for token pairs.</w:t>
      </w:r>
    </w:p>
    <w:p w14:paraId="2822DA23" w14:textId="77777777" w:rsidR="001F525C" w:rsidRPr="001F525C" w:rsidRDefault="001F525C" w:rsidP="001F525C">
      <w:pPr>
        <w:pStyle w:val="TableCaption"/>
        <w:rPr>
          <w:highlight w:val="yellow"/>
        </w:rPr>
      </w:pPr>
      <w:r w:rsidRPr="001F525C">
        <w:rPr>
          <w:highlight w:val="yellow"/>
        </w:rPr>
        <w:tab/>
        <w:t xml:space="preserve">6: A weighted undirected token graph is constructed by placing an edge between tokens whose pairwise confidence exceeded </w:t>
      </w:r>
      <w:proofErr w:type="spellStart"/>
      <w:r w:rsidRPr="001F525C">
        <w:rPr>
          <w:highlight w:val="yellow"/>
        </w:rPr>
        <w:t>τ_edge</w:t>
      </w:r>
      <w:proofErr w:type="spellEnd"/>
      <w:r w:rsidRPr="001F525C">
        <w:rPr>
          <w:highlight w:val="yellow"/>
        </w:rPr>
        <w:t>.</w:t>
      </w:r>
    </w:p>
    <w:p w14:paraId="5C17386B" w14:textId="77777777" w:rsidR="001F525C" w:rsidRPr="001F525C" w:rsidRDefault="001F525C" w:rsidP="001F525C">
      <w:pPr>
        <w:pStyle w:val="TableCaption"/>
        <w:rPr>
          <w:highlight w:val="yellow"/>
        </w:rPr>
      </w:pPr>
      <w:r w:rsidRPr="001F525C">
        <w:rPr>
          <w:highlight w:val="yellow"/>
        </w:rPr>
        <w:tab/>
        <w:t>7: Highly redundant or highly volatile token neighborhoods are filtered through maximal-independent-set selection to produce a diversified token support subset.</w:t>
      </w:r>
    </w:p>
    <w:p w14:paraId="01DC5A8F" w14:textId="77777777" w:rsidR="001F525C" w:rsidRPr="001F525C" w:rsidRDefault="001F525C" w:rsidP="001F525C">
      <w:pPr>
        <w:pStyle w:val="TableCaption"/>
        <w:rPr>
          <w:highlight w:val="yellow"/>
        </w:rPr>
      </w:pPr>
      <w:r w:rsidRPr="001F525C">
        <w:rPr>
          <w:highlight w:val="yellow"/>
        </w:rPr>
        <w:tab/>
        <w:t>8: A sequence model is trained on the selected support context; in the full configuration, MAML inner-loop adaptation and outer-loop meta-optimization are applied across token tasks.</w:t>
      </w:r>
    </w:p>
    <w:p w14:paraId="7D8AD2D2" w14:textId="77777777" w:rsidR="001F525C" w:rsidRPr="001F525C" w:rsidRDefault="001F525C" w:rsidP="001F525C">
      <w:pPr>
        <w:pStyle w:val="TableCaption"/>
        <w:rPr>
          <w:highlight w:val="yellow"/>
        </w:rPr>
      </w:pPr>
      <w:r w:rsidRPr="001F525C">
        <w:rPr>
          <w:highlight w:val="yellow"/>
        </w:rPr>
        <w:tab/>
        <w:t>9: Three-day-ahead forecasts are generated for each modeled token under chronological splits.</w:t>
      </w:r>
    </w:p>
    <w:p w14:paraId="4F5793BD" w14:textId="518D0FED" w:rsidR="001F525C" w:rsidRDefault="001F525C" w:rsidP="001F525C">
      <w:pPr>
        <w:pStyle w:val="TableCaption"/>
      </w:pPr>
      <w:r w:rsidRPr="001F525C">
        <w:rPr>
          <w:highlight w:val="yellow"/>
        </w:rPr>
        <w:tab/>
        <w:t>10: Baselines, sequential ablations, paired Wilcoxon tests with Holm correction, and robustness sweeps are executed on the same deterministic token subset.</w:t>
      </w:r>
    </w:p>
    <w:p w14:paraId="2BA8E82A" w14:textId="4DFC3F06" w:rsidR="001F525C" w:rsidRDefault="001F525C" w:rsidP="001F525C">
      <w:pPr>
        <w:pStyle w:val="TableCaption"/>
      </w:pPr>
    </w:p>
    <w:p w14:paraId="610AA830" w14:textId="52825598" w:rsidR="001F525C" w:rsidRPr="0049797D" w:rsidRDefault="001F525C" w:rsidP="001F525C">
      <w:pPr>
        <w:pStyle w:val="TableCaption"/>
        <w:rPr>
          <w:b/>
          <w:bCs/>
          <w:sz w:val="32"/>
          <w:szCs w:val="32"/>
        </w:rPr>
      </w:pPr>
      <w:r w:rsidRPr="0049797D">
        <w:rPr>
          <w:b/>
          <w:bCs/>
          <w:sz w:val="32"/>
          <w:szCs w:val="32"/>
          <w:highlight w:val="cyan"/>
        </w:rPr>
        <w:t>Write down algorithm in proper format</w:t>
      </w:r>
    </w:p>
    <w:p w14:paraId="2783706A" w14:textId="77777777" w:rsidR="00EB0B3D" w:rsidRPr="00A1631D" w:rsidRDefault="00D44EF6" w:rsidP="00A1631D">
      <w:pPr>
        <w:pStyle w:val="Heading1"/>
      </w:pPr>
      <w:bookmarkStart w:id="9" w:name="X055f37d253d483da6b826e192f5148f669da7b6"/>
      <w:bookmarkEnd w:id="6"/>
      <w:bookmarkEnd w:id="7"/>
      <w:bookmarkEnd w:id="8"/>
      <w:r w:rsidRPr="00A1631D">
        <w:t>Experimental Setup, Baselines, and Hyperparameters</w:t>
      </w:r>
    </w:p>
    <w:p w14:paraId="787C50D8" w14:textId="4AD62FEC" w:rsidR="00EB0B3D" w:rsidRDefault="00D44EF6" w:rsidP="00AE51E5">
      <w:pPr>
        <w:pStyle w:val="FirstParagraph"/>
        <w:jc w:val="both"/>
      </w:pPr>
      <w:r>
        <w:t>The main experime</w:t>
      </w:r>
      <w:r>
        <w:t xml:space="preserve">nt used a chronological 80:20 split, a forecasting horizon of three days, a lookback window of fourteen days, and three random seeds for PRISM. A chronological split </w:t>
      </w:r>
      <w:r w:rsidR="00F924CA">
        <w:t>is</w:t>
      </w:r>
      <w:r>
        <w:t xml:space="preserve"> adopted because it is standard for non-stationary financial series: it prevents look-a</w:t>
      </w:r>
      <w:r>
        <w:t xml:space="preserve">head bias, preserves temporal causality, and approximates the condition in which a model is trained only on information available before the test period. The Adam optimizer </w:t>
      </w:r>
      <w:r w:rsidR="00F924CA">
        <w:t>is</w:t>
      </w:r>
      <w:r>
        <w:t xml:space="preserve"> used with learning rate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>, batch size 64, and 200 epochs with early stopping</w:t>
      </w:r>
      <w:r>
        <w:t xml:space="preserve"> patience of 20. Inner-loop and outer-loop MAML settings </w:t>
      </w:r>
      <w:r w:rsidR="00F924CA">
        <w:t>are</w:t>
      </w:r>
      <w:r>
        <w:t xml:space="preserve"> fixed at 5 and 200 steps, respectively, with inner-loop learning rate 0.01. The graph threshold </w:t>
      </w:r>
      <w:r w:rsidR="00F924CA">
        <w:t>is</w:t>
      </w:r>
      <w:r>
        <w:t xml:space="preserve"> set to 0.5. These settings </w:t>
      </w:r>
      <w:r w:rsidR="00F924CA">
        <w:t>are</w:t>
      </w:r>
      <w:r>
        <w:t xml:space="preserve"> drawn from the validated experiment registry and are reported </w:t>
      </w:r>
      <w:r>
        <w:t>explicitly in Table </w:t>
      </w:r>
      <w:hyperlink w:anchor="tab:hyp">
        <w:r w:rsidR="001827D4">
          <w:rPr>
            <w:rStyle w:val="Hyperlink"/>
          </w:rPr>
          <w:t>3</w:t>
        </w:r>
      </w:hyperlink>
      <w:r>
        <w:t>.</w:t>
      </w:r>
    </w:p>
    <w:p w14:paraId="54367377" w14:textId="03B0F734" w:rsidR="00EB0B3D" w:rsidRDefault="00D44EF6" w:rsidP="00AE51E5">
      <w:pPr>
        <w:pStyle w:val="BodyText"/>
        <w:jc w:val="both"/>
      </w:pPr>
      <w:r>
        <w:t xml:space="preserve">The baseline suite </w:t>
      </w:r>
      <w:r w:rsidR="00607CFE">
        <w:t>consists</w:t>
      </w:r>
      <w:r>
        <w:t xml:space="preserve"> of Persistence, ARIMA, Prophet, Random Forest, </w:t>
      </w:r>
      <w:proofErr w:type="spellStart"/>
      <w:r>
        <w:t>XGBoost</w:t>
      </w:r>
      <w:proofErr w:type="spellEnd"/>
      <w:r>
        <w:t xml:space="preserve">, GRU, and LSTM. However, the exported GRU and LSTM results in the validated execution bundle </w:t>
      </w:r>
      <w:r w:rsidR="00F924CA">
        <w:t>are</w:t>
      </w:r>
      <w:r>
        <w:t xml:space="preserve"> generated by document</w:t>
      </w:r>
      <w:r>
        <w:t xml:space="preserve">ed surrogate backends rather than by full recurrent implementations. Those comparisons </w:t>
      </w:r>
      <w:r w:rsidR="00F924CA">
        <w:t>are</w:t>
      </w:r>
      <w:r>
        <w:t xml:space="preserve"> retained for completeness but interpreted conservatively. The key purpose of the baseline suite </w:t>
      </w:r>
      <w:r w:rsidR="00F924CA">
        <w:t>is</w:t>
      </w:r>
      <w:r>
        <w:t xml:space="preserve"> not to create an artificially weak comparison set, but to determ</w:t>
      </w:r>
      <w:r>
        <w:t>ine whether the proposed multi-modal system would continue to improve over simple and strong alternatives evaluated on the same token subset.</w:t>
      </w:r>
    </w:p>
    <w:p w14:paraId="47F885F4" w14:textId="429114A6" w:rsidR="00EB0B3D" w:rsidRDefault="00D44EF6" w:rsidP="00AE51E5">
      <w:pPr>
        <w:pStyle w:val="BodyText"/>
        <w:jc w:val="both"/>
      </w:pPr>
      <w:r>
        <w:lastRenderedPageBreak/>
        <w:t xml:space="preserve">Performance </w:t>
      </w:r>
      <w:r w:rsidR="00F924CA">
        <w:t>is</w:t>
      </w:r>
      <w:r>
        <w:t xml:space="preserve"> summarized with MAE, RMSE, and auxiliary percentage errors, while ROI </w:t>
      </w:r>
      <w:r w:rsidR="00F924CA">
        <w:t>is</w:t>
      </w:r>
      <w:r>
        <w:t xml:space="preserve"> retained only as a secon</w:t>
      </w:r>
      <w:r>
        <w:t xml:space="preserve">dary descriptive statistic. Statistical significance </w:t>
      </w:r>
      <w:r w:rsidR="00F924CA">
        <w:t>is</w:t>
      </w:r>
      <w:r>
        <w:t xml:space="preserve"> evaluated using paired Wilcoxon signed-rank tests with Holm correction at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</m:t>
        </m:r>
      </m:oMath>
      <w:r>
        <w:t xml:space="preserve">. In </w:t>
      </w:r>
      <w:r w:rsidRPr="00607CFE">
        <w:rPr>
          <w:highlight w:val="cyan"/>
        </w:rPr>
        <w:t>response to the reviewer comments</w:t>
      </w:r>
      <w:r>
        <w:t xml:space="preserve">, all principal comparisons </w:t>
      </w:r>
      <w:r w:rsidR="00F924CA">
        <w:t>are</w:t>
      </w:r>
      <w:r>
        <w:t xml:space="preserve"> shifted from qualitative statements to paired s</w:t>
      </w:r>
      <w:proofErr w:type="spellStart"/>
      <w:r>
        <w:t>tatistical</w:t>
      </w:r>
      <w:proofErr w:type="spellEnd"/>
      <w:r>
        <w:t xml:space="preserve"> tests. Robustness </w:t>
      </w:r>
      <w:r w:rsidR="00F924CA">
        <w:t>is</w:t>
      </w:r>
      <w:r>
        <w:t xml:space="preserve"> examined by varying the train ratio over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0.7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0.9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and the lookback window over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days.</w:t>
      </w:r>
    </w:p>
    <w:p w14:paraId="2437C6CC" w14:textId="23A4A50C" w:rsidR="00EB0B3D" w:rsidRPr="001827D4" w:rsidRDefault="001827D4" w:rsidP="00A755F6">
      <w:pPr>
        <w:pStyle w:val="TableCaption"/>
        <w:jc w:val="center"/>
        <w:rPr>
          <w:b/>
          <w:bCs/>
          <w:sz w:val="20"/>
          <w:szCs w:val="20"/>
        </w:rPr>
      </w:pPr>
      <w:bookmarkStart w:id="10" w:name="tab:hyp"/>
      <w:r w:rsidRPr="001827D4">
        <w:rPr>
          <w:b/>
          <w:bCs/>
          <w:sz w:val="20"/>
          <w:szCs w:val="20"/>
        </w:rPr>
        <w:t xml:space="preserve">Table </w:t>
      </w:r>
      <w:r>
        <w:rPr>
          <w:b/>
          <w:bCs/>
          <w:sz w:val="20"/>
          <w:szCs w:val="20"/>
        </w:rPr>
        <w:t>3.</w:t>
      </w:r>
      <w:r w:rsidRPr="001827D4">
        <w:rPr>
          <w:b/>
          <w:bCs/>
          <w:sz w:val="20"/>
          <w:szCs w:val="20"/>
        </w:rPr>
        <w:t xml:space="preserve"> Main hyperparameters and baseline implementation notes.</w:t>
      </w:r>
    </w:p>
    <w:tbl>
      <w:tblPr>
        <w:tblStyle w:val="Table"/>
        <w:tblW w:w="101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29"/>
        <w:gridCol w:w="7223"/>
      </w:tblGrid>
      <w:tr w:rsidR="00EB0B3D" w14:paraId="52204B9F" w14:textId="77777777" w:rsidTr="00AE51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0AD23BD5" w14:textId="77777777" w:rsidR="00EB0B3D" w:rsidRDefault="00D44EF6" w:rsidP="00AE51E5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Setting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E4E04F0" w14:textId="77777777" w:rsidR="00EB0B3D" w:rsidRDefault="00D44EF6" w:rsidP="00AE51E5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Value</w:t>
            </w:r>
          </w:p>
        </w:tc>
      </w:tr>
      <w:tr w:rsidR="00EB0B3D" w14:paraId="01BC9E96" w14:textId="77777777" w:rsidTr="00AE51E5">
        <w:trPr>
          <w:jc w:val="center"/>
        </w:trPr>
        <w:tc>
          <w:tcPr>
            <w:tcW w:w="0" w:type="auto"/>
          </w:tcPr>
          <w:p w14:paraId="3C01E3D6" w14:textId="77777777" w:rsidR="00EB0B3D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Optimizer / learning rate</w:t>
            </w:r>
          </w:p>
        </w:tc>
        <w:tc>
          <w:tcPr>
            <w:tcW w:w="0" w:type="auto"/>
          </w:tcPr>
          <w:p w14:paraId="2F8E50C0" w14:textId="77777777" w:rsidR="00EB0B3D" w:rsidRPr="001F525C" w:rsidRDefault="00D44EF6" w:rsidP="003D47C7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Adam / 0.001</w:t>
            </w:r>
          </w:p>
        </w:tc>
      </w:tr>
      <w:tr w:rsidR="00EB0B3D" w14:paraId="28D49A87" w14:textId="77777777" w:rsidTr="00AE51E5">
        <w:trPr>
          <w:jc w:val="center"/>
        </w:trPr>
        <w:tc>
          <w:tcPr>
            <w:tcW w:w="0" w:type="auto"/>
          </w:tcPr>
          <w:p w14:paraId="3C1C82E3" w14:textId="77777777" w:rsidR="00EB0B3D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Batch size / epochs / early stopping</w:t>
            </w:r>
          </w:p>
        </w:tc>
        <w:tc>
          <w:tcPr>
            <w:tcW w:w="0" w:type="auto"/>
          </w:tcPr>
          <w:p w14:paraId="2CD60041" w14:textId="77777777" w:rsidR="00EB0B3D" w:rsidRPr="001F525C" w:rsidRDefault="00D44EF6" w:rsidP="003D47C7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64 / 200 / patience 20</w:t>
            </w:r>
          </w:p>
        </w:tc>
      </w:tr>
      <w:tr w:rsidR="00EB0B3D" w14:paraId="047BA955" w14:textId="77777777" w:rsidTr="00AE51E5">
        <w:trPr>
          <w:jc w:val="center"/>
        </w:trPr>
        <w:tc>
          <w:tcPr>
            <w:tcW w:w="0" w:type="auto"/>
          </w:tcPr>
          <w:p w14:paraId="7F38E982" w14:textId="77777777" w:rsidR="00EB0B3D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MAML inner steps / outer steps / inner LR</w:t>
            </w:r>
          </w:p>
        </w:tc>
        <w:tc>
          <w:tcPr>
            <w:tcW w:w="0" w:type="auto"/>
          </w:tcPr>
          <w:p w14:paraId="45631078" w14:textId="77777777" w:rsidR="00EB0B3D" w:rsidRPr="001F525C" w:rsidRDefault="00D44EF6" w:rsidP="003D47C7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5 / 200 / 0.01</w:t>
            </w:r>
          </w:p>
        </w:tc>
      </w:tr>
      <w:tr w:rsidR="00EB0B3D" w14:paraId="3FD37950" w14:textId="77777777" w:rsidTr="00AE51E5">
        <w:trPr>
          <w:jc w:val="center"/>
        </w:trPr>
        <w:tc>
          <w:tcPr>
            <w:tcW w:w="0" w:type="auto"/>
          </w:tcPr>
          <w:p w14:paraId="171BDE46" w14:textId="77777777" w:rsidR="00EB0B3D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Graph threshold / volatility window</w:t>
            </w:r>
          </w:p>
        </w:tc>
        <w:tc>
          <w:tcPr>
            <w:tcW w:w="0" w:type="auto"/>
          </w:tcPr>
          <w:p w14:paraId="232AE658" w14:textId="77777777" w:rsidR="00EB0B3D" w:rsidRPr="001F525C" w:rsidRDefault="00D44EF6" w:rsidP="003D47C7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0.5 / 14 days</w:t>
            </w:r>
          </w:p>
        </w:tc>
      </w:tr>
      <w:tr w:rsidR="00EB0B3D" w14:paraId="7932681D" w14:textId="77777777" w:rsidTr="00AE51E5">
        <w:trPr>
          <w:jc w:val="center"/>
        </w:trPr>
        <w:tc>
          <w:tcPr>
            <w:tcW w:w="0" w:type="auto"/>
          </w:tcPr>
          <w:p w14:paraId="2EE1C682" w14:textId="77777777" w:rsidR="00EB0B3D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Main train ratio / lookback / horizon</w:t>
            </w:r>
          </w:p>
        </w:tc>
        <w:tc>
          <w:tcPr>
            <w:tcW w:w="0" w:type="auto"/>
          </w:tcPr>
          <w:p w14:paraId="268937E7" w14:textId="77777777" w:rsidR="00EB0B3D" w:rsidRPr="001F525C" w:rsidRDefault="00D44EF6" w:rsidP="003D47C7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0.8 / 14 days / 3 days</w:t>
            </w:r>
          </w:p>
        </w:tc>
      </w:tr>
      <w:tr w:rsidR="00EB0B3D" w14:paraId="77628C98" w14:textId="77777777" w:rsidTr="00AE51E5">
        <w:trPr>
          <w:jc w:val="center"/>
        </w:trPr>
        <w:tc>
          <w:tcPr>
            <w:tcW w:w="0" w:type="auto"/>
          </w:tcPr>
          <w:p w14:paraId="1DD12084" w14:textId="77777777" w:rsidR="00EB0B3D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Random seeds</w:t>
            </w:r>
          </w:p>
        </w:tc>
        <w:tc>
          <w:tcPr>
            <w:tcW w:w="0" w:type="auto"/>
          </w:tcPr>
          <w:p w14:paraId="7AD924B7" w14:textId="77777777" w:rsidR="00EB0B3D" w:rsidRPr="001F525C" w:rsidRDefault="00D44EF6" w:rsidP="003D47C7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 xml:space="preserve">11, 17, </w:t>
            </w:r>
            <w:r w:rsidRPr="001F525C">
              <w:rPr>
                <w:sz w:val="20"/>
                <w:szCs w:val="20"/>
              </w:rPr>
              <w:t>23</w:t>
            </w:r>
          </w:p>
        </w:tc>
      </w:tr>
      <w:tr w:rsidR="00EB0B3D" w14:paraId="4CD4FAE9" w14:textId="77777777" w:rsidTr="00AE51E5">
        <w:trPr>
          <w:jc w:val="center"/>
        </w:trPr>
        <w:tc>
          <w:tcPr>
            <w:tcW w:w="0" w:type="auto"/>
          </w:tcPr>
          <w:p w14:paraId="1AB896D6" w14:textId="77777777" w:rsidR="00EB0B3D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Significance test</w:t>
            </w:r>
          </w:p>
        </w:tc>
        <w:tc>
          <w:tcPr>
            <w:tcW w:w="0" w:type="auto"/>
          </w:tcPr>
          <w:p w14:paraId="367F4DB5" w14:textId="77777777" w:rsidR="00EB0B3D" w:rsidRPr="001F525C" w:rsidRDefault="00D44EF6" w:rsidP="003D47C7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Paired Wilcoxon signed-rank with Holm correction</w:t>
            </w:r>
          </w:p>
        </w:tc>
      </w:tr>
      <w:tr w:rsidR="00EB0B3D" w14:paraId="353B7F14" w14:textId="77777777" w:rsidTr="00AE51E5">
        <w:trPr>
          <w:jc w:val="center"/>
        </w:trPr>
        <w:tc>
          <w:tcPr>
            <w:tcW w:w="0" w:type="auto"/>
          </w:tcPr>
          <w:p w14:paraId="21AA948A" w14:textId="77777777" w:rsidR="00EB0B3D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Documented baseline backends</w:t>
            </w:r>
          </w:p>
        </w:tc>
        <w:tc>
          <w:tcPr>
            <w:tcW w:w="0" w:type="auto"/>
          </w:tcPr>
          <w:p w14:paraId="28112815" w14:textId="77777777" w:rsidR="00EB0B3D" w:rsidRPr="001F525C" w:rsidRDefault="00D44EF6" w:rsidP="003D47C7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 xml:space="preserve">Persistence, ARIMA, Prophet, Random Forest, </w:t>
            </w:r>
            <w:proofErr w:type="spellStart"/>
            <w:r w:rsidRPr="001F525C">
              <w:rPr>
                <w:sz w:val="20"/>
                <w:szCs w:val="20"/>
              </w:rPr>
              <w:t>XGBoost</w:t>
            </w:r>
            <w:proofErr w:type="spellEnd"/>
          </w:p>
        </w:tc>
      </w:tr>
      <w:tr w:rsidR="00EB0B3D" w14:paraId="38B18A3C" w14:textId="77777777" w:rsidTr="00AE51E5">
        <w:trPr>
          <w:jc w:val="center"/>
        </w:trPr>
        <w:tc>
          <w:tcPr>
            <w:tcW w:w="0" w:type="auto"/>
          </w:tcPr>
          <w:p w14:paraId="4686E6C0" w14:textId="77777777" w:rsidR="00EB0B3D" w:rsidRPr="001F525C" w:rsidRDefault="00D44EF6">
            <w:pPr>
              <w:pStyle w:val="Compact"/>
              <w:spacing w:before="0" w:after="40" w:line="240" w:lineRule="auto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>Cautionary note</w:t>
            </w:r>
          </w:p>
        </w:tc>
        <w:tc>
          <w:tcPr>
            <w:tcW w:w="0" w:type="auto"/>
          </w:tcPr>
          <w:p w14:paraId="404F2E57" w14:textId="0EC7A9E9" w:rsidR="00EB0B3D" w:rsidRPr="001F525C" w:rsidRDefault="00D44EF6" w:rsidP="003D47C7">
            <w:pPr>
              <w:pStyle w:val="Compact"/>
              <w:spacing w:before="0" w:after="40" w:line="240" w:lineRule="auto"/>
              <w:jc w:val="center"/>
              <w:rPr>
                <w:sz w:val="20"/>
                <w:szCs w:val="20"/>
              </w:rPr>
            </w:pPr>
            <w:r w:rsidRPr="001F525C">
              <w:rPr>
                <w:sz w:val="20"/>
                <w:szCs w:val="20"/>
              </w:rPr>
              <w:t xml:space="preserve">Exported GRU and LSTM results </w:t>
            </w:r>
            <w:r w:rsidR="00F924CA" w:rsidRPr="001F525C">
              <w:rPr>
                <w:sz w:val="20"/>
                <w:szCs w:val="20"/>
              </w:rPr>
              <w:t>are</w:t>
            </w:r>
            <w:r w:rsidRPr="001F525C">
              <w:rPr>
                <w:sz w:val="20"/>
                <w:szCs w:val="20"/>
              </w:rPr>
              <w:t xml:space="preserve"> generated by documented surrogate backends and </w:t>
            </w:r>
            <w:r w:rsidR="00F924CA" w:rsidRPr="001F525C">
              <w:rPr>
                <w:sz w:val="20"/>
                <w:szCs w:val="20"/>
              </w:rPr>
              <w:t>are</w:t>
            </w:r>
            <w:r w:rsidRPr="001F525C">
              <w:rPr>
                <w:sz w:val="20"/>
                <w:szCs w:val="20"/>
              </w:rPr>
              <w:t xml:space="preserve"> interpreted conservatively</w:t>
            </w:r>
          </w:p>
        </w:tc>
      </w:tr>
    </w:tbl>
    <w:p w14:paraId="34D5500B" w14:textId="77777777" w:rsidR="00A755F6" w:rsidRDefault="00A755F6" w:rsidP="00607CFE">
      <w:pPr>
        <w:pStyle w:val="Heading1"/>
        <w:spacing w:before="0"/>
        <w:rPr>
          <w:rFonts w:ascii="Times New Roman" w:hAnsi="Times New Roman"/>
          <w:sz w:val="22"/>
        </w:rPr>
      </w:pPr>
      <w:bookmarkStart w:id="11" w:name="X3b0d98ba7f66c2e4f95ef75c1c2b906267b8a5a"/>
      <w:bookmarkEnd w:id="9"/>
      <w:bookmarkEnd w:id="10"/>
    </w:p>
    <w:p w14:paraId="0E10F658" w14:textId="04726D3C" w:rsidR="00EB0B3D" w:rsidRPr="00A1631D" w:rsidRDefault="00D44EF6" w:rsidP="00607CFE">
      <w:pPr>
        <w:pStyle w:val="Heading1"/>
        <w:spacing w:before="0"/>
      </w:pPr>
      <w:r w:rsidRPr="00A1631D">
        <w:t>Sequential Ablation and Incremental Contribution Analysis</w:t>
      </w:r>
    </w:p>
    <w:p w14:paraId="3BC73994" w14:textId="50D8A2EC" w:rsidR="00EB0B3D" w:rsidRDefault="00D44EF6" w:rsidP="00CA17F0">
      <w:pPr>
        <w:pStyle w:val="FirstParagraph"/>
        <w:jc w:val="both"/>
      </w:pPr>
      <w:r>
        <w:t>The sequential ablation results are shown in Table </w:t>
      </w:r>
      <w:hyperlink w:anchor="tab:ablation">
        <w:r w:rsidR="003D47C7">
          <w:rPr>
            <w:rStyle w:val="Hyperlink"/>
          </w:rPr>
          <w:t>4</w:t>
        </w:r>
      </w:hyperlink>
      <w:r>
        <w:t xml:space="preserve"> and Figure </w:t>
      </w:r>
      <w:hyperlink w:anchor="figure2">
        <w:r w:rsidR="00EB0B3D">
          <w:rPr>
            <w:rStyle w:val="Hyperlink"/>
          </w:rPr>
          <w:t>2</w:t>
        </w:r>
      </w:hyperlink>
      <w:r>
        <w:t xml:space="preserve">. A strict monotonic reduction in </w:t>
      </w:r>
      <w:r>
        <w:t xml:space="preserve">mean error </w:t>
      </w:r>
      <w:r w:rsidR="00F924CA">
        <w:t>is</w:t>
      </w:r>
      <w:r>
        <w:t xml:space="preserve"> observed from V0 through V3. The price-only baseline (V0) produced a mean MAE of 4.0539. When sentiment </w:t>
      </w:r>
      <w:r w:rsidR="00F924CA">
        <w:t>is</w:t>
      </w:r>
      <w:r>
        <w:t xml:space="preserve"> added in V1, mean MAE dropped to 0.6981. When the graph and diversification stage </w:t>
      </w:r>
      <w:r w:rsidR="00F924CA">
        <w:t>are</w:t>
      </w:r>
      <w:r>
        <w:t xml:space="preserve"> added in V2, mean MAE dropped further to 0.300</w:t>
      </w:r>
      <w:r>
        <w:t xml:space="preserve">5. The full PRISM configuration (V3) achieved a mean MAE of 0.1231 and a mean RMSE of 0.1479. Each adjacent improvement </w:t>
      </w:r>
      <w:r w:rsidR="00F924CA">
        <w:t>is</w:t>
      </w:r>
      <w:r>
        <w:t xml:space="preserve"> statistically significant under the paired Wilcoxon test after Holm correction.</w:t>
      </w:r>
    </w:p>
    <w:p w14:paraId="64F8B1AA" w14:textId="6A17D65E" w:rsidR="00EB0B3D" w:rsidRPr="00EF1FE6" w:rsidRDefault="001827D4">
      <w:pPr>
        <w:pStyle w:val="TableCaption"/>
        <w:rPr>
          <w:b/>
          <w:bCs/>
          <w:sz w:val="20"/>
          <w:szCs w:val="20"/>
        </w:rPr>
      </w:pPr>
      <w:bookmarkStart w:id="12" w:name="tab:ablation"/>
      <w:r w:rsidRPr="00EF1FE6">
        <w:rPr>
          <w:b/>
          <w:bCs/>
          <w:sz w:val="20"/>
          <w:szCs w:val="20"/>
        </w:rPr>
        <w:t xml:space="preserve">Table 4. Sequential ablation results. Aggregate means are reported because the manuscript-facing v3 artifact did not export per-token standard deviations for every variant. Variance </w:t>
      </w:r>
      <w:r w:rsidR="00F924CA">
        <w:rPr>
          <w:b/>
          <w:bCs/>
          <w:sz w:val="20"/>
          <w:szCs w:val="20"/>
        </w:rPr>
        <w:t>is</w:t>
      </w:r>
      <w:r w:rsidRPr="00EF1FE6">
        <w:rPr>
          <w:b/>
          <w:bCs/>
          <w:sz w:val="20"/>
          <w:szCs w:val="20"/>
        </w:rPr>
        <w:t xml:space="preserve"> therefore handled through paired Wilcoxon signed-rank testing, Holm correction, and the robustness sweep.</w:t>
      </w:r>
    </w:p>
    <w:tbl>
      <w:tblPr>
        <w:tblStyle w:val="Table"/>
        <w:tblW w:w="0" w:type="auto"/>
        <w:tblInd w:w="1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16"/>
        <w:gridCol w:w="2638"/>
        <w:gridCol w:w="1121"/>
        <w:gridCol w:w="1221"/>
        <w:gridCol w:w="1968"/>
      </w:tblGrid>
      <w:tr w:rsidR="00EB0B3D" w14:paraId="700FACB3" w14:textId="77777777" w:rsidTr="00A75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3C4AADD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b/>
                <w:bCs/>
                <w:sz w:val="18"/>
              </w:rPr>
              <w:t>Variant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ADBAD8A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b/>
                <w:bCs/>
                <w:sz w:val="18"/>
              </w:rPr>
              <w:t>Descript</w:t>
            </w:r>
            <w:r>
              <w:rPr>
                <w:b/>
                <w:bCs/>
                <w:sz w:val="18"/>
              </w:rPr>
              <w:t>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89D4505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Mean MAE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46DD25E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Mean RMSE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42C3C3C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Holm-corrected result</w:t>
            </w:r>
          </w:p>
        </w:tc>
      </w:tr>
      <w:tr w:rsidR="00EB0B3D" w14:paraId="6D6D1D38" w14:textId="77777777" w:rsidTr="00A755F6">
        <w:tc>
          <w:tcPr>
            <w:tcW w:w="0" w:type="auto"/>
          </w:tcPr>
          <w:p w14:paraId="2461463E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V0</w:t>
            </w:r>
          </w:p>
        </w:tc>
        <w:tc>
          <w:tcPr>
            <w:tcW w:w="0" w:type="auto"/>
          </w:tcPr>
          <w:p w14:paraId="42D06BB3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Price-only LSTM</w:t>
            </w:r>
          </w:p>
        </w:tc>
        <w:tc>
          <w:tcPr>
            <w:tcW w:w="0" w:type="auto"/>
          </w:tcPr>
          <w:p w14:paraId="50C08E30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4.0539</w:t>
            </w:r>
          </w:p>
        </w:tc>
        <w:tc>
          <w:tcPr>
            <w:tcW w:w="0" w:type="auto"/>
          </w:tcPr>
          <w:p w14:paraId="061BB151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4.7381</w:t>
            </w:r>
          </w:p>
        </w:tc>
        <w:tc>
          <w:tcPr>
            <w:tcW w:w="0" w:type="auto"/>
          </w:tcPr>
          <w:p w14:paraId="6F6E16C9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–</w:t>
            </w:r>
          </w:p>
        </w:tc>
      </w:tr>
      <w:tr w:rsidR="00EB0B3D" w14:paraId="6CDD4D16" w14:textId="77777777" w:rsidTr="00A755F6">
        <w:tc>
          <w:tcPr>
            <w:tcW w:w="0" w:type="auto"/>
          </w:tcPr>
          <w:p w14:paraId="0E06E575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V1</w:t>
            </w:r>
          </w:p>
        </w:tc>
        <w:tc>
          <w:tcPr>
            <w:tcW w:w="0" w:type="auto"/>
          </w:tcPr>
          <w:p w14:paraId="399D7393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V0 + sentiment fusion</w:t>
            </w:r>
          </w:p>
        </w:tc>
        <w:tc>
          <w:tcPr>
            <w:tcW w:w="0" w:type="auto"/>
          </w:tcPr>
          <w:p w14:paraId="68679F79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0.6981</w:t>
            </w:r>
          </w:p>
        </w:tc>
        <w:tc>
          <w:tcPr>
            <w:tcW w:w="0" w:type="auto"/>
          </w:tcPr>
          <w:p w14:paraId="6A5DD353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0.7186</w:t>
            </w:r>
          </w:p>
        </w:tc>
        <w:tc>
          <w:tcPr>
            <w:tcW w:w="0" w:type="auto"/>
          </w:tcPr>
          <w:p w14:paraId="2C810659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 xml:space="preserve">V1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</m:oMath>
            <w:r>
              <w:rPr>
                <w:sz w:val="18"/>
              </w:rPr>
              <w:t xml:space="preserve"> V0,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</m:oMath>
          </w:p>
        </w:tc>
      </w:tr>
      <w:tr w:rsidR="00EB0B3D" w14:paraId="34D00449" w14:textId="77777777" w:rsidTr="00A755F6">
        <w:tc>
          <w:tcPr>
            <w:tcW w:w="0" w:type="auto"/>
          </w:tcPr>
          <w:p w14:paraId="00E32D26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V2</w:t>
            </w:r>
          </w:p>
        </w:tc>
        <w:tc>
          <w:tcPr>
            <w:tcW w:w="0" w:type="auto"/>
          </w:tcPr>
          <w:p w14:paraId="2647AA80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V1 + graph + MIS diversification</w:t>
            </w:r>
          </w:p>
        </w:tc>
        <w:tc>
          <w:tcPr>
            <w:tcW w:w="0" w:type="auto"/>
          </w:tcPr>
          <w:p w14:paraId="2664C3F9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0.3005</w:t>
            </w:r>
          </w:p>
        </w:tc>
        <w:tc>
          <w:tcPr>
            <w:tcW w:w="0" w:type="auto"/>
          </w:tcPr>
          <w:p w14:paraId="02BEF3C7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0.3082</w:t>
            </w:r>
          </w:p>
        </w:tc>
        <w:tc>
          <w:tcPr>
            <w:tcW w:w="0" w:type="auto"/>
          </w:tcPr>
          <w:p w14:paraId="729AB99F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 xml:space="preserve">V2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</m:oMath>
            <w:r>
              <w:rPr>
                <w:sz w:val="18"/>
              </w:rPr>
              <w:t xml:space="preserve"> V1,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40</m:t>
                  </m:r>
                </m:sup>
              </m:sSup>
            </m:oMath>
          </w:p>
        </w:tc>
      </w:tr>
      <w:tr w:rsidR="00EB0B3D" w14:paraId="304A7656" w14:textId="77777777" w:rsidTr="00A755F6">
        <w:tc>
          <w:tcPr>
            <w:tcW w:w="0" w:type="auto"/>
          </w:tcPr>
          <w:p w14:paraId="2B412C87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V3</w:t>
            </w:r>
          </w:p>
        </w:tc>
        <w:tc>
          <w:tcPr>
            <w:tcW w:w="0" w:type="auto"/>
          </w:tcPr>
          <w:p w14:paraId="7E55FFDF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Full PRISM + MAML adaptation</w:t>
            </w:r>
          </w:p>
        </w:tc>
        <w:tc>
          <w:tcPr>
            <w:tcW w:w="0" w:type="auto"/>
          </w:tcPr>
          <w:p w14:paraId="4445FD21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0.1231</w:t>
            </w:r>
          </w:p>
        </w:tc>
        <w:tc>
          <w:tcPr>
            <w:tcW w:w="0" w:type="auto"/>
          </w:tcPr>
          <w:p w14:paraId="4C0CC337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0.1479</w:t>
            </w:r>
          </w:p>
        </w:tc>
        <w:tc>
          <w:tcPr>
            <w:tcW w:w="0" w:type="auto"/>
          </w:tcPr>
          <w:p w14:paraId="20A9E1DC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 xml:space="preserve">V3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</m:oMath>
            <w:r>
              <w:rPr>
                <w:sz w:val="18"/>
              </w:rPr>
              <w:t xml:space="preserve"> V2,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40</m:t>
                  </m:r>
                </m:sup>
              </m:sSup>
            </m:oMath>
          </w:p>
        </w:tc>
      </w:tr>
    </w:tbl>
    <w:bookmarkEnd w:id="12"/>
    <w:p w14:paraId="33AA8AAC" w14:textId="77777777" w:rsidR="00EB0B3D" w:rsidRDefault="00D44EF6" w:rsidP="00A755F6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2C674755" wp14:editId="112854FC">
            <wp:extent cx="5334000" cy="2992486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figures/figure3_ablati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96C2A0" w14:textId="482188C4" w:rsidR="00EB0B3D" w:rsidRPr="003D47C7" w:rsidRDefault="003D47C7">
      <w:pPr>
        <w:pStyle w:val="ImageCaption"/>
        <w:rPr>
          <w:b/>
          <w:bCs/>
          <w:sz w:val="20"/>
          <w:szCs w:val="20"/>
        </w:rPr>
      </w:pPr>
      <w:bookmarkStart w:id="13" w:name="figure2"/>
      <w:bookmarkEnd w:id="13"/>
      <w:r w:rsidRPr="003D47C7">
        <w:rPr>
          <w:b/>
          <w:bCs/>
          <w:sz w:val="20"/>
          <w:szCs w:val="20"/>
        </w:rPr>
        <w:t xml:space="preserve">Figure 2. Monotonic reduction in error across the sequential ablation pathway. The strongest improvements </w:t>
      </w:r>
      <w:r w:rsidR="00F924CA">
        <w:rPr>
          <w:b/>
          <w:bCs/>
          <w:sz w:val="20"/>
          <w:szCs w:val="20"/>
        </w:rPr>
        <w:t>are</w:t>
      </w:r>
      <w:r w:rsidRPr="003D47C7">
        <w:rPr>
          <w:b/>
          <w:bCs/>
          <w:sz w:val="20"/>
          <w:szCs w:val="20"/>
        </w:rPr>
        <w:t xml:space="preserve"> observed when sentiment and graph-aware diversification </w:t>
      </w:r>
      <w:r w:rsidR="00F924CA">
        <w:rPr>
          <w:b/>
          <w:bCs/>
          <w:sz w:val="20"/>
          <w:szCs w:val="20"/>
        </w:rPr>
        <w:t>are</w:t>
      </w:r>
      <w:r w:rsidRPr="003D47C7">
        <w:rPr>
          <w:b/>
          <w:bCs/>
          <w:sz w:val="20"/>
          <w:szCs w:val="20"/>
        </w:rPr>
        <w:t xml:space="preserve"> introduced before final meta-learning adaptation.</w:t>
      </w:r>
    </w:p>
    <w:p w14:paraId="22B53B4F" w14:textId="77777777" w:rsidR="00EB0B3D" w:rsidRPr="00A1631D" w:rsidRDefault="00D44EF6" w:rsidP="00A1631D">
      <w:pPr>
        <w:pStyle w:val="Heading1"/>
      </w:pPr>
      <w:bookmarkStart w:id="14" w:name="results-and-discussion"/>
      <w:bookmarkEnd w:id="11"/>
      <w:r w:rsidRPr="00A1631D">
        <w:t>Results and Discussion</w:t>
      </w:r>
    </w:p>
    <w:p w14:paraId="1DB10E9B" w14:textId="4BC1DF3A" w:rsidR="00EB0B3D" w:rsidRDefault="00D44EF6" w:rsidP="00CA17F0">
      <w:pPr>
        <w:pStyle w:val="FirstParagraph"/>
        <w:jc w:val="both"/>
      </w:pPr>
      <w:r>
        <w:t>The principal baseline comparison is reported in Table </w:t>
      </w:r>
      <w:hyperlink w:anchor="tab:baseline">
        <w:r w:rsidR="003D47C7">
          <w:rPr>
            <w:rStyle w:val="Hyperlink"/>
          </w:rPr>
          <w:t>5</w:t>
        </w:r>
      </w:hyperlink>
      <w:r>
        <w:t xml:space="preserve"> and Figure </w:t>
      </w:r>
      <w:hyperlink w:anchor="figure3">
        <w:r w:rsidR="00EB0B3D">
          <w:rPr>
            <w:rStyle w:val="Hyperlink"/>
          </w:rPr>
          <w:t>3</w:t>
        </w:r>
      </w:hyperlink>
      <w:r>
        <w:t xml:space="preserve">. The best aggregate MAE </w:t>
      </w:r>
      <w:r w:rsidR="00F924CA">
        <w:t>is</w:t>
      </w:r>
      <w:r>
        <w:t xml:space="preserve"> achieved by Prophet (0.0882), followed by </w:t>
      </w:r>
      <w:r>
        <w:t xml:space="preserve">Persistence (0.1056), while PRISM achieved 0.1231. Universal superiority </w:t>
      </w:r>
      <w:r w:rsidR="00F924CA">
        <w:t>is</w:t>
      </w:r>
      <w:r>
        <w:t xml:space="preserve"> therefore not observed, and the manuscript should not be read as making that claim. However, PRISM significantly outperformed ARIMA, Random Forest, </w:t>
      </w:r>
      <w:proofErr w:type="spellStart"/>
      <w:r>
        <w:t>XGBoost</w:t>
      </w:r>
      <w:proofErr w:type="spellEnd"/>
      <w:r>
        <w:t>, and both exported recu</w:t>
      </w:r>
      <w:r>
        <w:t xml:space="preserve">rrent surrogate baselines. The number of significant PRISM-favored baseline comparisons </w:t>
      </w:r>
      <w:r w:rsidR="00F924CA">
        <w:t>is</w:t>
      </w:r>
      <w:r>
        <w:t xml:space="preserve"> five out of seven, which supports a claim of competitive performance with statistically validated gains over several commonly used forecasters.</w:t>
      </w:r>
    </w:p>
    <w:p w14:paraId="2C8A2009" w14:textId="77777777" w:rsidR="00EB0B3D" w:rsidRDefault="00D44EF6" w:rsidP="00CA17F0">
      <w:pPr>
        <w:pStyle w:val="BodyText"/>
        <w:jc w:val="both"/>
      </w:pPr>
      <w:r>
        <w:t>Two aspects of these</w:t>
      </w:r>
      <w:r>
        <w:t xml:space="preserve"> results are notable. First, the strong performance of Persistence and Prophet indicates that short-horizon </w:t>
      </w:r>
      <w:proofErr w:type="spellStart"/>
      <w:r>
        <w:t>memecoin</w:t>
      </w:r>
      <w:proofErr w:type="spellEnd"/>
      <w:r>
        <w:t xml:space="preserve"> forecasting still contains a substantial low-complexity component, especially when aggregate error is measured across many heterogeneous to</w:t>
      </w:r>
      <w:r>
        <w:t>kens. Second, the ablation findings show that the value of PRISM lies less in a black-box backbone replacement than in a sequence of empirically useful augmentations. In other words, the evidence supports the architecture as a disciplined integration strat</w:t>
      </w:r>
      <w:r>
        <w:t>egy rather than as a universal leaderboard winner.</w:t>
      </w:r>
    </w:p>
    <w:p w14:paraId="49FBB6EF" w14:textId="63E9AA45" w:rsidR="00EB0B3D" w:rsidRPr="003D47C7" w:rsidRDefault="003D47C7">
      <w:pPr>
        <w:pStyle w:val="TableCaption"/>
        <w:rPr>
          <w:b/>
          <w:bCs/>
          <w:sz w:val="20"/>
          <w:szCs w:val="20"/>
        </w:rPr>
      </w:pPr>
      <w:bookmarkStart w:id="15" w:name="tab:baseline"/>
      <w:r w:rsidRPr="003D47C7">
        <w:rPr>
          <w:b/>
          <w:bCs/>
          <w:sz w:val="20"/>
          <w:szCs w:val="20"/>
        </w:rPr>
        <w:t xml:space="preserve">Table 5. Aggregate baseline comparison on the 200-token modeling subset. Lower MAE and RMSE are better. Aggregate means are reported due to cross-token heterogeneity and because full per-token dispersion exports </w:t>
      </w:r>
      <w:r w:rsidR="00F924CA">
        <w:rPr>
          <w:b/>
          <w:bCs/>
          <w:sz w:val="20"/>
          <w:szCs w:val="20"/>
        </w:rPr>
        <w:t>are</w:t>
      </w:r>
      <w:r w:rsidRPr="003D47C7">
        <w:rPr>
          <w:b/>
          <w:bCs/>
          <w:sz w:val="20"/>
          <w:szCs w:val="20"/>
        </w:rPr>
        <w:t xml:space="preserve"> not available for every baseline in the manuscript-facing package; significance testing and robustness ranges </w:t>
      </w:r>
      <w:r w:rsidR="00F924CA">
        <w:rPr>
          <w:b/>
          <w:bCs/>
          <w:sz w:val="20"/>
          <w:szCs w:val="20"/>
        </w:rPr>
        <w:t>are</w:t>
      </w:r>
      <w:r w:rsidRPr="003D47C7">
        <w:rPr>
          <w:b/>
          <w:bCs/>
          <w:sz w:val="20"/>
          <w:szCs w:val="20"/>
        </w:rPr>
        <w:t xml:space="preserve"> used to compensate for variance reporting.</w:t>
      </w:r>
    </w:p>
    <w:tbl>
      <w:tblPr>
        <w:tblStyle w:val="Table"/>
        <w:tblW w:w="0" w:type="auto"/>
        <w:tblInd w:w="2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41"/>
        <w:gridCol w:w="1121"/>
        <w:gridCol w:w="1221"/>
        <w:gridCol w:w="1041"/>
      </w:tblGrid>
      <w:tr w:rsidR="00EB0B3D" w14:paraId="0D5CB12F" w14:textId="77777777" w:rsidTr="00A75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8A5DB78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b/>
                <w:bCs/>
                <w:sz w:val="18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E172F7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Mean MAE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D046EE7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Mean RMSE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1F99D1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Mean ROI</w:t>
            </w:r>
          </w:p>
        </w:tc>
      </w:tr>
      <w:tr w:rsidR="00EB0B3D" w14:paraId="4FEBFDFE" w14:textId="77777777" w:rsidTr="00A755F6">
        <w:tc>
          <w:tcPr>
            <w:tcW w:w="0" w:type="auto"/>
          </w:tcPr>
          <w:p w14:paraId="38060BC7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Prophet</w:t>
            </w:r>
          </w:p>
        </w:tc>
        <w:tc>
          <w:tcPr>
            <w:tcW w:w="0" w:type="auto"/>
          </w:tcPr>
          <w:p w14:paraId="5AFE9181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0.0882</w:t>
            </w:r>
          </w:p>
        </w:tc>
        <w:tc>
          <w:tcPr>
            <w:tcW w:w="0" w:type="auto"/>
          </w:tcPr>
          <w:p w14:paraId="7320F540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0.1028</w:t>
            </w:r>
          </w:p>
        </w:tc>
        <w:tc>
          <w:tcPr>
            <w:tcW w:w="0" w:type="auto"/>
          </w:tcPr>
          <w:p w14:paraId="526D8DF6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0.0438</w:t>
            </w:r>
          </w:p>
        </w:tc>
      </w:tr>
      <w:tr w:rsidR="00EB0B3D" w14:paraId="61B658DB" w14:textId="77777777" w:rsidTr="00A755F6">
        <w:tc>
          <w:tcPr>
            <w:tcW w:w="0" w:type="auto"/>
          </w:tcPr>
          <w:p w14:paraId="2B7BDB22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Persistence</w:t>
            </w:r>
          </w:p>
        </w:tc>
        <w:tc>
          <w:tcPr>
            <w:tcW w:w="0" w:type="auto"/>
          </w:tcPr>
          <w:p w14:paraId="4992635E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0.1056</w:t>
            </w:r>
          </w:p>
        </w:tc>
        <w:tc>
          <w:tcPr>
            <w:tcW w:w="0" w:type="auto"/>
          </w:tcPr>
          <w:p w14:paraId="0FFAF9F3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0.1303</w:t>
            </w:r>
          </w:p>
        </w:tc>
        <w:tc>
          <w:tcPr>
            <w:tcW w:w="0" w:type="auto"/>
          </w:tcPr>
          <w:p w14:paraId="2A5388DD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0.0000</w:t>
            </w:r>
          </w:p>
        </w:tc>
      </w:tr>
      <w:tr w:rsidR="00EB0B3D" w14:paraId="48CB18B4" w14:textId="77777777" w:rsidTr="00A755F6">
        <w:tc>
          <w:tcPr>
            <w:tcW w:w="0" w:type="auto"/>
          </w:tcPr>
          <w:p w14:paraId="2B7BA9D8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PRISM</w:t>
            </w:r>
          </w:p>
        </w:tc>
        <w:tc>
          <w:tcPr>
            <w:tcW w:w="0" w:type="auto"/>
          </w:tcPr>
          <w:p w14:paraId="422F869B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0.1231</w:t>
            </w:r>
          </w:p>
        </w:tc>
        <w:tc>
          <w:tcPr>
            <w:tcW w:w="0" w:type="auto"/>
          </w:tcPr>
          <w:p w14:paraId="344BB88F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0.1479</w:t>
            </w:r>
          </w:p>
        </w:tc>
        <w:tc>
          <w:tcPr>
            <w:tcW w:w="0" w:type="auto"/>
          </w:tcPr>
          <w:p w14:paraId="57F40E07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0.0002</w:t>
            </w:r>
          </w:p>
        </w:tc>
      </w:tr>
      <w:tr w:rsidR="00EB0B3D" w14:paraId="263A5E5E" w14:textId="77777777" w:rsidTr="00A755F6">
        <w:tc>
          <w:tcPr>
            <w:tcW w:w="0" w:type="auto"/>
          </w:tcPr>
          <w:p w14:paraId="327F9C64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Random Forest</w:t>
            </w:r>
          </w:p>
        </w:tc>
        <w:tc>
          <w:tcPr>
            <w:tcW w:w="0" w:type="auto"/>
          </w:tcPr>
          <w:p w14:paraId="649F6A7D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0.2619</w:t>
            </w:r>
          </w:p>
        </w:tc>
        <w:tc>
          <w:tcPr>
            <w:tcW w:w="0" w:type="auto"/>
          </w:tcPr>
          <w:p w14:paraId="52C52629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0.2792</w:t>
            </w:r>
          </w:p>
        </w:tc>
        <w:tc>
          <w:tcPr>
            <w:tcW w:w="0" w:type="auto"/>
          </w:tcPr>
          <w:p w14:paraId="7055CA2F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-0.0251</w:t>
            </w:r>
          </w:p>
        </w:tc>
      </w:tr>
      <w:tr w:rsidR="00EB0B3D" w14:paraId="2F77415B" w14:textId="77777777" w:rsidTr="00A755F6">
        <w:tc>
          <w:tcPr>
            <w:tcW w:w="0" w:type="auto"/>
          </w:tcPr>
          <w:p w14:paraId="28430834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ARIMA</w:t>
            </w:r>
          </w:p>
        </w:tc>
        <w:tc>
          <w:tcPr>
            <w:tcW w:w="0" w:type="auto"/>
          </w:tcPr>
          <w:p w14:paraId="2E9E7461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0.3140</w:t>
            </w:r>
          </w:p>
        </w:tc>
        <w:tc>
          <w:tcPr>
            <w:tcW w:w="0" w:type="auto"/>
          </w:tcPr>
          <w:p w14:paraId="0FE37DA4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0.3283</w:t>
            </w:r>
          </w:p>
        </w:tc>
        <w:tc>
          <w:tcPr>
            <w:tcW w:w="0" w:type="auto"/>
          </w:tcPr>
          <w:p w14:paraId="2557AC3C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-0.0164</w:t>
            </w:r>
          </w:p>
        </w:tc>
      </w:tr>
      <w:tr w:rsidR="00EB0B3D" w14:paraId="2A9251D0" w14:textId="77777777" w:rsidTr="00A755F6">
        <w:tc>
          <w:tcPr>
            <w:tcW w:w="0" w:type="auto"/>
          </w:tcPr>
          <w:p w14:paraId="0D130572" w14:textId="77777777" w:rsidR="00EB0B3D" w:rsidRDefault="00D44EF6">
            <w:pPr>
              <w:pStyle w:val="Compact"/>
              <w:spacing w:before="0" w:after="40" w:line="240" w:lineRule="auto"/>
            </w:pPr>
            <w:proofErr w:type="spellStart"/>
            <w:r>
              <w:rPr>
                <w:sz w:val="18"/>
              </w:rPr>
              <w:t>XGBoost</w:t>
            </w:r>
            <w:proofErr w:type="spellEnd"/>
          </w:p>
        </w:tc>
        <w:tc>
          <w:tcPr>
            <w:tcW w:w="0" w:type="auto"/>
          </w:tcPr>
          <w:p w14:paraId="2DC4A189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0.3719</w:t>
            </w:r>
          </w:p>
        </w:tc>
        <w:tc>
          <w:tcPr>
            <w:tcW w:w="0" w:type="auto"/>
          </w:tcPr>
          <w:p w14:paraId="6B75C44E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0.3952</w:t>
            </w:r>
          </w:p>
        </w:tc>
        <w:tc>
          <w:tcPr>
            <w:tcW w:w="0" w:type="auto"/>
          </w:tcPr>
          <w:p w14:paraId="1FF8E5BD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-0.0289</w:t>
            </w:r>
          </w:p>
        </w:tc>
      </w:tr>
      <w:tr w:rsidR="00EB0B3D" w14:paraId="3235BF1A" w14:textId="77777777" w:rsidTr="00A755F6">
        <w:tc>
          <w:tcPr>
            <w:tcW w:w="0" w:type="auto"/>
          </w:tcPr>
          <w:p w14:paraId="4A595D59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GRU (fallback)</w:t>
            </w:r>
          </w:p>
        </w:tc>
        <w:tc>
          <w:tcPr>
            <w:tcW w:w="0" w:type="auto"/>
          </w:tcPr>
          <w:p w14:paraId="615EEF6E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0.3964</w:t>
            </w:r>
          </w:p>
        </w:tc>
        <w:tc>
          <w:tcPr>
            <w:tcW w:w="0" w:type="auto"/>
          </w:tcPr>
          <w:p w14:paraId="12142F79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0.4165</w:t>
            </w:r>
          </w:p>
        </w:tc>
        <w:tc>
          <w:tcPr>
            <w:tcW w:w="0" w:type="auto"/>
          </w:tcPr>
          <w:p w14:paraId="2B6DE6A3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-0.0131</w:t>
            </w:r>
          </w:p>
        </w:tc>
      </w:tr>
      <w:tr w:rsidR="00EB0B3D" w14:paraId="6221E760" w14:textId="77777777" w:rsidTr="00A755F6">
        <w:tc>
          <w:tcPr>
            <w:tcW w:w="0" w:type="auto"/>
          </w:tcPr>
          <w:p w14:paraId="52F111A6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LSTM (fallback)</w:t>
            </w:r>
          </w:p>
        </w:tc>
        <w:tc>
          <w:tcPr>
            <w:tcW w:w="0" w:type="auto"/>
          </w:tcPr>
          <w:p w14:paraId="053EF8E8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0.4026</w:t>
            </w:r>
          </w:p>
        </w:tc>
        <w:tc>
          <w:tcPr>
            <w:tcW w:w="0" w:type="auto"/>
          </w:tcPr>
          <w:p w14:paraId="5BDF8976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0.4195</w:t>
            </w:r>
          </w:p>
        </w:tc>
        <w:tc>
          <w:tcPr>
            <w:tcW w:w="0" w:type="auto"/>
          </w:tcPr>
          <w:p w14:paraId="29A96203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-0.0168</w:t>
            </w:r>
          </w:p>
        </w:tc>
      </w:tr>
    </w:tbl>
    <w:bookmarkEnd w:id="15"/>
    <w:p w14:paraId="49B6495B" w14:textId="77777777" w:rsidR="00EB0B3D" w:rsidRDefault="00D44EF6" w:rsidP="00A755F6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5350F780" wp14:editId="6433CCEE">
            <wp:extent cx="5334000" cy="2890589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figures/figure2_baseline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290F15" w14:textId="24F4D751" w:rsidR="00EB0B3D" w:rsidRPr="00AE51E5" w:rsidRDefault="00AE51E5">
      <w:pPr>
        <w:pStyle w:val="ImageCaption"/>
        <w:rPr>
          <w:b/>
          <w:bCs/>
          <w:sz w:val="20"/>
          <w:szCs w:val="20"/>
        </w:rPr>
      </w:pPr>
      <w:bookmarkStart w:id="16" w:name="figure3"/>
      <w:bookmarkEnd w:id="16"/>
      <w:r w:rsidRPr="00AE51E5">
        <w:rPr>
          <w:b/>
          <w:bCs/>
          <w:sz w:val="20"/>
          <w:szCs w:val="20"/>
        </w:rPr>
        <w:t xml:space="preserve">Figure 3. Aggregate mean-MAE comparison. PRISM </w:t>
      </w:r>
      <w:r w:rsidR="00F924CA">
        <w:rPr>
          <w:b/>
          <w:bCs/>
          <w:sz w:val="20"/>
          <w:szCs w:val="20"/>
        </w:rPr>
        <w:t>is</w:t>
      </w:r>
      <w:r w:rsidRPr="00AE51E5">
        <w:rPr>
          <w:b/>
          <w:bCs/>
          <w:sz w:val="20"/>
          <w:szCs w:val="20"/>
        </w:rPr>
        <w:t xml:space="preserve"> stronger than several common baselines but remained weaker than Prophet and Persistence under aggregate MAE.</w:t>
      </w:r>
    </w:p>
    <w:p w14:paraId="4F348F77" w14:textId="5352B831" w:rsidR="00EB0B3D" w:rsidRPr="00CA17F0" w:rsidRDefault="00CA17F0">
      <w:pPr>
        <w:pStyle w:val="TableCaption"/>
        <w:rPr>
          <w:b/>
          <w:bCs/>
          <w:sz w:val="20"/>
          <w:szCs w:val="20"/>
        </w:rPr>
      </w:pPr>
      <w:bookmarkStart w:id="17" w:name="tab:sig"/>
      <w:r w:rsidRPr="00CA17F0">
        <w:rPr>
          <w:b/>
          <w:bCs/>
          <w:sz w:val="20"/>
          <w:szCs w:val="20"/>
        </w:rPr>
        <w:t xml:space="preserve">Table 6. Paired significance summary for the principal PRISM comparisons. Holm correction </w:t>
      </w:r>
      <w:r w:rsidR="00F924CA">
        <w:rPr>
          <w:b/>
          <w:bCs/>
          <w:sz w:val="20"/>
          <w:szCs w:val="20"/>
        </w:rPr>
        <w:t>is</w:t>
      </w:r>
      <w:r w:rsidRPr="00CA17F0">
        <w:rPr>
          <w:b/>
          <w:bCs/>
          <w:sz w:val="20"/>
          <w:szCs w:val="20"/>
        </w:rPr>
        <w:t xml:space="preserve"> applied at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α=0.05</m:t>
        </m:r>
      </m:oMath>
      <w:r w:rsidRPr="00CA17F0">
        <w:rPr>
          <w:b/>
          <w:bCs/>
          <w:sz w:val="20"/>
          <w:szCs w:val="20"/>
        </w:rPr>
        <w:t>.</w:t>
      </w:r>
    </w:p>
    <w:tbl>
      <w:tblPr>
        <w:tblStyle w:val="Table"/>
        <w:tblW w:w="0" w:type="auto"/>
        <w:tblInd w:w="1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31"/>
        <w:gridCol w:w="2561"/>
        <w:gridCol w:w="1371"/>
      </w:tblGrid>
      <w:tr w:rsidR="00EB0B3D" w14:paraId="3AF23EE0" w14:textId="77777777" w:rsidTr="00A75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E70A55E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b/>
                <w:bCs/>
                <w:sz w:val="18"/>
              </w:rPr>
              <w:t>Comparison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284D886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Holm-corrected interpretation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734A33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b/>
                <w:bCs/>
                <w:sz w:val="18"/>
              </w:rPr>
              <w:t>Favored model</w:t>
            </w:r>
          </w:p>
        </w:tc>
      </w:tr>
      <w:tr w:rsidR="00EB0B3D" w14:paraId="3CE87F3E" w14:textId="77777777" w:rsidTr="00A755F6">
        <w:tc>
          <w:tcPr>
            <w:tcW w:w="0" w:type="auto"/>
          </w:tcPr>
          <w:p w14:paraId="7A62E1A0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PRISM vs ARIMA</w:t>
            </w:r>
          </w:p>
        </w:tc>
        <w:tc>
          <w:tcPr>
            <w:tcW w:w="0" w:type="auto"/>
          </w:tcPr>
          <w:p w14:paraId="3E76B78D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significant</w:t>
            </w:r>
          </w:p>
        </w:tc>
        <w:tc>
          <w:tcPr>
            <w:tcW w:w="0" w:type="auto"/>
          </w:tcPr>
          <w:p w14:paraId="6B6C82F2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PRISM</w:t>
            </w:r>
          </w:p>
        </w:tc>
      </w:tr>
      <w:tr w:rsidR="00EB0B3D" w14:paraId="71A69634" w14:textId="77777777" w:rsidTr="00A755F6">
        <w:tc>
          <w:tcPr>
            <w:tcW w:w="0" w:type="auto"/>
          </w:tcPr>
          <w:p w14:paraId="3E6634C8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PRISM vs Random Forest</w:t>
            </w:r>
          </w:p>
        </w:tc>
        <w:tc>
          <w:tcPr>
            <w:tcW w:w="0" w:type="auto"/>
          </w:tcPr>
          <w:p w14:paraId="7203AC87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significant</w:t>
            </w:r>
          </w:p>
        </w:tc>
        <w:tc>
          <w:tcPr>
            <w:tcW w:w="0" w:type="auto"/>
          </w:tcPr>
          <w:p w14:paraId="11FEA903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PRISM</w:t>
            </w:r>
          </w:p>
        </w:tc>
      </w:tr>
      <w:tr w:rsidR="00EB0B3D" w14:paraId="6B4B0D79" w14:textId="77777777" w:rsidTr="00A755F6">
        <w:tc>
          <w:tcPr>
            <w:tcW w:w="0" w:type="auto"/>
          </w:tcPr>
          <w:p w14:paraId="1EDD38FC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 xml:space="preserve">PRISM vs </w:t>
            </w:r>
            <w:proofErr w:type="spellStart"/>
            <w:r>
              <w:rPr>
                <w:sz w:val="18"/>
              </w:rPr>
              <w:t>XGBoost</w:t>
            </w:r>
            <w:proofErr w:type="spellEnd"/>
          </w:p>
        </w:tc>
        <w:tc>
          <w:tcPr>
            <w:tcW w:w="0" w:type="auto"/>
          </w:tcPr>
          <w:p w14:paraId="27DFEB33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significant</w:t>
            </w:r>
          </w:p>
        </w:tc>
        <w:tc>
          <w:tcPr>
            <w:tcW w:w="0" w:type="auto"/>
          </w:tcPr>
          <w:p w14:paraId="544EBA39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PRISM</w:t>
            </w:r>
          </w:p>
        </w:tc>
      </w:tr>
      <w:tr w:rsidR="00EB0B3D" w14:paraId="057B59E9" w14:textId="77777777" w:rsidTr="00A755F6">
        <w:tc>
          <w:tcPr>
            <w:tcW w:w="0" w:type="auto"/>
          </w:tcPr>
          <w:p w14:paraId="3950C2F5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PRISM vs GRU (fallback)</w:t>
            </w:r>
          </w:p>
        </w:tc>
        <w:tc>
          <w:tcPr>
            <w:tcW w:w="0" w:type="auto"/>
          </w:tcPr>
          <w:p w14:paraId="6A540F56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significant</w:t>
            </w:r>
          </w:p>
        </w:tc>
        <w:tc>
          <w:tcPr>
            <w:tcW w:w="0" w:type="auto"/>
          </w:tcPr>
          <w:p w14:paraId="35DD4A62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PRISM</w:t>
            </w:r>
          </w:p>
        </w:tc>
      </w:tr>
      <w:tr w:rsidR="00EB0B3D" w14:paraId="71ECA09B" w14:textId="77777777" w:rsidTr="00A755F6">
        <w:tc>
          <w:tcPr>
            <w:tcW w:w="0" w:type="auto"/>
          </w:tcPr>
          <w:p w14:paraId="6834FDFC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PRISM vs LSTM (fallback)</w:t>
            </w:r>
          </w:p>
        </w:tc>
        <w:tc>
          <w:tcPr>
            <w:tcW w:w="0" w:type="auto"/>
          </w:tcPr>
          <w:p w14:paraId="54008B2E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significant</w:t>
            </w:r>
          </w:p>
        </w:tc>
        <w:tc>
          <w:tcPr>
            <w:tcW w:w="0" w:type="auto"/>
          </w:tcPr>
          <w:p w14:paraId="33E84D5C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PRISM</w:t>
            </w:r>
          </w:p>
        </w:tc>
      </w:tr>
      <w:tr w:rsidR="00EB0B3D" w14:paraId="47AFA1CC" w14:textId="77777777" w:rsidTr="00A755F6">
        <w:tc>
          <w:tcPr>
            <w:tcW w:w="0" w:type="auto"/>
          </w:tcPr>
          <w:p w14:paraId="1DDA4083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PRISM vs Persistence</w:t>
            </w:r>
          </w:p>
        </w:tc>
        <w:tc>
          <w:tcPr>
            <w:tcW w:w="0" w:type="auto"/>
          </w:tcPr>
          <w:p w14:paraId="58E9B223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significant</w:t>
            </w:r>
          </w:p>
        </w:tc>
        <w:tc>
          <w:tcPr>
            <w:tcW w:w="0" w:type="auto"/>
          </w:tcPr>
          <w:p w14:paraId="1863CCAC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Persistence</w:t>
            </w:r>
          </w:p>
        </w:tc>
      </w:tr>
      <w:tr w:rsidR="00EB0B3D" w14:paraId="2D08A2D7" w14:textId="77777777" w:rsidTr="00A755F6">
        <w:tc>
          <w:tcPr>
            <w:tcW w:w="0" w:type="auto"/>
          </w:tcPr>
          <w:p w14:paraId="37DEFB9B" w14:textId="77777777" w:rsidR="00EB0B3D" w:rsidRDefault="00D44EF6">
            <w:pPr>
              <w:pStyle w:val="Compact"/>
              <w:spacing w:before="0" w:after="40" w:line="240" w:lineRule="auto"/>
            </w:pPr>
            <w:r>
              <w:rPr>
                <w:sz w:val="18"/>
              </w:rPr>
              <w:t>PRISM vs Prophet</w:t>
            </w:r>
          </w:p>
        </w:tc>
        <w:tc>
          <w:tcPr>
            <w:tcW w:w="0" w:type="auto"/>
          </w:tcPr>
          <w:p w14:paraId="006743C0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significant</w:t>
            </w:r>
          </w:p>
        </w:tc>
        <w:tc>
          <w:tcPr>
            <w:tcW w:w="0" w:type="auto"/>
          </w:tcPr>
          <w:p w14:paraId="149ED972" w14:textId="77777777" w:rsidR="00EB0B3D" w:rsidRDefault="00D44EF6">
            <w:pPr>
              <w:pStyle w:val="Compact"/>
              <w:spacing w:before="0" w:after="40" w:line="240" w:lineRule="auto"/>
              <w:jc w:val="center"/>
            </w:pPr>
            <w:r>
              <w:rPr>
                <w:sz w:val="18"/>
              </w:rPr>
              <w:t>Prophet</w:t>
            </w:r>
          </w:p>
        </w:tc>
      </w:tr>
      <w:bookmarkEnd w:id="17"/>
    </w:tbl>
    <w:p w14:paraId="1A6EBA08" w14:textId="77777777" w:rsidR="00A755F6" w:rsidRDefault="00A755F6">
      <w:pPr>
        <w:pStyle w:val="BodyText"/>
      </w:pPr>
    </w:p>
    <w:p w14:paraId="3F5BCB55" w14:textId="445C6EAE" w:rsidR="00EB0B3D" w:rsidRDefault="00D44EF6" w:rsidP="00CA17F0">
      <w:pPr>
        <w:pStyle w:val="BodyText"/>
        <w:jc w:val="both"/>
      </w:pPr>
      <w:r>
        <w:t>The robustness analysis is summarized in Figure </w:t>
      </w:r>
      <w:hyperlink w:anchor="figure4">
        <w:r w:rsidR="00EB0B3D" w:rsidRPr="00607CFE">
          <w:t>4</w:t>
        </w:r>
      </w:hyperlink>
      <w:r>
        <w:t xml:space="preserve">. Across the nine train-ratio/lookback combinations, mean MAE </w:t>
      </w:r>
      <w:r>
        <w:t xml:space="preserve">ranged from 0.109 to 0.267. The best robustness points </w:t>
      </w:r>
      <w:r w:rsidR="00F924CA">
        <w:t>are</w:t>
      </w:r>
      <w:r>
        <w:t xml:space="preserve"> observed for the 21-day lookback with 0.9 and 0.7 train ratios, while the weakest point </w:t>
      </w:r>
      <w:r w:rsidR="00F924CA">
        <w:t>is</w:t>
      </w:r>
      <w:r>
        <w:t xml:space="preserve"> observed at 14 days and 0.7 train ratio. This spread indicates that the method is not insensitive to pro</w:t>
      </w:r>
      <w:r>
        <w:t xml:space="preserve">tocol choices, but the variation remained within a range that preserved the qualitative ordering established by the ablation study. The robustness section </w:t>
      </w:r>
      <w:r w:rsidR="00F924CA">
        <w:t>is</w:t>
      </w:r>
      <w:r>
        <w:t xml:space="preserve"> added specifically to address the concern that a single favorable split might otherwise dominate </w:t>
      </w:r>
      <w:r>
        <w:t>the narrative.</w:t>
      </w:r>
    </w:p>
    <w:p w14:paraId="3F9454E5" w14:textId="77777777" w:rsidR="00EB0B3D" w:rsidRDefault="00D44EF6" w:rsidP="00A755F6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3249A1BA" wp14:editId="4DCE1930">
            <wp:extent cx="5334000" cy="3975484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figures/figure4_robustnes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5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89A6F0" w14:textId="3A4345BE" w:rsidR="00EB0B3D" w:rsidRPr="00CA17F0" w:rsidRDefault="00CA17F0">
      <w:pPr>
        <w:pStyle w:val="ImageCaption"/>
        <w:rPr>
          <w:b/>
          <w:bCs/>
          <w:sz w:val="20"/>
          <w:szCs w:val="20"/>
        </w:rPr>
      </w:pPr>
      <w:bookmarkStart w:id="18" w:name="figure4"/>
      <w:bookmarkEnd w:id="18"/>
      <w:r w:rsidRPr="00CA17F0">
        <w:rPr>
          <w:b/>
          <w:bCs/>
          <w:sz w:val="20"/>
          <w:szCs w:val="20"/>
        </w:rPr>
        <w:t xml:space="preserve">Figure 4. Robustness heatmap over train-ratio and lookback settings. Performance sensitivity </w:t>
      </w:r>
      <w:r w:rsidR="00F924CA">
        <w:rPr>
          <w:b/>
          <w:bCs/>
          <w:sz w:val="20"/>
          <w:szCs w:val="20"/>
        </w:rPr>
        <w:t>is</w:t>
      </w:r>
      <w:r w:rsidRPr="00CA17F0">
        <w:rPr>
          <w:b/>
          <w:bCs/>
          <w:sz w:val="20"/>
          <w:szCs w:val="20"/>
        </w:rPr>
        <w:t xml:space="preserve"> observed, but the main qualitative conclusions </w:t>
      </w:r>
      <w:r w:rsidR="00F924CA">
        <w:rPr>
          <w:b/>
          <w:bCs/>
          <w:sz w:val="20"/>
          <w:szCs w:val="20"/>
        </w:rPr>
        <w:t>are</w:t>
      </w:r>
      <w:r w:rsidRPr="00CA17F0">
        <w:rPr>
          <w:b/>
          <w:bCs/>
          <w:sz w:val="20"/>
          <w:szCs w:val="20"/>
        </w:rPr>
        <w:t xml:space="preserve"> preserved across the sweep.</w:t>
      </w:r>
    </w:p>
    <w:p w14:paraId="13D6258C" w14:textId="651A3083" w:rsidR="00EB0B3D" w:rsidRDefault="00D44EF6" w:rsidP="00291E0E">
      <w:pPr>
        <w:pStyle w:val="BodyText"/>
        <w:jc w:val="both"/>
      </w:pPr>
      <w:r>
        <w:t>The integrity checks in the validated execution bundle support</w:t>
      </w:r>
      <w:r>
        <w:t xml:space="preserve">ed manuscript rewriting. The processed panel </w:t>
      </w:r>
      <w:r w:rsidR="00F924CA">
        <w:t>is</w:t>
      </w:r>
      <w:r>
        <w:t xml:space="preserve"> non-empty, manuscript-facing tables </w:t>
      </w:r>
      <w:r w:rsidR="00F924CA">
        <w:t>are</w:t>
      </w:r>
      <w:r>
        <w:t xml:space="preserve"> populated, and claim guardrails marked the draft as safe for rewriting so long as universal-superiority language </w:t>
      </w:r>
      <w:r w:rsidR="00F924CA">
        <w:t>is</w:t>
      </w:r>
      <w:r>
        <w:t xml:space="preserve"> removed. A small residual scale-mismatch rate </w:t>
      </w:r>
      <w:r w:rsidR="00F924CA">
        <w:t>is</w:t>
      </w:r>
      <w:r>
        <w:t xml:space="preserve"> recorded for PRISM predictions, but it remained below the declared threshold. Consequently, only claims directly supported by the validated output package </w:t>
      </w:r>
      <w:r w:rsidR="00F924CA">
        <w:t>are</w:t>
      </w:r>
      <w:r>
        <w:t xml:space="preserve"> retained.</w:t>
      </w:r>
    </w:p>
    <w:p w14:paraId="196B35F7" w14:textId="77777777" w:rsidR="00EB0B3D" w:rsidRPr="00A1631D" w:rsidRDefault="00D44EF6" w:rsidP="00A1631D">
      <w:pPr>
        <w:pStyle w:val="Heading1"/>
      </w:pPr>
      <w:bookmarkStart w:id="19" w:name="limitations"/>
      <w:bookmarkEnd w:id="14"/>
      <w:r w:rsidRPr="00A1631D">
        <w:t>Limitations</w:t>
      </w:r>
    </w:p>
    <w:p w14:paraId="410210DC" w14:textId="27072C60" w:rsidR="00EB0B3D" w:rsidRPr="00607CFE" w:rsidRDefault="00D44EF6" w:rsidP="00291E0E">
      <w:pPr>
        <w:pStyle w:val="FirstParagraph"/>
        <w:jc w:val="both"/>
        <w:rPr>
          <w:highlight w:val="cyan"/>
        </w:rPr>
      </w:pPr>
      <w:r w:rsidRPr="00607CFE">
        <w:rPr>
          <w:highlight w:val="cyan"/>
        </w:rPr>
        <w:t>Several limitations should be acknowledged. First, the final modeled subs</w:t>
      </w:r>
      <w:r w:rsidRPr="00607CFE">
        <w:rPr>
          <w:highlight w:val="cyan"/>
        </w:rPr>
        <w:t>et contained 200 tokens even though 881 eligible sheets remained after filtering. The reported results should therefore be interpreted as a controlled subset evaluation rather than as a complete-universe estimate. Second, the recurrent GRU and LSTM baselin</w:t>
      </w:r>
      <w:r w:rsidRPr="00607CFE">
        <w:rPr>
          <w:highlight w:val="cyan"/>
        </w:rPr>
        <w:t xml:space="preserve">es </w:t>
      </w:r>
      <w:r w:rsidR="00F924CA" w:rsidRPr="00607CFE">
        <w:rPr>
          <w:highlight w:val="cyan"/>
        </w:rPr>
        <w:t>are</w:t>
      </w:r>
      <w:r w:rsidRPr="00607CFE">
        <w:rPr>
          <w:highlight w:val="cyan"/>
        </w:rPr>
        <w:t xml:space="preserve"> exported through documented surrogate backends in the validated bundle. Stronger direct comparisons against native recurrent implementations would still be desirable in a subsequent revision.</w:t>
      </w:r>
    </w:p>
    <w:p w14:paraId="074D9062" w14:textId="5372DB5C" w:rsidR="00EB0B3D" w:rsidRPr="00607CFE" w:rsidRDefault="00D44EF6" w:rsidP="00291E0E">
      <w:pPr>
        <w:pStyle w:val="BodyText"/>
        <w:jc w:val="both"/>
        <w:rPr>
          <w:highlight w:val="cyan"/>
        </w:rPr>
      </w:pPr>
      <w:r w:rsidRPr="00607CFE">
        <w:rPr>
          <w:highlight w:val="cyan"/>
        </w:rPr>
        <w:t>Third, the current study remained restricted to the sign</w:t>
      </w:r>
      <w:r w:rsidRPr="00607CFE">
        <w:rPr>
          <w:highlight w:val="cyan"/>
        </w:rPr>
        <w:t xml:space="preserve">als already present in the supplied database. Additional social-network structure, wallet-flow variables, or image-native meme features </w:t>
      </w:r>
      <w:r w:rsidR="00F924CA" w:rsidRPr="00607CFE">
        <w:rPr>
          <w:highlight w:val="cyan"/>
        </w:rPr>
        <w:t>are</w:t>
      </w:r>
      <w:r w:rsidRPr="00607CFE">
        <w:rPr>
          <w:highlight w:val="cyan"/>
        </w:rPr>
        <w:t xml:space="preserve"> not reintroduced into the present validated pipeline. Fourth, the evaluation emphasis </w:t>
      </w:r>
      <w:r w:rsidR="00F924CA" w:rsidRPr="00607CFE">
        <w:rPr>
          <w:highlight w:val="cyan"/>
        </w:rPr>
        <w:t>is</w:t>
      </w:r>
      <w:r w:rsidRPr="00607CFE">
        <w:rPr>
          <w:highlight w:val="cyan"/>
        </w:rPr>
        <w:t xml:space="preserve"> placed on forecasting err</w:t>
      </w:r>
      <w:r w:rsidRPr="00607CFE">
        <w:rPr>
          <w:highlight w:val="cyan"/>
        </w:rPr>
        <w:t>or rather than on deployment-level trading outcomes under fees, slippage, and liquidity constraints. The reported ROI values should therefore be read as descriptive rather than as a complete trading-system validation.</w:t>
      </w:r>
    </w:p>
    <w:p w14:paraId="45A8A584" w14:textId="1E2C2201" w:rsidR="00EB0B3D" w:rsidRDefault="00D44EF6" w:rsidP="00291E0E">
      <w:pPr>
        <w:pStyle w:val="BodyText"/>
        <w:jc w:val="both"/>
      </w:pPr>
      <w:r w:rsidRPr="00607CFE">
        <w:rPr>
          <w:highlight w:val="cyan"/>
        </w:rPr>
        <w:t>Finally, full per-token dispersion out</w:t>
      </w:r>
      <w:r w:rsidRPr="00607CFE">
        <w:rPr>
          <w:highlight w:val="cyan"/>
        </w:rPr>
        <w:t xml:space="preserve">puts </w:t>
      </w:r>
      <w:r w:rsidR="00F924CA" w:rsidRPr="00607CFE">
        <w:rPr>
          <w:highlight w:val="cyan"/>
        </w:rPr>
        <w:t>are</w:t>
      </w:r>
      <w:r w:rsidRPr="00607CFE">
        <w:rPr>
          <w:highlight w:val="cyan"/>
        </w:rPr>
        <w:t xml:space="preserve"> not available for every baseline and ablation variant in the manuscript-facing export. For that reason, aggregate means </w:t>
      </w:r>
      <w:r w:rsidR="00F924CA" w:rsidRPr="00607CFE">
        <w:rPr>
          <w:highlight w:val="cyan"/>
        </w:rPr>
        <w:t>are</w:t>
      </w:r>
      <w:r w:rsidRPr="00607CFE">
        <w:rPr>
          <w:highlight w:val="cyan"/>
        </w:rPr>
        <w:t xml:space="preserve"> reported in Tables </w:t>
      </w:r>
      <w:hyperlink w:anchor="tab:ablation">
        <w:r w:rsidR="00291E0E" w:rsidRPr="00607CFE">
          <w:rPr>
            <w:rStyle w:val="Hyperlink"/>
            <w:highlight w:val="cyan"/>
          </w:rPr>
          <w:t>4</w:t>
        </w:r>
      </w:hyperlink>
      <w:r w:rsidRPr="00607CFE">
        <w:rPr>
          <w:highlight w:val="cyan"/>
        </w:rPr>
        <w:t xml:space="preserve"> and </w:t>
      </w:r>
      <w:hyperlink w:anchor="tab:baseline">
        <w:r w:rsidR="00291E0E" w:rsidRPr="00607CFE">
          <w:rPr>
            <w:rStyle w:val="Hyperlink"/>
            <w:highlight w:val="cyan"/>
          </w:rPr>
          <w:t>5</w:t>
        </w:r>
      </w:hyperlink>
      <w:r w:rsidRPr="00607CFE">
        <w:rPr>
          <w:highlight w:val="cyan"/>
        </w:rPr>
        <w:t>, while variance-sensitiv</w:t>
      </w:r>
      <w:r w:rsidRPr="00607CFE">
        <w:rPr>
          <w:highlight w:val="cyan"/>
        </w:rPr>
        <w:t xml:space="preserve">e interpretation </w:t>
      </w:r>
      <w:r w:rsidR="00F924CA" w:rsidRPr="00607CFE">
        <w:rPr>
          <w:highlight w:val="cyan"/>
        </w:rPr>
        <w:t>is</w:t>
      </w:r>
      <w:r w:rsidRPr="00607CFE">
        <w:rPr>
          <w:highlight w:val="cyan"/>
        </w:rPr>
        <w:t xml:space="preserve"> handled through paired non-parametric testing, Holm correction, and robustness sweeps. </w:t>
      </w:r>
      <w:r w:rsidRPr="00607CFE">
        <w:rPr>
          <w:highlight w:val="cyan"/>
        </w:rPr>
        <w:lastRenderedPageBreak/>
        <w:t>This limitation should be addressed in the code-release version by exporting per-token and per-seed prediction files for every model.</w:t>
      </w:r>
    </w:p>
    <w:p w14:paraId="71E28F58" w14:textId="77777777" w:rsidR="00EB0B3D" w:rsidRPr="00A1631D" w:rsidRDefault="00D44EF6" w:rsidP="00A1631D">
      <w:pPr>
        <w:pStyle w:val="Heading1"/>
      </w:pPr>
      <w:bookmarkStart w:id="20" w:name="conclusion"/>
      <w:bookmarkEnd w:id="19"/>
      <w:r w:rsidRPr="00A1631D">
        <w:t>Conclusion</w:t>
      </w:r>
    </w:p>
    <w:p w14:paraId="1BA20D5F" w14:textId="064A1B6A" w:rsidR="00EB0B3D" w:rsidRDefault="003C2F55" w:rsidP="00291E0E">
      <w:pPr>
        <w:pStyle w:val="FirstParagraph"/>
        <w:jc w:val="both"/>
      </w:pPr>
      <w:r>
        <w:t xml:space="preserve">PRISM significantly outperforms several standard baselines on the validated 200-token subset and it </w:t>
      </w:r>
      <w:r w:rsidR="00F924CA">
        <w:t>is</w:t>
      </w:r>
      <w:r>
        <w:t xml:space="preserve"> shown that reproducible multi-modal augmentation yields substantial and statistically verified gains over reduced variants of the same system. At the same time, it </w:t>
      </w:r>
      <w:r w:rsidR="00F924CA">
        <w:t>is</w:t>
      </w:r>
      <w:r>
        <w:t xml:space="preserve"> also shown that strong simple baselines, especially Prophet and Persistence, remain highly competitive under aggregate MAE.</w:t>
      </w:r>
    </w:p>
    <w:p w14:paraId="32E7A64B" w14:textId="7C9A772F" w:rsidR="00EB0B3D" w:rsidRDefault="00D44EF6" w:rsidP="00291E0E">
      <w:pPr>
        <w:pStyle w:val="BodyText"/>
        <w:jc w:val="both"/>
      </w:pPr>
      <w:r>
        <w:t xml:space="preserve">The study therefore contributes most strongly in three places: reproducible data handling, explicit </w:t>
      </w:r>
      <w:r>
        <w:t xml:space="preserve">sequential ablation, and claim-safe comparative evaluation. For </w:t>
      </w:r>
      <w:proofErr w:type="spellStart"/>
      <w:r>
        <w:t>memecoin</w:t>
      </w:r>
      <w:proofErr w:type="spellEnd"/>
      <w:r>
        <w:t xml:space="preserve"> forecasting, these contributions are not trivial. The literature has increasingly moved toward multi-modal and socio-financial modeling, but the discipline of evaluation often lags be</w:t>
      </w:r>
      <w:r>
        <w:t xml:space="preserve">hind model novelty. By documenting the token universe, filtering logic, descriptive characteristics, hyperparameters, baseline registry, significance tests, and robustness sweeps, the present draft </w:t>
      </w:r>
      <w:r w:rsidR="00F924CA">
        <w:t>is</w:t>
      </w:r>
      <w:r>
        <w:t xml:space="preserve"> written to meet that gap directly.</w:t>
      </w:r>
    </w:p>
    <w:p w14:paraId="7BE3483C" w14:textId="77777777" w:rsidR="00EB0B3D" w:rsidRDefault="00D44EF6" w:rsidP="00291E0E">
      <w:pPr>
        <w:pStyle w:val="BodyText"/>
        <w:jc w:val="both"/>
      </w:pPr>
      <w:r>
        <w:t xml:space="preserve">Future work should </w:t>
      </w:r>
      <w:r>
        <w:t xml:space="preserve">replace the surrogate recurrent baselines with native implementations, extend the token universe beyond the deterministic 200-token subset, and incorporate richer multimodal </w:t>
      </w:r>
      <w:proofErr w:type="spellStart"/>
      <w:r>
        <w:t>memecoin</w:t>
      </w:r>
      <w:proofErr w:type="spellEnd"/>
      <w:r>
        <w:t xml:space="preserve"> signals drawn from images, community structure, wallet-flow variables, or</w:t>
      </w:r>
      <w:r>
        <w:t xml:space="preserve"> cross-chain dynamics. Even without those additions, the present revision addresses the </w:t>
      </w:r>
      <w:r w:rsidRPr="00607CFE">
        <w:rPr>
          <w:highlight w:val="cyan"/>
        </w:rPr>
        <w:t>key reviewer concerns</w:t>
      </w:r>
      <w:r>
        <w:t xml:space="preserve"> and supports submission to a new journal with a scope centered on computational finance, financial data science, or applied forecasting.</w:t>
      </w:r>
    </w:p>
    <w:p w14:paraId="59572074" w14:textId="77777777" w:rsidR="00EB0B3D" w:rsidRPr="00A1631D" w:rsidRDefault="00D44EF6" w:rsidP="00A1631D">
      <w:pPr>
        <w:pStyle w:val="Heading1"/>
      </w:pPr>
      <w:bookmarkStart w:id="21" w:name="references"/>
      <w:bookmarkEnd w:id="20"/>
      <w:r w:rsidRPr="00A1631D">
        <w:t>Reference</w:t>
      </w:r>
      <w:r w:rsidRPr="00A1631D">
        <w:t>s</w:t>
      </w:r>
    </w:p>
    <w:p w14:paraId="7E84E950" w14:textId="77777777" w:rsidR="00EB0B3D" w:rsidRDefault="00D44EF6">
      <w:pPr>
        <w:numPr>
          <w:ilvl w:val="0"/>
          <w:numId w:val="2"/>
        </w:numPr>
      </w:pPr>
      <w:proofErr w:type="spellStart"/>
      <w:r>
        <w:t>Biki</w:t>
      </w:r>
      <w:proofErr w:type="spellEnd"/>
      <w:r>
        <w:t xml:space="preserve">, B. B., et al. (2025). Analysis and forecasting of cryptocurrency markets using Bayesian and neural approaches. </w:t>
      </w:r>
      <w:r>
        <w:rPr>
          <w:i/>
          <w:iCs/>
        </w:rPr>
        <w:t>Information</w:t>
      </w:r>
      <w:r>
        <w:t>, 12(3), 87.</w:t>
      </w:r>
    </w:p>
    <w:p w14:paraId="4BF7A6D6" w14:textId="77777777" w:rsidR="00EB0B3D" w:rsidRDefault="00D44EF6">
      <w:pPr>
        <w:numPr>
          <w:ilvl w:val="0"/>
          <w:numId w:val="2"/>
        </w:numPr>
      </w:pPr>
      <w:proofErr w:type="spellStart"/>
      <w:r>
        <w:t>Critien</w:t>
      </w:r>
      <w:proofErr w:type="spellEnd"/>
      <w:r>
        <w:t xml:space="preserve">, J. V., </w:t>
      </w:r>
      <w:proofErr w:type="spellStart"/>
      <w:r>
        <w:t>Gatt</w:t>
      </w:r>
      <w:proofErr w:type="spellEnd"/>
      <w:r>
        <w:t>, A., and Ellul, J. (2022). Bitcoin price change and trend prediction through Twitter sentime</w:t>
      </w:r>
      <w:r>
        <w:t xml:space="preserve">nt and data volume. </w:t>
      </w:r>
      <w:r>
        <w:rPr>
          <w:i/>
          <w:iCs/>
        </w:rPr>
        <w:t>Financial Innovation</w:t>
      </w:r>
      <w:r>
        <w:t>, 8(1), 1–20.</w:t>
      </w:r>
    </w:p>
    <w:p w14:paraId="76C8347C" w14:textId="77777777" w:rsidR="00EB0B3D" w:rsidRDefault="00D44EF6">
      <w:pPr>
        <w:numPr>
          <w:ilvl w:val="0"/>
          <w:numId w:val="2"/>
        </w:numPr>
      </w:pPr>
      <w:r>
        <w:t xml:space="preserve">Finn, C., </w:t>
      </w:r>
      <w:proofErr w:type="spellStart"/>
      <w:r>
        <w:t>Abbeel</w:t>
      </w:r>
      <w:proofErr w:type="spellEnd"/>
      <w:r>
        <w:t xml:space="preserve">, P., and Levine, S. (2017). Model-agnostic meta-learning for fast adaptation of deep networks. </w:t>
      </w:r>
      <w:r>
        <w:rPr>
          <w:i/>
          <w:iCs/>
        </w:rPr>
        <w:t>Proceedings of the 34th International Conference on Machine Learning</w:t>
      </w:r>
      <w:r>
        <w:t>, 1126–1135.</w:t>
      </w:r>
    </w:p>
    <w:p w14:paraId="79926397" w14:textId="77777777" w:rsidR="00EB0B3D" w:rsidRDefault="00D44EF6">
      <w:pPr>
        <w:numPr>
          <w:ilvl w:val="0"/>
          <w:numId w:val="2"/>
        </w:numPr>
      </w:pPr>
      <w:proofErr w:type="spellStart"/>
      <w:r>
        <w:t>Giantsidi</w:t>
      </w:r>
      <w:proofErr w:type="spellEnd"/>
      <w:r>
        <w:t xml:space="preserve">, S., et al. (2025). Deep learning for financial forecasting: A review of recent trends. </w:t>
      </w:r>
      <w:r>
        <w:rPr>
          <w:i/>
          <w:iCs/>
        </w:rPr>
        <w:t>Review of Economics</w:t>
      </w:r>
      <w:r>
        <w:t>, 104.</w:t>
      </w:r>
    </w:p>
    <w:p w14:paraId="0003A373" w14:textId="77777777" w:rsidR="00EB0B3D" w:rsidRDefault="00D44EF6">
      <w:pPr>
        <w:numPr>
          <w:ilvl w:val="0"/>
          <w:numId w:val="2"/>
        </w:numPr>
      </w:pPr>
      <w:proofErr w:type="spellStart"/>
      <w:r>
        <w:t>Gurgul</w:t>
      </w:r>
      <w:proofErr w:type="spellEnd"/>
      <w:r>
        <w:t xml:space="preserve">, V., </w:t>
      </w:r>
      <w:proofErr w:type="spellStart"/>
      <w:r>
        <w:t>Lessmann</w:t>
      </w:r>
      <w:proofErr w:type="spellEnd"/>
      <w:r>
        <w:t xml:space="preserve">, S., and </w:t>
      </w:r>
      <w:proofErr w:type="spellStart"/>
      <w:r>
        <w:t>Härdle</w:t>
      </w:r>
      <w:proofErr w:type="spellEnd"/>
      <w:r>
        <w:t>, W. K. (2025). Deep learning and NLP in cryptocurrency forecasting: Integrating financial, blockchain, a</w:t>
      </w:r>
      <w:r>
        <w:t xml:space="preserve">nd social media data. </w:t>
      </w:r>
      <w:r>
        <w:rPr>
          <w:i/>
          <w:iCs/>
        </w:rPr>
        <w:t>International Journal of Forecasting</w:t>
      </w:r>
      <w:r>
        <w:t>, 41(4), 1666–1695.</w:t>
      </w:r>
    </w:p>
    <w:p w14:paraId="26A2358A" w14:textId="77777777" w:rsidR="00EB0B3D" w:rsidRDefault="00D44EF6">
      <w:pPr>
        <w:numPr>
          <w:ilvl w:val="0"/>
          <w:numId w:val="2"/>
        </w:numPr>
      </w:pPr>
      <w:r>
        <w:t xml:space="preserve">Hidaka, R., </w:t>
      </w:r>
      <w:proofErr w:type="spellStart"/>
      <w:r>
        <w:t>Hamakawa</w:t>
      </w:r>
      <w:proofErr w:type="spellEnd"/>
      <w:r>
        <w:t xml:space="preserve">, Y., Nakayama, J., and </w:t>
      </w:r>
      <w:proofErr w:type="spellStart"/>
      <w:r>
        <w:t>Tatsumura</w:t>
      </w:r>
      <w:proofErr w:type="spellEnd"/>
      <w:r>
        <w:t xml:space="preserve">, K. (2023). Correlation-diversified portfolio construction by finding maximum independent </w:t>
      </w:r>
      <w:proofErr w:type="gramStart"/>
      <w:r>
        <w:t>set in</w:t>
      </w:r>
      <w:proofErr w:type="gramEnd"/>
      <w:r>
        <w:t xml:space="preserve"> large-scale market graph. </w:t>
      </w:r>
      <w:r>
        <w:rPr>
          <w:i/>
          <w:iCs/>
        </w:rPr>
        <w:t>I</w:t>
      </w:r>
      <w:r>
        <w:rPr>
          <w:i/>
          <w:iCs/>
        </w:rPr>
        <w:t>EEE Access</w:t>
      </w:r>
      <w:r>
        <w:t>, 11, 142979–142991.</w:t>
      </w:r>
    </w:p>
    <w:p w14:paraId="37ECC2E8" w14:textId="77777777" w:rsidR="00EB0B3D" w:rsidRDefault="00D44EF6">
      <w:pPr>
        <w:numPr>
          <w:ilvl w:val="0"/>
          <w:numId w:val="2"/>
        </w:numPr>
      </w:pPr>
      <w:proofErr w:type="spellStart"/>
      <w:r>
        <w:t>Hochreiter</w:t>
      </w:r>
      <w:proofErr w:type="spellEnd"/>
      <w:r>
        <w:t xml:space="preserve">, S., and </w:t>
      </w:r>
      <w:proofErr w:type="spellStart"/>
      <w:r>
        <w:t>Schmidhuber</w:t>
      </w:r>
      <w:proofErr w:type="spellEnd"/>
      <w:r>
        <w:t xml:space="preserve">, J. (1997). Long short-term memory. </w:t>
      </w:r>
      <w:r>
        <w:rPr>
          <w:i/>
          <w:iCs/>
        </w:rPr>
        <w:t>Neural Computation</w:t>
      </w:r>
      <w:r>
        <w:t>, 9(8), 1735–1780.</w:t>
      </w:r>
    </w:p>
    <w:p w14:paraId="10FE026F" w14:textId="77777777" w:rsidR="00EB0B3D" w:rsidRDefault="00D44EF6">
      <w:pPr>
        <w:numPr>
          <w:ilvl w:val="0"/>
          <w:numId w:val="2"/>
        </w:numPr>
      </w:pPr>
      <w:r>
        <w:t xml:space="preserve">Hutto, C. J., and Gilbert, E. (2014). VADER: A parsimonious rule-based model for sentiment analysis of social media text. </w:t>
      </w:r>
      <w:r>
        <w:rPr>
          <w:i/>
          <w:iCs/>
        </w:rPr>
        <w:t>Proceedings of ICWSM</w:t>
      </w:r>
      <w:r>
        <w:t>, 216–225.</w:t>
      </w:r>
    </w:p>
    <w:p w14:paraId="7BB00455" w14:textId="77777777" w:rsidR="00EB0B3D" w:rsidRDefault="00D44EF6">
      <w:pPr>
        <w:numPr>
          <w:ilvl w:val="0"/>
          <w:numId w:val="2"/>
        </w:numPr>
      </w:pPr>
      <w:r>
        <w:t>Izadi, M. A., et al. (2025). Time series prediction for cryptocurrency markets with transformer and con</w:t>
      </w:r>
      <w:r>
        <w:t xml:space="preserve">volutional architectures. </w:t>
      </w:r>
      <w:r>
        <w:rPr>
          <w:i/>
          <w:iCs/>
        </w:rPr>
        <w:t>Applied Soft Computing</w:t>
      </w:r>
      <w:r>
        <w:t>.</w:t>
      </w:r>
    </w:p>
    <w:p w14:paraId="2AA330EF" w14:textId="77777777" w:rsidR="00EB0B3D" w:rsidRDefault="00D44EF6">
      <w:pPr>
        <w:numPr>
          <w:ilvl w:val="0"/>
          <w:numId w:val="2"/>
        </w:numPr>
      </w:pPr>
      <w:r>
        <w:lastRenderedPageBreak/>
        <w:t xml:space="preserve">Jang, S., et al. (2025). Price prediction of PFP NFT based on sentiments and economic indicators. </w:t>
      </w:r>
      <w:r>
        <w:rPr>
          <w:i/>
          <w:iCs/>
        </w:rPr>
        <w:t>Scientific Reports</w:t>
      </w:r>
      <w:r>
        <w:t>.</w:t>
      </w:r>
    </w:p>
    <w:p w14:paraId="519904A2" w14:textId="77777777" w:rsidR="00EB0B3D" w:rsidRDefault="00D44EF6">
      <w:pPr>
        <w:numPr>
          <w:ilvl w:val="0"/>
          <w:numId w:val="2"/>
        </w:numPr>
      </w:pPr>
      <w:r>
        <w:t>Kaur, R., et al. (2025). Development of a cryptocurrency price prediction model: Leverag</w:t>
      </w:r>
      <w:r>
        <w:t xml:space="preserve">ing GRU and LSTM for Bitcoin, Litecoin and Ethereum. </w:t>
      </w:r>
      <w:proofErr w:type="spellStart"/>
      <w:r>
        <w:rPr>
          <w:i/>
          <w:iCs/>
        </w:rPr>
        <w:t>PeerJ</w:t>
      </w:r>
      <w:proofErr w:type="spellEnd"/>
      <w:r>
        <w:rPr>
          <w:i/>
          <w:iCs/>
        </w:rPr>
        <w:t xml:space="preserve"> Computer Science</w:t>
      </w:r>
      <w:r>
        <w:t>.</w:t>
      </w:r>
    </w:p>
    <w:p w14:paraId="7653A373" w14:textId="77777777" w:rsidR="00EB0B3D" w:rsidRDefault="00D44EF6">
      <w:pPr>
        <w:numPr>
          <w:ilvl w:val="0"/>
          <w:numId w:val="2"/>
        </w:numPr>
      </w:pPr>
      <w:proofErr w:type="spellStart"/>
      <w:r>
        <w:t>Ke</w:t>
      </w:r>
      <w:proofErr w:type="spellEnd"/>
      <w:r>
        <w:t>, P. F., et al. (2025). A socio-technical analysis of market reactions on meme coins. Singapore Management University research paper.</w:t>
      </w:r>
    </w:p>
    <w:p w14:paraId="01B26280" w14:textId="77777777" w:rsidR="00EB0B3D" w:rsidRDefault="00D44EF6">
      <w:pPr>
        <w:numPr>
          <w:ilvl w:val="0"/>
          <w:numId w:val="2"/>
        </w:numPr>
      </w:pPr>
      <w:r>
        <w:t>Lee, M. C. (2025). Temporal Fusion Transfor</w:t>
      </w:r>
      <w:r>
        <w:t xml:space="preserve">mer-based trading strategy for cryptocurrency markets using on-chain and technical indicators. </w:t>
      </w:r>
      <w:r>
        <w:rPr>
          <w:i/>
          <w:iCs/>
        </w:rPr>
        <w:t>Systems</w:t>
      </w:r>
      <w:r>
        <w:t>, 13(6), 474.</w:t>
      </w:r>
    </w:p>
    <w:p w14:paraId="33797562" w14:textId="77777777" w:rsidR="00EB0B3D" w:rsidRDefault="00D44EF6">
      <w:pPr>
        <w:numPr>
          <w:ilvl w:val="0"/>
          <w:numId w:val="2"/>
        </w:numPr>
      </w:pPr>
      <w:r>
        <w:t xml:space="preserve">Lim, B., </w:t>
      </w:r>
      <w:proofErr w:type="spellStart"/>
      <w:r>
        <w:t>Arık</w:t>
      </w:r>
      <w:proofErr w:type="spellEnd"/>
      <w:r>
        <w:t xml:space="preserve">, S. Ö., </w:t>
      </w:r>
      <w:proofErr w:type="spellStart"/>
      <w:r>
        <w:t>Loeff</w:t>
      </w:r>
      <w:proofErr w:type="spellEnd"/>
      <w:r>
        <w:t>, N., and Pfister, T. (2021). Temporal Fusion Transformers for interpretable multi-horizon time series forecastin</w:t>
      </w:r>
      <w:r>
        <w:t xml:space="preserve">g. </w:t>
      </w:r>
      <w:r>
        <w:rPr>
          <w:i/>
          <w:iCs/>
        </w:rPr>
        <w:t>International Journal of Forecasting</w:t>
      </w:r>
      <w:r>
        <w:t>, 37(4), 1748–1764.</w:t>
      </w:r>
    </w:p>
    <w:p w14:paraId="559902E0" w14:textId="77777777" w:rsidR="00EB0B3D" w:rsidRDefault="00D44EF6">
      <w:pPr>
        <w:numPr>
          <w:ilvl w:val="0"/>
          <w:numId w:val="2"/>
        </w:numPr>
      </w:pPr>
      <w:r>
        <w:t xml:space="preserve">Long, H.-W., Wong, N.-M., and Cai, W. (2025a). Bridging culture and finance: A multimodal analysis of </w:t>
      </w:r>
      <w:proofErr w:type="spellStart"/>
      <w:r>
        <w:t>memecoins</w:t>
      </w:r>
      <w:proofErr w:type="spellEnd"/>
      <w:r>
        <w:t xml:space="preserve"> in the Web3 ecosystem. </w:t>
      </w:r>
      <w:r>
        <w:rPr>
          <w:i/>
          <w:iCs/>
        </w:rPr>
        <w:t>Companion Proceedings of The ACM Web Conference 2025</w:t>
      </w:r>
      <w:r>
        <w:t>, 1158–116</w:t>
      </w:r>
      <w:r>
        <w:t>1.</w:t>
      </w:r>
    </w:p>
    <w:p w14:paraId="6A1026C9" w14:textId="77777777" w:rsidR="00EB0B3D" w:rsidRDefault="00D44EF6">
      <w:pPr>
        <w:numPr>
          <w:ilvl w:val="0"/>
          <w:numId w:val="2"/>
        </w:numPr>
      </w:pPr>
      <w:r>
        <w:t xml:space="preserve">Long, H.-W., Li, H., Wong, N.-M., and Cai, W. (2025b). </w:t>
      </w:r>
      <w:proofErr w:type="spellStart"/>
      <w:r>
        <w:t>CoinCLIP</w:t>
      </w:r>
      <w:proofErr w:type="spellEnd"/>
      <w:r>
        <w:t xml:space="preserve">: A multimodal framework for assessing viability in Web3 </w:t>
      </w:r>
      <w:proofErr w:type="spellStart"/>
      <w:r>
        <w:t>memecoins</w:t>
      </w:r>
      <w:proofErr w:type="spellEnd"/>
      <w:r>
        <w:t xml:space="preserve">. </w:t>
      </w:r>
      <w:r>
        <w:rPr>
          <w:i/>
          <w:iCs/>
        </w:rPr>
        <w:t>Proceedings of the 34th ACM International Conference on Information and Knowledge Management</w:t>
      </w:r>
      <w:r>
        <w:t>.</w:t>
      </w:r>
    </w:p>
    <w:p w14:paraId="08ACDDF1" w14:textId="77777777" w:rsidR="00EB0B3D" w:rsidRDefault="00D44EF6">
      <w:pPr>
        <w:numPr>
          <w:ilvl w:val="0"/>
          <w:numId w:val="2"/>
        </w:numPr>
      </w:pPr>
      <w:r>
        <w:t xml:space="preserve">Nezhad, M. M., Rouhani, S., </w:t>
      </w:r>
      <w:r>
        <w:t xml:space="preserve">Mohammadi, N., et al. (2026). A unified GRU model for cryptocurrency price prediction and harsh price movement detection using enhanced sentiment analysis. </w:t>
      </w:r>
      <w:r>
        <w:rPr>
          <w:i/>
          <w:iCs/>
        </w:rPr>
        <w:t>Scientific Reports</w:t>
      </w:r>
      <w:r>
        <w:t>. https://doi.org/10.1038/s41598-026-46271-w</w:t>
      </w:r>
    </w:p>
    <w:p w14:paraId="6ACB0FC2" w14:textId="77777777" w:rsidR="00EB0B3D" w:rsidRDefault="00D44EF6">
      <w:pPr>
        <w:numPr>
          <w:ilvl w:val="0"/>
          <w:numId w:val="2"/>
        </w:numPr>
      </w:pPr>
      <w:proofErr w:type="spellStart"/>
      <w:r>
        <w:t>Oreshkin</w:t>
      </w:r>
      <w:proofErr w:type="spellEnd"/>
      <w:r>
        <w:t xml:space="preserve">, B. N., </w:t>
      </w:r>
      <w:proofErr w:type="spellStart"/>
      <w:r>
        <w:t>Carpov</w:t>
      </w:r>
      <w:proofErr w:type="spellEnd"/>
      <w:r>
        <w:t xml:space="preserve">, D., </w:t>
      </w:r>
      <w:proofErr w:type="spellStart"/>
      <w:r>
        <w:t>Chapados</w:t>
      </w:r>
      <w:proofErr w:type="spellEnd"/>
      <w:r>
        <w:t xml:space="preserve">, N., and </w:t>
      </w:r>
      <w:proofErr w:type="spellStart"/>
      <w:r>
        <w:t>Bengio</w:t>
      </w:r>
      <w:proofErr w:type="spellEnd"/>
      <w:r>
        <w:t xml:space="preserve">, Y. (2020). N-BEATS: Neural basis expansion analysis for interpretable time series forecasting. </w:t>
      </w:r>
      <w:r>
        <w:rPr>
          <w:i/>
          <w:iCs/>
        </w:rPr>
        <w:t>International Conference on Learning Representations</w:t>
      </w:r>
      <w:r>
        <w:t>.</w:t>
      </w:r>
    </w:p>
    <w:p w14:paraId="0B2881F0" w14:textId="77777777" w:rsidR="00EB0B3D" w:rsidRDefault="00D44EF6">
      <w:pPr>
        <w:numPr>
          <w:ilvl w:val="0"/>
          <w:numId w:val="2"/>
        </w:numPr>
      </w:pPr>
      <w:proofErr w:type="spellStart"/>
      <w:r>
        <w:t>Ortu</w:t>
      </w:r>
      <w:proofErr w:type="spellEnd"/>
      <w:r>
        <w:t xml:space="preserve">, M., </w:t>
      </w:r>
      <w:proofErr w:type="spellStart"/>
      <w:r>
        <w:t>Uras</w:t>
      </w:r>
      <w:proofErr w:type="spellEnd"/>
      <w:r>
        <w:t xml:space="preserve">, N., </w:t>
      </w:r>
      <w:proofErr w:type="spellStart"/>
      <w:r>
        <w:t>Conversano</w:t>
      </w:r>
      <w:proofErr w:type="spellEnd"/>
      <w:r>
        <w:t xml:space="preserve">, C., Bartolucci, S., and </w:t>
      </w:r>
      <w:proofErr w:type="spellStart"/>
      <w:r>
        <w:t>Destefanis</w:t>
      </w:r>
      <w:proofErr w:type="spellEnd"/>
      <w:r>
        <w:t>, G. (2022). On technic</w:t>
      </w:r>
      <w:r>
        <w:t xml:space="preserve">al trading and social media indicators for cryptocurrency price classification through deep learning. </w:t>
      </w:r>
      <w:r>
        <w:rPr>
          <w:i/>
          <w:iCs/>
        </w:rPr>
        <w:t>Expert Systems with Applications</w:t>
      </w:r>
      <w:r>
        <w:t>, 198, 116804.</w:t>
      </w:r>
    </w:p>
    <w:p w14:paraId="2C0D7C6D" w14:textId="77777777" w:rsidR="00EB0B3D" w:rsidRDefault="00D44EF6">
      <w:pPr>
        <w:numPr>
          <w:ilvl w:val="0"/>
          <w:numId w:val="2"/>
        </w:numPr>
      </w:pPr>
      <w:proofErr w:type="spellStart"/>
      <w:r>
        <w:t>Roumeliotis</w:t>
      </w:r>
      <w:proofErr w:type="spellEnd"/>
      <w:r>
        <w:t xml:space="preserve">, K. I., Tselikas, N. D., and </w:t>
      </w:r>
      <w:proofErr w:type="spellStart"/>
      <w:r>
        <w:t>Nasiopoulos</w:t>
      </w:r>
      <w:proofErr w:type="spellEnd"/>
      <w:r>
        <w:t>, D. K. (2024). LLMs and NLP models in cryptocurrency s</w:t>
      </w:r>
      <w:r>
        <w:t xml:space="preserve">entiment analysis: A comparative classification study. </w:t>
      </w:r>
      <w:r>
        <w:rPr>
          <w:i/>
          <w:iCs/>
        </w:rPr>
        <w:t>Big Data and Cognitive Computing</w:t>
      </w:r>
      <w:r>
        <w:t>, 8(6), 63.</w:t>
      </w:r>
    </w:p>
    <w:p w14:paraId="1C6B29D5" w14:textId="77777777" w:rsidR="00EB0B3D" w:rsidRDefault="00D44EF6">
      <w:pPr>
        <w:numPr>
          <w:ilvl w:val="0"/>
          <w:numId w:val="2"/>
        </w:numPr>
      </w:pPr>
      <w:r>
        <w:t xml:space="preserve">Salinas, D., </w:t>
      </w:r>
      <w:proofErr w:type="spellStart"/>
      <w:r>
        <w:t>Flunkert</w:t>
      </w:r>
      <w:proofErr w:type="spellEnd"/>
      <w:r>
        <w:t xml:space="preserve">, V., </w:t>
      </w:r>
      <w:proofErr w:type="spellStart"/>
      <w:r>
        <w:t>Gasthaus</w:t>
      </w:r>
      <w:proofErr w:type="spellEnd"/>
      <w:r>
        <w:t xml:space="preserve">, J., and </w:t>
      </w:r>
      <w:proofErr w:type="spellStart"/>
      <w:r>
        <w:t>Januschowski</w:t>
      </w:r>
      <w:proofErr w:type="spellEnd"/>
      <w:r>
        <w:t xml:space="preserve">, T. (2020). </w:t>
      </w:r>
      <w:proofErr w:type="spellStart"/>
      <w:r>
        <w:t>DeepAR</w:t>
      </w:r>
      <w:proofErr w:type="spellEnd"/>
      <w:r>
        <w:t xml:space="preserve">: Probabilistic forecasting with autoregressive recurrent networks. </w:t>
      </w:r>
      <w:r>
        <w:rPr>
          <w:i/>
          <w:iCs/>
        </w:rPr>
        <w:t>International</w:t>
      </w:r>
      <w:r>
        <w:rPr>
          <w:i/>
          <w:iCs/>
        </w:rPr>
        <w:t xml:space="preserve"> Journal of Forecasting</w:t>
      </w:r>
      <w:r>
        <w:t>, 36(3), 1181–1191.</w:t>
      </w:r>
    </w:p>
    <w:p w14:paraId="563087C0" w14:textId="77777777" w:rsidR="00EB0B3D" w:rsidRDefault="00D44EF6">
      <w:pPr>
        <w:numPr>
          <w:ilvl w:val="0"/>
          <w:numId w:val="2"/>
        </w:numPr>
      </w:pPr>
      <w:proofErr w:type="spellStart"/>
      <w:r>
        <w:t>Tabe</w:t>
      </w:r>
      <w:proofErr w:type="spellEnd"/>
      <w:r>
        <w:t xml:space="preserve">, F., et al. (2026). Proposing a hybrid deep learning model with sentiment analysis for cryptocurrency price prediction. </w:t>
      </w:r>
      <w:r>
        <w:rPr>
          <w:i/>
          <w:iCs/>
        </w:rPr>
        <w:t>Expert Systems with Applications</w:t>
      </w:r>
      <w:r>
        <w:t>.</w:t>
      </w:r>
    </w:p>
    <w:p w14:paraId="1ED4B382" w14:textId="77777777" w:rsidR="00EB0B3D" w:rsidRDefault="00D44EF6">
      <w:pPr>
        <w:numPr>
          <w:ilvl w:val="0"/>
          <w:numId w:val="2"/>
        </w:numPr>
      </w:pPr>
      <w:r>
        <w:t xml:space="preserve">Taylor, S. J., and </w:t>
      </w:r>
      <w:proofErr w:type="spellStart"/>
      <w:r>
        <w:t>Letham</w:t>
      </w:r>
      <w:proofErr w:type="spellEnd"/>
      <w:r>
        <w:t>, B. (2018). Forecasting at s</w:t>
      </w:r>
      <w:r>
        <w:t xml:space="preserve">cale. </w:t>
      </w:r>
      <w:r>
        <w:rPr>
          <w:i/>
          <w:iCs/>
        </w:rPr>
        <w:t>The American Statistician</w:t>
      </w:r>
      <w:r>
        <w:t>, 72(1), 37–45.</w:t>
      </w:r>
    </w:p>
    <w:p w14:paraId="60F74523" w14:textId="77777777" w:rsidR="00EB0B3D" w:rsidRDefault="00D44EF6">
      <w:pPr>
        <w:numPr>
          <w:ilvl w:val="0"/>
          <w:numId w:val="2"/>
        </w:numPr>
      </w:pPr>
      <w:r>
        <w:t xml:space="preserve">Tiwari, D., </w:t>
      </w:r>
      <w:proofErr w:type="spellStart"/>
      <w:r>
        <w:t>Bhati</w:t>
      </w:r>
      <w:proofErr w:type="spellEnd"/>
      <w:r>
        <w:t xml:space="preserve">, B. S., Nagpal, B., Al-Rasheed, A., </w:t>
      </w:r>
      <w:proofErr w:type="spellStart"/>
      <w:r>
        <w:t>Getahun</w:t>
      </w:r>
      <w:proofErr w:type="spellEnd"/>
      <w:r>
        <w:t xml:space="preserve">, M., and </w:t>
      </w:r>
      <w:proofErr w:type="spellStart"/>
      <w:r>
        <w:t>Soufiene</w:t>
      </w:r>
      <w:proofErr w:type="spellEnd"/>
      <w:r>
        <w:t xml:space="preserve">, B. O. (2025a). A swarm-optimization based fusion model of sentiment analysis for cryptocurrency price prediction. </w:t>
      </w:r>
      <w:r>
        <w:rPr>
          <w:i/>
          <w:iCs/>
        </w:rPr>
        <w:t>Scientific Rep</w:t>
      </w:r>
      <w:r>
        <w:rPr>
          <w:i/>
          <w:iCs/>
        </w:rPr>
        <w:t>orts</w:t>
      </w:r>
      <w:r>
        <w:t>, 15, 8119.</w:t>
      </w:r>
    </w:p>
    <w:p w14:paraId="0924316D" w14:textId="77777777" w:rsidR="00EB0B3D" w:rsidRDefault="00D44EF6">
      <w:pPr>
        <w:numPr>
          <w:ilvl w:val="0"/>
          <w:numId w:val="2"/>
        </w:numPr>
      </w:pPr>
      <w:r>
        <w:t xml:space="preserve">Tiwari, D., et al. (2025b). Attention-augmented hybrid CNN-LSTM model for social media sentiment analysis in cryptocurrency investment decision-making. </w:t>
      </w:r>
      <w:r>
        <w:rPr>
          <w:i/>
          <w:iCs/>
        </w:rPr>
        <w:t>Scientific Reports</w:t>
      </w:r>
      <w:r>
        <w:t>.</w:t>
      </w:r>
    </w:p>
    <w:p w14:paraId="4C88D0AE" w14:textId="77777777" w:rsidR="00EB0B3D" w:rsidRDefault="00D44EF6">
      <w:pPr>
        <w:numPr>
          <w:ilvl w:val="0"/>
          <w:numId w:val="2"/>
        </w:numPr>
      </w:pPr>
      <w:r>
        <w:t xml:space="preserve">Yeganeh, A., Hu, X., </w:t>
      </w:r>
      <w:proofErr w:type="spellStart"/>
      <w:r>
        <w:t>Shongwe</w:t>
      </w:r>
      <w:proofErr w:type="spellEnd"/>
      <w:r>
        <w:t>, S. C., and Koning, F. F. (2025). Using the attention l</w:t>
      </w:r>
      <w:r>
        <w:t xml:space="preserve">ayer mechanism in construction of a novel ratio control chart: An application to Ethereum price prediction and automated trading strategy. </w:t>
      </w:r>
      <w:r>
        <w:rPr>
          <w:i/>
          <w:iCs/>
        </w:rPr>
        <w:t>Engineering Applications of Artificial Intelligence</w:t>
      </w:r>
      <w:r>
        <w:t>, 141, 109652.</w:t>
      </w:r>
    </w:p>
    <w:p w14:paraId="37BA71E3" w14:textId="77777777" w:rsidR="00EB0B3D" w:rsidRDefault="00D44EF6">
      <w:pPr>
        <w:numPr>
          <w:ilvl w:val="0"/>
          <w:numId w:val="2"/>
        </w:numPr>
      </w:pPr>
      <w:proofErr w:type="spellStart"/>
      <w:r>
        <w:lastRenderedPageBreak/>
        <w:t>Zatwarnicki</w:t>
      </w:r>
      <w:proofErr w:type="spellEnd"/>
      <w:r>
        <w:t>, M. (2025). Timing usage of technical a</w:t>
      </w:r>
      <w:r>
        <w:t xml:space="preserve">nalysis in the cryptocurrency market. </w:t>
      </w:r>
      <w:r>
        <w:rPr>
          <w:i/>
          <w:iCs/>
        </w:rPr>
        <w:t>Applied Sciences</w:t>
      </w:r>
      <w:r>
        <w:t>, 15(23), 12802.</w:t>
      </w:r>
    </w:p>
    <w:p w14:paraId="06AFE0AB" w14:textId="77777777" w:rsidR="00EB0B3D" w:rsidRDefault="00D44EF6">
      <w:pPr>
        <w:numPr>
          <w:ilvl w:val="0"/>
          <w:numId w:val="2"/>
        </w:numPr>
      </w:pPr>
      <w:r>
        <w:t xml:space="preserve">Zhou, H., Zhang, S., Peng, J., Zhang, S., Li, J., </w:t>
      </w:r>
      <w:proofErr w:type="spellStart"/>
      <w:r>
        <w:t>Xiong</w:t>
      </w:r>
      <w:proofErr w:type="spellEnd"/>
      <w:r>
        <w:t xml:space="preserve">, H., and Zhang, W. (2021). Informer: Beyond efficient transformer for long sequence time-series forecasting. </w:t>
      </w:r>
      <w:r>
        <w:rPr>
          <w:i/>
          <w:iCs/>
        </w:rPr>
        <w:t>Proceedings of AAAI</w:t>
      </w:r>
      <w:r>
        <w:t>,</w:t>
      </w:r>
      <w:r>
        <w:t xml:space="preserve"> 35(12), 11106–11115.</w:t>
      </w:r>
      <w:bookmarkEnd w:id="21"/>
    </w:p>
    <w:sectPr w:rsidR="00EB0B3D">
      <w:pgSz w:w="12240" w:h="15840"/>
      <w:pgMar w:top="1152" w:right="1152" w:bottom="1152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93961" w14:textId="77777777" w:rsidR="00D44EF6" w:rsidRDefault="00D44EF6">
      <w:pPr>
        <w:spacing w:after="0" w:line="240" w:lineRule="auto"/>
      </w:pPr>
      <w:r>
        <w:separator/>
      </w:r>
    </w:p>
  </w:endnote>
  <w:endnote w:type="continuationSeparator" w:id="0">
    <w:p w14:paraId="096F1096" w14:textId="77777777" w:rsidR="00D44EF6" w:rsidRDefault="00D44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11549" w14:textId="77777777" w:rsidR="00D44EF6" w:rsidRDefault="00D44EF6">
      <w:r>
        <w:separator/>
      </w:r>
    </w:p>
  </w:footnote>
  <w:footnote w:type="continuationSeparator" w:id="0">
    <w:p w14:paraId="267CF9B1" w14:textId="77777777" w:rsidR="00D44EF6" w:rsidRDefault="00D44E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572B4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201"/>
    <w:multiLevelType w:val="multilevel"/>
    <w:tmpl w:val="8A207E5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2" w15:restartNumberingAfterBreak="0">
    <w:nsid w:val="1D3B199D"/>
    <w:multiLevelType w:val="hybridMultilevel"/>
    <w:tmpl w:val="E8D86E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21D64"/>
    <w:multiLevelType w:val="hybridMultilevel"/>
    <w:tmpl w:val="A74EE4F8"/>
    <w:lvl w:ilvl="0" w:tplc="EDE046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A6C61"/>
    <w:multiLevelType w:val="hybridMultilevel"/>
    <w:tmpl w:val="2252E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3527D"/>
    <w:multiLevelType w:val="hybridMultilevel"/>
    <w:tmpl w:val="72B61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8859F4"/>
    <w:multiLevelType w:val="hybridMultilevel"/>
    <w:tmpl w:val="5FB649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3D"/>
    <w:rsid w:val="0001258B"/>
    <w:rsid w:val="000F7818"/>
    <w:rsid w:val="00122CEE"/>
    <w:rsid w:val="001827D4"/>
    <w:rsid w:val="001F525C"/>
    <w:rsid w:val="00261B0B"/>
    <w:rsid w:val="00291E0E"/>
    <w:rsid w:val="00353C9A"/>
    <w:rsid w:val="003C2F55"/>
    <w:rsid w:val="003D47C7"/>
    <w:rsid w:val="0049797D"/>
    <w:rsid w:val="00607CFE"/>
    <w:rsid w:val="00773C8D"/>
    <w:rsid w:val="00854E5B"/>
    <w:rsid w:val="00A1631D"/>
    <w:rsid w:val="00A343AC"/>
    <w:rsid w:val="00A755F6"/>
    <w:rsid w:val="00AE51E5"/>
    <w:rsid w:val="00BC6962"/>
    <w:rsid w:val="00CA17F0"/>
    <w:rsid w:val="00CB6135"/>
    <w:rsid w:val="00D44EF6"/>
    <w:rsid w:val="00EB0B3D"/>
    <w:rsid w:val="00EF1FE6"/>
    <w:rsid w:val="00EF6464"/>
    <w:rsid w:val="00F72346"/>
    <w:rsid w:val="00F924CA"/>
    <w:rsid w:val="00FA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8CB99"/>
  <w15:docId w15:val="{376EE9E6-4A3C-425F-84F1-19C213A9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itle" w:uiPriority="1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keepNext/>
      <w:keepLines/>
      <w:spacing w:before="140" w:after="8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A755F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6"/>
    </w:rPr>
  </w:style>
  <w:style w:type="table" w:styleId="TableGrid">
    <w:name w:val="Table Grid"/>
    <w:basedOn w:val="TableNormal"/>
    <w:uiPriority w:val="59"/>
    <w:rsid w:val="00A755F6"/>
    <w:pPr>
      <w:spacing w:after="0"/>
    </w:pPr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A1631D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C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yan.baitalik@gmail.com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subhabrata.banerjee@iem.edu.i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sanketghosh50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mailto:asujaanbhattacharyy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jashikdatta215@gmail.com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848AC-259F-495A-A801-D4CDE0D62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5447</Words>
  <Characters>31053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PRISM Revised Manuscript</vt:lpstr>
    </vt:vector>
  </TitlesOfParts>
  <Company/>
  <LinksUpToDate>false</LinksUpToDate>
  <CharactersWithSpaces>36428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Revised Manuscript</dc:title>
  <dc:creator>Subhabrata Banerjee</dc:creator>
  <cp:keywords/>
  <cp:lastModifiedBy>Subhabrata Banerjee</cp:lastModifiedBy>
  <cp:revision>3</cp:revision>
  <dcterms:created xsi:type="dcterms:W3CDTF">2026-05-03T14:17:00Z</dcterms:created>
  <dcterms:modified xsi:type="dcterms:W3CDTF">2026-05-03T14:17:00Z</dcterms:modified>
</cp:coreProperties>
</file>