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F3A60"/>
          <w:sz w:val="48"/>
        </w:rPr>
        <w:t>GEOVEXSIGHT PLATFORM MODERNIZATION</w:t>
      </w:r>
    </w:p>
    <w:p>
      <w:pPr>
        <w:spacing w:after="480"/>
        <w:jc w:val="center"/>
      </w:pPr>
      <w:r>
        <w:rPr>
          <w:i/>
          <w:color w:val="2E6B9E"/>
          <w:sz w:val="28"/>
        </w:rPr>
        <w:t>Detailed Codebase Comparative Analysis: Old (v3) vs. Modernized (v2)</w:t>
      </w:r>
    </w:p>
    <w:p>
      <w:pPr>
        <w:jc w:val="center"/>
      </w:pPr>
      <w:r>
        <w:t>--------------------------------------------------------------------------------</w:t>
      </w:r>
    </w:p>
    <w:p>
      <w:pPr>
        <w:keepNext/>
        <w:spacing w:before="360" w:after="120"/>
      </w:pPr>
      <w:r>
        <w:rPr>
          <w:rFonts w:ascii="Calibri" w:hAnsi="Calibri"/>
          <w:b/>
          <w:color w:val="1F3A60"/>
          <w:sz w:val="36"/>
        </w:rPr>
        <w:t>1. Executive Overview</w:t>
      </w:r>
    </w:p>
    <w:p>
      <w:r>
        <w:t>This report delivers a thorough engineering breakdown of the modernization work conducted on the GeoVexSight Enterprise Platform. Over the recent development cycle, the application was refactored from a simple database size viewer into an intelligent, secure monitoring, helpdesk, and automated diagnostics system. Legacy git conflict markers have been eliminated, python compatibility issues resolved, and strict data leakage security controls implemented.</w:t>
      </w:r>
    </w:p>
    <w:p>
      <w:pPr>
        <w:keepNext/>
        <w:spacing w:before="360" w:after="120"/>
      </w:pPr>
      <w:r>
        <w:rPr>
          <w:rFonts w:ascii="Calibri" w:hAnsi="Calibri"/>
          <w:b/>
          <w:color w:val="1F3A60"/>
          <w:sz w:val="36"/>
        </w:rPr>
        <w:t>2. Core Architectural &amp; Backend Differences</w:t>
      </w:r>
    </w:p>
    <w:p>
      <w:r>
        <w:t>The following sections describe key enhancements made in the backend systems, comparing the old Legacy codebase (v3) with the current Production codebase (v2).</w:t>
      </w:r>
    </w:p>
    <w:p>
      <w:pPr>
        <w:keepNext/>
        <w:spacing w:before="240" w:after="80"/>
      </w:pPr>
      <w:r>
        <w:rPr>
          <w:rFonts w:ascii="Calibri" w:hAnsi="Calibri"/>
          <w:b/>
          <w:color w:val="2E6B9E"/>
          <w:sz w:val="28"/>
        </w:rPr>
        <w:t>FastAPI Application &amp; Middlewares (app.py)</w:t>
      </w:r>
    </w:p>
    <w:p>
      <w:pPr>
        <w:pStyle w:val="ListBullet"/>
        <w:spacing w:after="60"/>
      </w:pPr>
      <w:r>
        <w:rPr>
          <w:b/>
          <w:color w:val="2D3748"/>
        </w:rPr>
        <w:t>Feature Extension:</w:t>
      </w:r>
      <w:r>
        <w:t xml:space="preserve"> Added route mounting for the `new_features` backend APIRouter (handling chat, tickets, and logs) and automatic database migrations (`run_migrations()`) during startup.</w:t>
      </w:r>
    </w:p>
    <w:p>
      <w:pPr>
        <w:pStyle w:val="ListBullet"/>
        <w:spacing w:after="60"/>
      </w:pPr>
      <w:r>
        <w:rPr>
          <w:b/>
          <w:color w:val="2D3748"/>
        </w:rPr>
        <w:t>Compression Optimization:</w:t>
      </w:r>
      <w:r>
        <w:t xml:space="preserve"> Added `GZipMiddleware` to gzip-compress all API responses over 1000 bytes, improving load times for telemetry lists and database logs.</w:t>
      </w:r>
    </w:p>
    <w:p>
      <w:pPr>
        <w:pStyle w:val="ListBullet"/>
        <w:spacing w:after="60"/>
      </w:pPr>
      <w:r>
        <w:rPr>
          <w:b/>
          <w:color w:val="2D3748"/>
        </w:rPr>
        <w:t>Caching Architecture:</w:t>
      </w:r>
      <w:r>
        <w:t xml:space="preserve"> Swapped standard `StaticFiles` mounting for a custom subclass `CachedStaticFiles` which injects `Cache-Control: public, max-age=31536000, immutable` headers for assets, reducing client bandwidth.</w:t>
      </w:r>
    </w:p>
    <w:p>
      <w:pPr>
        <w:pStyle w:val="ListBullet"/>
        <w:spacing w:after="60"/>
      </w:pPr>
      <w:r>
        <w:rPr>
          <w:b/>
          <w:color w:val="2D3748"/>
        </w:rPr>
        <w:t>Security Controls:</w:t>
      </w:r>
      <w:r>
        <w:t xml:space="preserve"> Upgraded the network security restriction middleware to allow private local IP networks (`client_ip.is_private`) and loopbacks, preventing developer lockout in dev environments.</w:t>
      </w:r>
    </w:p>
    <w:p>
      <w:pPr>
        <w:keepNext/>
        <w:spacing w:before="240" w:after="80"/>
      </w:pPr>
      <w:r>
        <w:rPr>
          <w:rFonts w:ascii="Calibri" w:hAnsi="Calibri"/>
          <w:b/>
          <w:color w:val="2E6B9E"/>
          <w:sz w:val="28"/>
        </w:rPr>
        <w:t>Office365 Ingestion &amp; Resilience (email_extracter.py)</w:t>
      </w:r>
    </w:p>
    <w:p>
      <w:pPr>
        <w:pStyle w:val="ListBullet"/>
        <w:spacing w:after="60"/>
      </w:pPr>
      <w:r>
        <w:rPr>
          <w:b/>
          <w:color w:val="2D3748"/>
        </w:rPr>
        <w:t>Conflict Resolution:</w:t>
      </w:r>
      <w:r>
        <w:t xml:space="preserve"> Removed unresolved legacy Git merge conflict markers (`&lt;&lt;&lt;&lt;&lt;&lt;&lt; HEAD`, `=======`, `&gt;&gt;&gt;&gt;&gt;&gt;&gt;`) from the file to make it standard-compliant and parseable.</w:t>
      </w:r>
    </w:p>
    <w:p>
      <w:pPr>
        <w:pStyle w:val="ListBullet"/>
        <w:spacing w:after="60"/>
      </w:pPr>
      <w:r>
        <w:rPr>
          <w:b/>
          <w:color w:val="2D3748"/>
        </w:rPr>
        <w:t>Fault Tolerance:</w:t>
      </w:r>
      <w:r>
        <w:t xml:space="preserve"> Added safety wrappers around the Office365 OAuth connection. If the mailbox environment variables (`USER_EMAIL`, etc.) are missing or credentials fail, the extraction daemon bypasses gracefully in offline/local dev mode instead of crashing.</w:t>
      </w:r>
    </w:p>
    <w:p>
      <w:pPr>
        <w:keepNext/>
        <w:spacing w:before="240" w:after="80"/>
      </w:pPr>
      <w:r>
        <w:rPr>
          <w:rFonts w:ascii="Calibri" w:hAnsi="Calibri"/>
          <w:b/>
          <w:color w:val="2E6B9E"/>
          <w:sz w:val="28"/>
        </w:rPr>
        <w:t>Python 3.9 Compatibility (severity_classifier.py)</w:t>
      </w:r>
    </w:p>
    <w:p>
      <w:pPr>
        <w:pStyle w:val="ListBullet"/>
        <w:spacing w:after="60"/>
      </w:pPr>
      <w:r>
        <w:rPr>
          <w:b/>
          <w:color w:val="2D3748"/>
        </w:rPr>
        <w:t>Type Compatibility:</w:t>
      </w:r>
      <w:r>
        <w:t xml:space="preserve"> Replaced Python 3.10 syntax `float | None` type hints with `Optional[float]` and imported `typing.Optional`, resolving compatibility issues with standard Unix/macOS Python 3.9 interpreters.</w:t>
      </w:r>
    </w:p>
    <w:p>
      <w:pPr>
        <w:keepNext/>
        <w:spacing w:before="360" w:after="120"/>
      </w:pPr>
      <w:r>
        <w:rPr>
          <w:rFonts w:ascii="Calibri" w:hAnsi="Calibri"/>
          <w:b/>
          <w:color w:val="1F3A60"/>
          <w:sz w:val="36"/>
        </w:rPr>
        <w:t>3. Database Schema Extensions</w:t>
      </w:r>
    </w:p>
    <w:p>
      <w:r>
        <w:t>The database structure has been expanded with multiple tables to support Helpdesk Tickets, Database Alert Logs, and Sharing Audits. Below is a summary of the newly introduced schemas: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3A60"/>
            <w:tcMar>
              <w:top w:w="120" w:type="dxa"/>
              <w:bottom w:w="120" w:type="dxa"/>
              <w:left w:w="150" w:type="dxa"/>
              <w:right w:w="150" w:type="dxa"/>
            </w:tcMar>
          </w:tcPr>
          <w:p>
            <w:r>
              <w:rPr>
                <w:b/>
                <w:color w:val="FFFFFF"/>
              </w:rPr>
              <w:t>Table Name</w:t>
            </w:r>
          </w:p>
        </w:tc>
        <w:tc>
          <w:tcPr>
            <w:tcW w:type="dxa" w:w="3120"/>
            <w:shd w:fill="1F3A60"/>
            <w:tcMar>
              <w:top w:w="120" w:type="dxa"/>
              <w:bottom w:w="120" w:type="dxa"/>
              <w:left w:w="150" w:type="dxa"/>
              <w:right w:w="150" w:type="dxa"/>
            </w:tcMar>
          </w:tcPr>
          <w:p>
            <w:r>
              <w:rPr>
                <w:b/>
                <w:color w:val="FFFFFF"/>
              </w:rPr>
              <w:t>Primary Columns</w:t>
            </w:r>
          </w:p>
        </w:tc>
        <w:tc>
          <w:tcPr>
            <w:tcW w:type="dxa" w:w="3120"/>
            <w:shd w:fill="1F3A60"/>
            <w:tcMar>
              <w:top w:w="120" w:type="dxa"/>
              <w:bottom w:w="120" w:type="dxa"/>
              <w:left w:w="150" w:type="dxa"/>
              <w:right w:w="150" w:type="dxa"/>
            </w:tcMar>
          </w:tcPr>
          <w:p>
            <w:r>
              <w:rPr>
                <w:b/>
                <w:color w:val="FFFFFF"/>
              </w:rPr>
              <w:t>Purpose</w:t>
            </w:r>
          </w:p>
        </w:tc>
      </w:tr>
      <w:tr>
        <w:tc>
          <w:tcPr>
            <w:tcW w:type="dxa" w:w="3120"/>
            <w:tcMar>
              <w:top w:w="80" w:type="dxa"/>
              <w:bottom w:w="80" w:type="dxa"/>
              <w:left w:w="120" w:type="dxa"/>
              <w:right w:w="120" w:type="dxa"/>
            </w:tcMar>
          </w:tcPr>
          <w:p>
            <w:r>
              <w:t>tickets</w:t>
            </w:r>
          </w:p>
        </w:tc>
        <w:tc>
          <w:tcPr>
            <w:tcW w:type="dxa" w:w="3120"/>
            <w:tcMar>
              <w:top w:w="80" w:type="dxa"/>
              <w:bottom w:w="80" w:type="dxa"/>
              <w:left w:w="120" w:type="dxa"/>
              <w:right w:w="120" w:type="dxa"/>
            </w:tcMar>
          </w:tcPr>
          <w:p>
            <w:r>
              <w:t>id, company, status, priority, agent, description, created_at</w:t>
            </w:r>
          </w:p>
        </w:tc>
        <w:tc>
          <w:tcPr>
            <w:tcW w:type="dxa" w:w="3120"/>
            <w:tcMar>
              <w:top w:w="80" w:type="dxa"/>
              <w:bottom w:w="80" w:type="dxa"/>
              <w:left w:w="120" w:type="dxa"/>
              <w:right w:w="120" w:type="dxa"/>
            </w:tcMar>
          </w:tcPr>
          <w:p>
            <w:r>
              <w:t>Stores helpdesk support cases and their active SLA assignments.</w:t>
            </w:r>
          </w:p>
        </w:tc>
      </w:tr>
      <w:tr>
        <w:tc>
          <w:tcPr>
            <w:tcW w:type="dxa" w:w="3120"/>
            <w:tcMar>
              <w:top w:w="80" w:type="dxa"/>
              <w:bottom w:w="80" w:type="dxa"/>
              <w:left w:w="120" w:type="dxa"/>
              <w:right w:w="120" w:type="dxa"/>
            </w:tcMar>
          </w:tcPr>
          <w:p>
            <w:r>
              <w:t>ticket_comments</w:t>
            </w:r>
          </w:p>
        </w:tc>
        <w:tc>
          <w:tcPr>
            <w:tcW w:type="dxa" w:w="3120"/>
            <w:tcMar>
              <w:top w:w="80" w:type="dxa"/>
              <w:bottom w:w="80" w:type="dxa"/>
              <w:left w:w="120" w:type="dxa"/>
              <w:right w:w="120" w:type="dxa"/>
            </w:tcMar>
          </w:tcPr>
          <w:p>
            <w:r>
              <w:t>id, ticket_id, author, comment_type, content, attachments, created_at</w:t>
            </w:r>
          </w:p>
        </w:tc>
        <w:tc>
          <w:tcPr>
            <w:tcW w:type="dxa" w:w="3120"/>
            <w:tcMar>
              <w:top w:w="80" w:type="dxa"/>
              <w:bottom w:w="80" w:type="dxa"/>
              <w:left w:w="120" w:type="dxa"/>
              <w:right w:w="120" w:type="dxa"/>
            </w:tcMar>
          </w:tcPr>
          <w:p>
            <w:r>
              <w:t>Houses user discussion commentary and file attachment records for tickets.</w:t>
            </w:r>
          </w:p>
        </w:tc>
      </w:tr>
      <w:tr>
        <w:tc>
          <w:tcPr>
            <w:tcW w:type="dxa" w:w="3120"/>
            <w:tcMar>
              <w:top w:w="80" w:type="dxa"/>
              <w:bottom w:w="80" w:type="dxa"/>
              <w:left w:w="120" w:type="dxa"/>
              <w:right w:w="120" w:type="dxa"/>
            </w:tcMar>
          </w:tcPr>
          <w:p>
            <w:r>
              <w:t>db_monitoring_logs</w:t>
            </w:r>
          </w:p>
        </w:tc>
        <w:tc>
          <w:tcPr>
            <w:tcW w:type="dxa" w:w="3120"/>
            <w:tcMar>
              <w:top w:w="80" w:type="dxa"/>
              <w:bottom w:w="80" w:type="dxa"/>
              <w:left w:w="120" w:type="dxa"/>
              <w:right w:w="120" w:type="dxa"/>
            </w:tcMar>
          </w:tcPr>
          <w:p>
            <w:r>
              <w:t>id, client_name, server_name, db_type, log_type, log_message, severity, status</w:t>
            </w:r>
          </w:p>
        </w:tc>
        <w:tc>
          <w:tcPr>
            <w:tcW w:type="dxa" w:w="3120"/>
            <w:tcMar>
              <w:top w:w="80" w:type="dxa"/>
              <w:bottom w:w="80" w:type="dxa"/>
              <w:left w:w="120" w:type="dxa"/>
              <w:right w:w="120" w:type="dxa"/>
            </w:tcMar>
          </w:tcPr>
          <w:p>
            <w:r>
              <w:t>Alert notifications collected from database daemons (e.g. slow queries).</w:t>
            </w:r>
          </w:p>
        </w:tc>
      </w:tr>
      <w:tr>
        <w:tc>
          <w:tcPr>
            <w:tcW w:type="dxa" w:w="3120"/>
            <w:tcMar>
              <w:top w:w="80" w:type="dxa"/>
              <w:bottom w:w="80" w:type="dxa"/>
              <w:left w:w="120" w:type="dxa"/>
              <w:right w:w="120" w:type="dxa"/>
            </w:tcMar>
          </w:tcPr>
          <w:p>
            <w:r>
              <w:t>admin_clients</w:t>
            </w:r>
          </w:p>
        </w:tc>
        <w:tc>
          <w:tcPr>
            <w:tcW w:type="dxa" w:w="3120"/>
            <w:tcMar>
              <w:top w:w="80" w:type="dxa"/>
              <w:bottom w:w="80" w:type="dxa"/>
              <w:left w:w="120" w:type="dxa"/>
              <w:right w:w="120" w:type="dxa"/>
            </w:tcMar>
          </w:tcPr>
          <w:p>
            <w:r>
              <w:t>id, client_name, db_type, server_name, created_at</w:t>
            </w:r>
          </w:p>
        </w:tc>
        <w:tc>
          <w:tcPr>
            <w:tcW w:type="dxa" w:w="3120"/>
            <w:tcMar>
              <w:top w:w="80" w:type="dxa"/>
              <w:bottom w:w="80" w:type="dxa"/>
              <w:left w:w="120" w:type="dxa"/>
              <w:right w:w="120" w:type="dxa"/>
            </w:tcMar>
          </w:tcPr>
          <w:p>
            <w:r>
              <w:t>Registry mapping client business names to their target telemetry server IP hosts.</w:t>
            </w:r>
          </w:p>
        </w:tc>
      </w:tr>
      <w:tr>
        <w:tc>
          <w:tcPr>
            <w:tcW w:type="dxa" w:w="3120"/>
            <w:tcMar>
              <w:top w:w="80" w:type="dxa"/>
              <w:bottom w:w="80" w:type="dxa"/>
              <w:left w:w="120" w:type="dxa"/>
              <w:right w:w="120" w:type="dxa"/>
            </w:tcMar>
          </w:tcPr>
          <w:p>
            <w:r>
              <w:t>share_history</w:t>
            </w:r>
          </w:p>
        </w:tc>
        <w:tc>
          <w:tcPr>
            <w:tcW w:type="dxa" w:w="3120"/>
            <w:tcMar>
              <w:top w:w="80" w:type="dxa"/>
              <w:bottom w:w="80" w:type="dxa"/>
              <w:left w:w="120" w:type="dxa"/>
              <w:right w:w="120" w:type="dxa"/>
            </w:tcMar>
          </w:tcPr>
          <w:p>
            <w:r>
              <w:t>id, username, platform, content_type, client_name, log_message, shared_at</w:t>
            </w:r>
          </w:p>
        </w:tc>
        <w:tc>
          <w:tcPr>
            <w:tcW w:type="dxa" w:w="3120"/>
            <w:tcMar>
              <w:top w:w="80" w:type="dxa"/>
              <w:bottom w:w="80" w:type="dxa"/>
              <w:left w:w="120" w:type="dxa"/>
              <w:right w:w="120" w:type="dxa"/>
            </w:tcMar>
          </w:tcPr>
          <w:p>
            <w:r>
              <w:t>Audit compliance records tracking document shares via WhatsApp and Teams.</w:t>
            </w:r>
          </w:p>
        </w:tc>
      </w:tr>
      <w:tr>
        <w:tc>
          <w:tcPr>
            <w:tcW w:type="dxa" w:w="3120"/>
            <w:tcMar>
              <w:top w:w="80" w:type="dxa"/>
              <w:bottom w:w="80" w:type="dxa"/>
              <w:left w:w="120" w:type="dxa"/>
              <w:right w:w="120" w:type="dxa"/>
            </w:tcMar>
          </w:tcPr>
          <w:p>
            <w:r>
              <w:t>user_page_activity</w:t>
            </w:r>
          </w:p>
        </w:tc>
        <w:tc>
          <w:tcPr>
            <w:tcW w:type="dxa" w:w="3120"/>
            <w:tcMar>
              <w:top w:w="80" w:type="dxa"/>
              <w:bottom w:w="80" w:type="dxa"/>
              <w:left w:w="120" w:type="dxa"/>
              <w:right w:w="120" w:type="dxa"/>
            </w:tcMar>
          </w:tcPr>
          <w:p>
            <w:r>
              <w:t>id, username, page_path, duration_seconds, last_active_at</w:t>
            </w:r>
          </w:p>
        </w:tc>
        <w:tc>
          <w:tcPr>
            <w:tcW w:type="dxa" w:w="3120"/>
            <w:tcMar>
              <w:top w:w="80" w:type="dxa"/>
              <w:bottom w:w="80" w:type="dxa"/>
              <w:left w:w="120" w:type="dxa"/>
              <w:right w:w="120" w:type="dxa"/>
            </w:tcMar>
          </w:tcPr>
          <w:p>
            <w:r>
              <w:t>Telemetry analytics capturing user session duration across specific screens.</w:t>
            </w:r>
          </w:p>
        </w:tc>
      </w:tr>
    </w:tbl>
    <w:p>
      <w:pPr>
        <w:keepNext/>
        <w:spacing w:before="360" w:after="120"/>
      </w:pPr>
      <w:r>
        <w:rPr>
          <w:rFonts w:ascii="Calibri" w:hAnsi="Calibri"/>
          <w:b/>
          <w:color w:val="1F3A60"/>
          <w:sz w:val="36"/>
        </w:rPr>
        <w:t>4. Frontend UI Evolution</w:t>
      </w:r>
    </w:p>
    <w:p>
      <w:r>
        <w:t>The React frontend was significantly upgraded from a simple dashboard layout to a multi-view portal. These are the primary new screens added to `frontend_build/src/`:</w:t>
      </w:r>
    </w:p>
    <w:p>
      <w:pPr>
        <w:pStyle w:val="ListBullet"/>
        <w:spacing w:after="60"/>
      </w:pPr>
      <w:r>
        <w:rPr>
          <w:b/>
          <w:color w:val="2D3748"/>
        </w:rPr>
        <w:t>Telemetry &amp; Databases:</w:t>
      </w:r>
      <w:r>
        <w:t>A dedicated dashboard listing all active databases, table sizes, and daily growth trendlines.</w:t>
      </w:r>
    </w:p>
    <w:p>
      <w:pPr>
        <w:pStyle w:val="ListBullet"/>
        <w:spacing w:after="60"/>
      </w:pPr>
      <w:r>
        <w:rPr>
          <w:b/>
          <w:color w:val="2D3748"/>
        </w:rPr>
        <w:t>Helpdesk Ticket System:</w:t>
      </w:r>
      <w:r>
        <w:t>Incident command dashboard showing SLA targets, priority color coding, filterable listings, and full commenting/attachment streams.</w:t>
      </w:r>
    </w:p>
    <w:p>
      <w:pPr>
        <w:pStyle w:val="ListBullet"/>
        <w:spacing w:after="60"/>
      </w:pPr>
      <w:r>
        <w:rPr>
          <w:b/>
          <w:color w:val="2D3748"/>
        </w:rPr>
        <w:t>Admin Management &amp; Clients Setup:</w:t>
      </w:r>
      <w:r>
        <w:t>Allows admins to register client server hosts, database engine technologies, and configure network ranges.</w:t>
      </w:r>
    </w:p>
    <w:p>
      <w:pPr>
        <w:pStyle w:val="ListBullet"/>
        <w:spacing w:after="60"/>
      </w:pPr>
      <w:r>
        <w:rPr>
          <w:b/>
          <w:color w:val="2D3748"/>
        </w:rPr>
        <w:t>AI Chatbot Interface:</w:t>
      </w:r>
      <w:r>
        <w:t>A sidebar-integrated floating widget linking to backend routes, leveraging streaming completions (SSE) for expert AI-assisted DB debugging.</w:t>
      </w:r>
    </w:p>
    <w:p>
      <w:pPr>
        <w:keepNext/>
        <w:spacing w:before="360" w:after="120"/>
      </w:pPr>
      <w:r>
        <w:rPr>
          <w:rFonts w:ascii="Calibri" w:hAnsi="Calibri"/>
          <w:b/>
          <w:color w:val="1F3A60"/>
          <w:sz w:val="36"/>
        </w:rPr>
        <w:t>5. Chatbot Intelligence &amp; Security Isolation</w:t>
      </w:r>
    </w:p>
    <w:p>
      <w:r>
        <w:t>One of the largest updates is the re-engineering of the OpenAI ChatGPT Diagnostic assistant. The system has been transformed into a fully grounded agent:</w:t>
      </w:r>
    </w:p>
    <w:p>
      <w:pPr>
        <w:pStyle w:val="ListBullet"/>
        <w:spacing w:after="60"/>
      </w:pPr>
      <w:r>
        <w:rPr>
          <w:b/>
          <w:color w:val="2D3748"/>
        </w:rPr>
        <w:t>Full Schema Grounding:</w:t>
      </w:r>
      <w:r>
        <w:t xml:space="preserve"> The system prompt is pre-loaded with the complete application database schema (table definitions, relationships) enabling the bot to correctly answer complex database questions.</w:t>
      </w:r>
    </w:p>
    <w:p>
      <w:pPr>
        <w:pStyle w:val="ListBullet"/>
        <w:spacing w:after="60"/>
      </w:pPr>
      <w:r>
        <w:rPr>
          <w:b/>
          <w:color w:val="2D3748"/>
        </w:rPr>
        <w:t>Secure Client Isolation:</w:t>
      </w:r>
      <w:r>
        <w:t xml:space="preserve"> Enforced client data-isolation filters. If a user is currently viewing the details of Client X, the chatbot is automatically scoped to Client X's records, preventing info leakage to unauthorized users.</w:t>
      </w:r>
    </w:p>
    <w:p>
      <w:pPr>
        <w:pStyle w:val="ListBullet"/>
        <w:spacing w:after="60"/>
      </w:pPr>
      <w:r>
        <w:rPr>
          <w:b/>
          <w:color w:val="2D3748"/>
        </w:rPr>
        <w:t>Adaptive Payload Truncation:</w:t>
      </w:r>
      <w:r>
        <w:t xml:space="preserve"> For global views (Client = None), the backend summarizes database sizes by server. This prevents exceeding LLM token windows, ensuring the assistant is fast and cost-effective.</w:t>
      </w:r>
    </w:p>
    <w:p>
      <w:pPr>
        <w:pStyle w:val="ListBullet"/>
        <w:spacing w:after="60"/>
      </w:pPr>
      <w:r>
        <w:rPr>
          <w:b/>
          <w:color w:val="2D3748"/>
        </w:rPr>
        <w:t>Strict Boundary Rules:</w:t>
      </w:r>
      <w:r>
        <w:t xml:space="preserve"> Explicit boundaries restrict the assistant to software technology, databases, tickets, and logs. Any off-topic requests (e.g. general conversation, translation, recipes) are politely rejected with a default refusal.</w:t>
      </w:r>
    </w:p>
    <w:p>
      <w:r>
        <w:br/>
      </w:r>
    </w:p>
    <w:p>
      <w:pPr>
        <w:jc w:val="right"/>
      </w:pPr>
      <w:r>
        <w:rPr>
          <w:i/>
          <w:color w:val="718096"/>
        </w:rPr>
        <w:t>Report generated successfully on June 3,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