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9D7E3C" w14:textId="77777777" w:rsidR="00600F6F" w:rsidRDefault="00000000">
      <w:pPr>
        <w:spacing w:after="60"/>
      </w:pPr>
      <w:proofErr w:type="spellStart"/>
      <w:r>
        <w:rPr>
          <w:b/>
          <w:bCs/>
          <w:color w:val="1F3864"/>
          <w:sz w:val="56"/>
          <w:szCs w:val="56"/>
        </w:rPr>
        <w:t>FraudSense</w:t>
      </w:r>
      <w:proofErr w:type="spellEnd"/>
    </w:p>
    <w:p w14:paraId="27007421" w14:textId="77777777" w:rsidR="00600F6F" w:rsidRDefault="00000000">
      <w:pPr>
        <w:spacing w:after="240"/>
      </w:pPr>
      <w:r>
        <w:rPr>
          <w:b/>
          <w:bCs/>
          <w:color w:val="2E75B6"/>
          <w:sz w:val="28"/>
          <w:szCs w:val="28"/>
        </w:rPr>
        <w:t>Research Publication Readiness Assessment</w:t>
      </w:r>
    </w:p>
    <w:p w14:paraId="5773CF88" w14:textId="77777777" w:rsidR="00600F6F" w:rsidRDefault="00000000">
      <w:pPr>
        <w:spacing w:after="60"/>
      </w:pPr>
      <w:r>
        <w:rPr>
          <w:i/>
          <w:iCs/>
          <w:color w:val="595959"/>
        </w:rPr>
        <w:t>Real-Time Hybrid Credit Card Fraud Detection Engine</w:t>
      </w:r>
    </w:p>
    <w:p w14:paraId="2D0F835A" w14:textId="77777777" w:rsidR="00600F6F" w:rsidRDefault="00000000">
      <w:pPr>
        <w:pStyle w:val="Heading1"/>
      </w:pPr>
      <w:r>
        <w:t>1. Problem Statement</w:t>
      </w:r>
    </w:p>
    <w:p w14:paraId="472ECEBE" w14:textId="77777777" w:rsidR="00600F6F" w:rsidRDefault="00000000">
      <w:pPr>
        <w:spacing w:after="160"/>
      </w:pPr>
      <w:r>
        <w:t>Card transaction fraud causes substantial financial losses annually, yet the transactions that need to be caught are vanishingly rare against the volume of legitimate ones — in the benchmark dataset used here, fraudulent transactions account for only 0.17% of all activity. A system that ignores this imbalance and naively optimizes for overall accuracy can score above 99.8% by flagging nothing at all, while letting nearly every fraudulent transaction through undetected. The core problem this project addresses is: how to score each incoming transaction for fraud risk, in real time, so as to catch a high proportion of fraud (recall) without burying analysts in false alarms (precision), under conditions where fraud is both extremely rare and constantly evolving.</w:t>
      </w:r>
    </w:p>
    <w:p w14:paraId="69BE1E98" w14:textId="77777777" w:rsidR="00600F6F" w:rsidRDefault="00000000">
      <w:pPr>
        <w:spacing w:after="160"/>
      </w:pPr>
      <w:r>
        <w:t xml:space="preserve">This breaks into three concrete sub-problems that the system's architecture is built to answer directly. First, class imbalance: a supervised model trained naively on data that is 99.83% negative will be biased toward predicting ‘normal’ for everything unless the imbalance is explicitly corrected. Second, learned patterns versus known heuristics: a purely statistical model can miss known, explainable fraud signals that a human analyst would flag on sight (e.g., an unusually large amount, a transaction at 3 a.m.), while a rule-based system alone only catches fraud patterns analysts already know to look for. Third, label scarcity after deployment: once a model is live, there is no immediate ground-truth signal on which flagged transactions are actually fraudulent, so a threshold fixed at training time will drift out of step with real-world fraud patterns over time. </w:t>
      </w:r>
      <w:proofErr w:type="spellStart"/>
      <w:r>
        <w:t>FraudSense's</w:t>
      </w:r>
      <w:proofErr w:type="spellEnd"/>
      <w:r>
        <w:t xml:space="preserve"> three-layer ML-plus-rules-plus-fusion pipeline and its adaptive feedback loop are direct, testable responses to these three sub-problems, which gives the project a well-defined problem statement to anchor a paper's introduction and motivation section.</w:t>
      </w:r>
    </w:p>
    <w:p w14:paraId="3DA8A9AD" w14:textId="77777777" w:rsidR="00600F6F" w:rsidRDefault="00000000">
      <w:pPr>
        <w:pStyle w:val="Heading1"/>
      </w:pPr>
      <w:r>
        <w:t>2. Problem Significance and Real-World Relevance</w:t>
      </w:r>
    </w:p>
    <w:p w14:paraId="0A822060" w14:textId="77777777" w:rsidR="00600F6F" w:rsidRDefault="00000000">
      <w:pPr>
        <w:spacing w:after="160"/>
      </w:pPr>
      <w:r>
        <w:t>Credit card fraud detection is a well-established, high-stakes problem in applied machine learning and financial security research, and reviewers in this space recognize its practical value immediately. The project is evaluated on a dataset of 284,807 real transactions with only 0.17% fraud prevalence — an extreme class-imbalance ratio that is itself a recognized open challenge in the literature, rather than a synthetic or toy problem. Tackling this exact imbalance, on this exact benchmark, places the work inside an active research conversation rather than outside it.</w:t>
      </w:r>
    </w:p>
    <w:p w14:paraId="3D20C423" w14:textId="77777777" w:rsidR="00600F6F" w:rsidRDefault="00000000">
      <w:pPr>
        <w:pStyle w:val="Heading1"/>
      </w:pPr>
      <w:r>
        <w:t>3. Technical Contribution: A Hybrid, Multi-Layer Architecture</w:t>
      </w:r>
    </w:p>
    <w:p w14:paraId="2D115493" w14:textId="77777777" w:rsidR="00600F6F" w:rsidRDefault="00000000">
      <w:pPr>
        <w:spacing w:after="160"/>
      </w:pPr>
      <w:r>
        <w:t xml:space="preserve">The system does not rely on a single classifier. It combines a supervised Random Forest probability score (ML layer), a deterministic banking-domain rule engine (high-value amounts, off-hours timing), and a weighted fusion layer (60% ML / 40% rules) into one risk score, on top of which sits an adaptive feedback loop that shifts the decision threshold from analyst input. The </w:t>
      </w:r>
      <w:r>
        <w:lastRenderedPageBreak/>
        <w:t>project's own framework documentation is explicit that the contribution is the integration design, not any single algorithm — which is a legitimate and common framing for applied systems papers (as opposed to novel-algorithm papers), and matches how this class of work is typically positioned at applied-AI and fintech-security venues.</w:t>
      </w:r>
    </w:p>
    <w:p w14:paraId="0CE6476C" w14:textId="77777777" w:rsidR="00600F6F" w:rsidRDefault="00000000">
      <w:pPr>
        <w:pStyle w:val="Heading1"/>
      </w:pPr>
      <w:r>
        <w:t>4. Methodological Rigor</w:t>
      </w:r>
    </w:p>
    <w:p w14:paraId="794EC0AA" w14:textId="77777777" w:rsidR="00600F6F" w:rsidRDefault="00000000">
      <w:pPr>
        <w:spacing w:after="160"/>
      </w:pPr>
      <w:r>
        <w:t>The evaluation follows defensible, explicit methodological choices rather than ad hoc tuning. The dataset is split 70/30 with stratification to preserve fraud prevalence in both partitions; the classifier uses balanced class weighting to address imbalance without resampling bias; and the decision threshold is selected through a constrained search across 181 candidate values, choosing the threshold that maximizes recall subject to a hard precision floor of 95%. Each of these is a documented, reproducible policy decision rather than an unexplained constant, which is exactly what a methods section needs to withstand review.</w:t>
      </w:r>
    </w:p>
    <w:p w14:paraId="5D423011" w14:textId="77777777" w:rsidR="00600F6F" w:rsidRDefault="00000000">
      <w:pPr>
        <w:pStyle w:val="Heading1"/>
      </w:pPr>
      <w:r>
        <w:t>5. Empirical Validation and Quantitative Results</w:t>
      </w:r>
    </w:p>
    <w:p w14:paraId="4F3AF52F" w14:textId="77777777" w:rsidR="00600F6F" w:rsidRDefault="00000000">
      <w:pPr>
        <w:spacing w:after="160"/>
      </w:pPr>
      <w:r>
        <w:t>The pipeline produces a full, honest benchmark on a held-out test split, computed once at startup and not re-tuned at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600F6F" w14:paraId="4AD4DE07"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3DCF354" w14:textId="77777777" w:rsidR="00600F6F" w:rsidRDefault="00000000">
            <w:r>
              <w:rPr>
                <w:b/>
                <w:bCs/>
                <w:color w:val="FFFFFF"/>
                <w:sz w:val="20"/>
                <w:szCs w:val="20"/>
              </w:rPr>
              <w:t>Metric</w:t>
            </w:r>
          </w:p>
        </w:tc>
        <w:tc>
          <w:tcPr>
            <w:tcW w:w="6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E6F9C87" w14:textId="77777777" w:rsidR="00600F6F" w:rsidRDefault="00000000">
            <w:r>
              <w:rPr>
                <w:b/>
                <w:bCs/>
                <w:color w:val="FFFFFF"/>
                <w:sz w:val="20"/>
                <w:szCs w:val="20"/>
              </w:rPr>
              <w:t>Value</w:t>
            </w:r>
          </w:p>
        </w:tc>
      </w:tr>
      <w:tr w:rsidR="00600F6F" w14:paraId="18416EE5"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63569D77" w14:textId="77777777" w:rsidR="00600F6F" w:rsidRDefault="00000000">
            <w:r>
              <w:rPr>
                <w:b/>
                <w:bCs/>
                <w:sz w:val="20"/>
                <w:szCs w:val="20"/>
              </w:rPr>
              <w:t>Precision</w:t>
            </w:r>
          </w:p>
        </w:tc>
        <w:tc>
          <w:tcPr>
            <w:tcW w:w="60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0CE3BFCA" w14:textId="77777777" w:rsidR="00600F6F" w:rsidRDefault="00000000">
            <w:r>
              <w:rPr>
                <w:sz w:val="20"/>
                <w:szCs w:val="20"/>
              </w:rPr>
              <w:t>95.61%</w:t>
            </w:r>
          </w:p>
        </w:tc>
      </w:tr>
      <w:tr w:rsidR="00600F6F" w14:paraId="2B437A67"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47F7BF" w14:textId="77777777" w:rsidR="00600F6F" w:rsidRDefault="00000000">
            <w:r>
              <w:rPr>
                <w:b/>
                <w:bCs/>
                <w:sz w:val="20"/>
                <w:szCs w:val="20"/>
              </w:rPr>
              <w:t>Recall</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F828D6" w14:textId="77777777" w:rsidR="00600F6F" w:rsidRDefault="00000000">
            <w:r>
              <w:rPr>
                <w:sz w:val="20"/>
                <w:szCs w:val="20"/>
              </w:rPr>
              <w:t>73.65%</w:t>
            </w:r>
          </w:p>
        </w:tc>
      </w:tr>
      <w:tr w:rsidR="00600F6F" w14:paraId="4CBA67F6"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6BB8108" w14:textId="77777777" w:rsidR="00600F6F" w:rsidRDefault="00000000">
            <w:r>
              <w:rPr>
                <w:b/>
                <w:bCs/>
                <w:sz w:val="20"/>
                <w:szCs w:val="20"/>
              </w:rPr>
              <w:t>F1 Score</w:t>
            </w:r>
          </w:p>
        </w:tc>
        <w:tc>
          <w:tcPr>
            <w:tcW w:w="60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7251F1E9" w14:textId="77777777" w:rsidR="00600F6F" w:rsidRDefault="00000000">
            <w:r>
              <w:rPr>
                <w:sz w:val="20"/>
                <w:szCs w:val="20"/>
              </w:rPr>
              <w:t>83.21%</w:t>
            </w:r>
          </w:p>
        </w:tc>
      </w:tr>
      <w:tr w:rsidR="00600F6F" w14:paraId="2A6219BF"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332CFF" w14:textId="77777777" w:rsidR="00600F6F" w:rsidRDefault="00000000">
            <w:r>
              <w:rPr>
                <w:b/>
                <w:bCs/>
                <w:sz w:val="20"/>
                <w:szCs w:val="20"/>
              </w:rPr>
              <w:t>ROC-AUC</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520A4E" w14:textId="77777777" w:rsidR="00600F6F" w:rsidRDefault="00000000">
            <w:r>
              <w:rPr>
                <w:sz w:val="20"/>
                <w:szCs w:val="20"/>
              </w:rPr>
              <w:t>94.80%</w:t>
            </w:r>
          </w:p>
        </w:tc>
      </w:tr>
      <w:tr w:rsidR="00600F6F" w14:paraId="365D2E99"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10826BD6" w14:textId="77777777" w:rsidR="00600F6F" w:rsidRDefault="00000000">
            <w:r>
              <w:rPr>
                <w:b/>
                <w:bCs/>
                <w:sz w:val="20"/>
                <w:szCs w:val="20"/>
              </w:rPr>
              <w:t>Test set size</w:t>
            </w:r>
          </w:p>
        </w:tc>
        <w:tc>
          <w:tcPr>
            <w:tcW w:w="60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766FB41A" w14:textId="77777777" w:rsidR="00600F6F" w:rsidRDefault="00000000">
            <w:r>
              <w:rPr>
                <w:sz w:val="20"/>
                <w:szCs w:val="20"/>
              </w:rPr>
              <w:t>85,443 transactions (held-out, stratified 30% split)</w:t>
            </w:r>
          </w:p>
        </w:tc>
      </w:tr>
      <w:tr w:rsidR="00600F6F" w14:paraId="1CBE42A5"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D185AA" w14:textId="77777777" w:rsidR="00600F6F" w:rsidRDefault="00000000">
            <w:r>
              <w:rPr>
                <w:b/>
                <w:bCs/>
                <w:sz w:val="20"/>
                <w:szCs w:val="20"/>
              </w:rPr>
              <w:t>Fraud cases in test set</w:t>
            </w:r>
          </w:p>
        </w:tc>
        <w:tc>
          <w:tcPr>
            <w:tcW w:w="6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019BAF" w14:textId="77777777" w:rsidR="00600F6F" w:rsidRDefault="00000000">
            <w:r>
              <w:rPr>
                <w:sz w:val="20"/>
                <w:szCs w:val="20"/>
              </w:rPr>
              <w:t>148 (0.1732% prevalence)</w:t>
            </w:r>
          </w:p>
        </w:tc>
      </w:tr>
      <w:tr w:rsidR="00600F6F" w14:paraId="41C121B3"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4A0F8503" w14:textId="77777777" w:rsidR="00600F6F" w:rsidRDefault="00000000">
            <w:r>
              <w:rPr>
                <w:b/>
                <w:bCs/>
                <w:sz w:val="20"/>
                <w:szCs w:val="20"/>
              </w:rPr>
              <w:t>Confusion matrix</w:t>
            </w:r>
          </w:p>
        </w:tc>
        <w:tc>
          <w:tcPr>
            <w:tcW w:w="6000" w:type="dxa"/>
            <w:tcBorders>
              <w:top w:val="single" w:sz="1" w:space="0" w:color="BFBFBF"/>
              <w:left w:val="single" w:sz="1" w:space="0" w:color="BFBFBF"/>
              <w:bottom w:val="single" w:sz="1" w:space="0" w:color="BFBFBF"/>
              <w:right w:val="single" w:sz="1" w:space="0" w:color="BFBFBF"/>
            </w:tcBorders>
            <w:shd w:val="clear" w:color="auto" w:fill="DCE6F1"/>
            <w:tcMar>
              <w:top w:w="80" w:type="dxa"/>
              <w:left w:w="120" w:type="dxa"/>
              <w:bottom w:w="80" w:type="dxa"/>
              <w:right w:w="120" w:type="dxa"/>
            </w:tcMar>
          </w:tcPr>
          <w:p w14:paraId="506EB275" w14:textId="77777777" w:rsidR="00600F6F" w:rsidRDefault="00000000">
            <w:r>
              <w:rPr>
                <w:sz w:val="20"/>
                <w:szCs w:val="20"/>
              </w:rPr>
              <w:t>TP 109 · FP 5 · TN 85,290 · FN 39</w:t>
            </w:r>
          </w:p>
        </w:tc>
      </w:tr>
    </w:tbl>
    <w:p w14:paraId="293698C9" w14:textId="77777777" w:rsidR="00600F6F" w:rsidRDefault="00000000">
      <w:pPr>
        <w:spacing w:after="200"/>
      </w:pPr>
      <w:r>
        <w:rPr>
          <w:i/>
          <w:iCs/>
          <w:color w:val="595959"/>
          <w:sz w:val="19"/>
          <w:szCs w:val="19"/>
        </w:rPr>
        <w:t>Benchmark metrics, held-out 30% stratified test split (</w:t>
      </w:r>
      <w:proofErr w:type="spellStart"/>
      <w:r>
        <w:rPr>
          <w:i/>
          <w:iCs/>
          <w:color w:val="595959"/>
          <w:sz w:val="19"/>
          <w:szCs w:val="19"/>
        </w:rPr>
        <w:t>random_state</w:t>
      </w:r>
      <w:proofErr w:type="spellEnd"/>
      <w:r>
        <w:rPr>
          <w:i/>
          <w:iCs/>
          <w:color w:val="595959"/>
          <w:sz w:val="19"/>
          <w:szCs w:val="19"/>
        </w:rPr>
        <w:t xml:space="preserve"> = 42).</w:t>
      </w:r>
    </w:p>
    <w:p w14:paraId="2E9018CF" w14:textId="77777777" w:rsidR="00600F6F" w:rsidRDefault="00000000">
      <w:pPr>
        <w:spacing w:after="160"/>
      </w:pPr>
      <w:r>
        <w:t xml:space="preserve">A precision above 95% with an ROC-AUC of 94.8% are results that compare </w:t>
      </w:r>
      <w:proofErr w:type="spellStart"/>
      <w:r>
        <w:t>favorably</w:t>
      </w:r>
      <w:proofErr w:type="spellEnd"/>
      <w:r>
        <w:t xml:space="preserve"> to figures commonly reported in published work on this same benchmark dataset, which gives this project a ready-made point of comparison against prior literature rather than requiring an entirely new evaluation framework.</w:t>
      </w:r>
    </w:p>
    <w:p w14:paraId="6914831B" w14:textId="77777777" w:rsidR="00600F6F" w:rsidRDefault="00000000">
      <w:pPr>
        <w:pStyle w:val="Heading1"/>
      </w:pPr>
      <w:r>
        <w:t>6. Reproducibility and Engineering Rigor</w:t>
      </w:r>
    </w:p>
    <w:p w14:paraId="52F68EB4" w14:textId="77777777" w:rsidR="00600F6F" w:rsidRDefault="00000000">
      <w:pPr>
        <w:spacing w:after="160"/>
      </w:pPr>
      <w:r>
        <w:t>The project is built on a public, widely cited benchmark dataset (the Kaggle/ULB Credit Card Fraud Detection dataset of PCA-anonymized features), so results can be independently verified by any reviewer who downloads the same data. Random seeds are fixed throughout (</w:t>
      </w:r>
      <w:proofErr w:type="spellStart"/>
      <w:r>
        <w:t>random_state</w:t>
      </w:r>
      <w:proofErr w:type="spellEnd"/>
      <w:r>
        <w:t xml:space="preserve"> = 42) for both the train/test split and the model fit, making the reported numbers deterministically reproducible. Beyond the dataset, the contribution is backed by a complete, working reference implementation — a version-controlled </w:t>
      </w:r>
      <w:proofErr w:type="spellStart"/>
      <w:r>
        <w:t>FastAPI</w:t>
      </w:r>
      <w:proofErr w:type="spellEnd"/>
      <w:r>
        <w:t xml:space="preserve"> backend with a documented </w:t>
      </w:r>
      <w:r>
        <w:lastRenderedPageBreak/>
        <w:t>API surface and a React dashboard — rather than a paper-only claim, which strengthens the submission and would support an artifact-evaluation track at venues that offer one.</w:t>
      </w:r>
    </w:p>
    <w:p w14:paraId="57CD7ECF" w14:textId="77777777" w:rsidR="00600F6F" w:rsidRDefault="00000000">
      <w:pPr>
        <w:pStyle w:val="Heading1"/>
      </w:pPr>
      <w:r>
        <w:t>7. Systems Contribution: Real-Time Performance and Scalability</w:t>
      </w:r>
    </w:p>
    <w:p w14:paraId="0186A8DD" w14:textId="77777777" w:rsidR="00600F6F" w:rsidRDefault="00000000">
      <w:pPr>
        <w:spacing w:after="160"/>
      </w:pPr>
      <w:r>
        <w:t xml:space="preserve">Beyond model accuracy, the project measures system performance directly: a dedicated benchmark endpoint scores 1,000 transactions end-to-end and reports throughput plus latency percentiles (mean, median, p95, p99), giving a real systems characterization rather than an assumed one. It also documents a forward-looking distributed-scaling design — a </w:t>
      </w:r>
      <w:proofErr w:type="spellStart"/>
      <w:r>
        <w:t>PySpark</w:t>
      </w:r>
      <w:proofErr w:type="spellEnd"/>
      <w:r>
        <w:t xml:space="preserve"> structured-streaming architecture over Kafka with a broadcast model and micro-batch scoring — that maps the measured single-node throughput (roughly 200 transactions/second) onto estimated cluster requirements for production-scale retail volume (10,000–50,000 transactions/minute). Addressing 'how would this scale' proactively is exactly the kind of question that otherwise sinks applied-systems submissions at review.</w:t>
      </w:r>
    </w:p>
    <w:p w14:paraId="2608DBB6" w14:textId="77777777" w:rsidR="00600F6F" w:rsidRDefault="00000000">
      <w:pPr>
        <w:pStyle w:val="Heading1"/>
      </w:pPr>
      <w:r>
        <w:t>8. Adaptive Learning: Addressing Label Scarcity in Deployment</w:t>
      </w:r>
    </w:p>
    <w:p w14:paraId="3CE19C27" w14:textId="77777777" w:rsidR="00600F6F" w:rsidRDefault="00000000">
      <w:pPr>
        <w:spacing w:after="160"/>
      </w:pPr>
      <w:r>
        <w:t>The adaptive feedback loop targets a genuine, deployment-relevant open problem rather than an academic curiosity: production fraud systems rarely have real-time ground-truth labels, and fraud patterns drift over time. By adjusting the detection threshold from analyst confirmations (tightening on false positives, loosening on missed fraud) and tracking score drift against a rolling baseline, the system frames its contribution around operational deployment rather than offline accuracy alone — an angle valued at industry-facing venues such as applied data science tracks and fintech or security-focused workshops.</w:t>
      </w:r>
    </w:p>
    <w:p w14:paraId="36304AA4" w14:textId="77777777" w:rsidR="00600F6F" w:rsidRDefault="00000000">
      <w:pPr>
        <w:pStyle w:val="Heading1"/>
      </w:pPr>
      <w:r>
        <w:t>9. Positioning Relative to Existing Literature</w:t>
      </w:r>
    </w:p>
    <w:p w14:paraId="75AC35DD" w14:textId="77777777" w:rsidR="00600F6F" w:rsidRDefault="00000000">
      <w:pPr>
        <w:spacing w:after="160"/>
      </w:pPr>
      <w:r>
        <w:t>Because the evaluation dataset is a long-standing fraud-detection benchmark, the project's results sit alongside a substantial body of prior published work using the same anonymized features — giving reviewers an immediate frame of reference instead of an unfamiliar evaluation setup. The project's own honest self-positioning (an open, reproducible integration framework, not a claim of novel algorithms) is a defensible framing that reviewers are likely to accept at face value, provided the paper states it just as plainly.</w:t>
      </w:r>
    </w:p>
    <w:p w14:paraId="6A9B59A4" w14:textId="77777777" w:rsidR="00600F6F" w:rsidRDefault="00000000">
      <w:pPr>
        <w:pStyle w:val="Heading1"/>
      </w:pPr>
      <w:r>
        <w:t>10. Limitations to Resolve Before Submission</w:t>
      </w:r>
    </w:p>
    <w:p w14:paraId="64CADA3E" w14:textId="77777777" w:rsidR="00600F6F" w:rsidRDefault="00000000">
      <w:pPr>
        <w:spacing w:after="160"/>
      </w:pPr>
      <w:r>
        <w:t>These gaps do not undermine the case for publishability — addressing them is what turns a strong internal project into a defensible peer-reviewed submission, and naming them upfront is itself a sign of research maturity.</w:t>
      </w:r>
    </w:p>
    <w:p w14:paraId="55236B6B" w14:textId="77777777" w:rsidR="00600F6F" w:rsidRDefault="00000000">
      <w:pPr>
        <w:pStyle w:val="ListParagraph"/>
        <w:numPr>
          <w:ilvl w:val="0"/>
          <w:numId w:val="2"/>
        </w:numPr>
        <w:spacing w:after="100"/>
      </w:pPr>
      <w:r>
        <w:t>Single train/test split: no k-fold cross-validation or confidence intervals are reported alongside precision, recall, F1, or ROC-AUC.</w:t>
      </w:r>
    </w:p>
    <w:p w14:paraId="4ADCBB1E" w14:textId="77777777" w:rsidR="00600F6F" w:rsidRDefault="00000000">
      <w:pPr>
        <w:pStyle w:val="ListParagraph"/>
        <w:numPr>
          <w:ilvl w:val="0"/>
          <w:numId w:val="2"/>
        </w:numPr>
        <w:spacing w:after="100"/>
      </w:pPr>
      <w:r>
        <w:t xml:space="preserve">No baseline comparison: only the Random Forest is evaluated. A paper needs at least one alternative (logistic regression, </w:t>
      </w:r>
      <w:proofErr w:type="spellStart"/>
      <w:r>
        <w:t>XGBoost</w:t>
      </w:r>
      <w:proofErr w:type="spellEnd"/>
      <w:r>
        <w:t>, isolation forest) scored on the identical split.</w:t>
      </w:r>
    </w:p>
    <w:p w14:paraId="1103402C" w14:textId="77777777" w:rsidR="00600F6F" w:rsidRDefault="00000000">
      <w:pPr>
        <w:pStyle w:val="ListParagraph"/>
        <w:numPr>
          <w:ilvl w:val="0"/>
          <w:numId w:val="2"/>
        </w:numPr>
        <w:spacing w:after="100"/>
      </w:pPr>
      <w:r>
        <w:lastRenderedPageBreak/>
        <w:t>The 60/40 fusion weight is described as 'empirically tuned' but no ablation, sensitivity sweep, or grid search over weighting is documented.</w:t>
      </w:r>
    </w:p>
    <w:p w14:paraId="44C19C65" w14:textId="77777777" w:rsidR="00600F6F" w:rsidRDefault="00000000">
      <w:pPr>
        <w:pStyle w:val="ListParagraph"/>
        <w:numPr>
          <w:ilvl w:val="0"/>
          <w:numId w:val="2"/>
        </w:numPr>
        <w:spacing w:after="100"/>
      </w:pPr>
      <w:r>
        <w:t>Live precision/recall figures are approximated from analyst feedback with no ground-truth labels on the live stream — this is already acknowledged in the code and must be stated as a limitation, not presented as a true online metric.</w:t>
      </w:r>
    </w:p>
    <w:p w14:paraId="5299A250" w14:textId="77777777" w:rsidR="00600F6F" w:rsidRDefault="00000000">
      <w:pPr>
        <w:pStyle w:val="ListParagraph"/>
        <w:numPr>
          <w:ilvl w:val="0"/>
          <w:numId w:val="2"/>
        </w:numPr>
        <w:spacing w:after="100"/>
      </w:pPr>
      <w:r>
        <w:t xml:space="preserve">The </w:t>
      </w:r>
      <w:proofErr w:type="spellStart"/>
      <w:r>
        <w:t>PySpark</w:t>
      </w:r>
      <w:proofErr w:type="spellEnd"/>
      <w:r>
        <w:t xml:space="preserve"> distributed-scaling design is a proposed architecture; its scoring function is currently a placeholder and has not been benchmarked on an actual cluster.</w:t>
      </w:r>
    </w:p>
    <w:p w14:paraId="6AF4A5CF" w14:textId="77777777" w:rsidR="00600F6F" w:rsidRDefault="00000000">
      <w:pPr>
        <w:pStyle w:val="ListParagraph"/>
        <w:numPr>
          <w:ilvl w:val="0"/>
          <w:numId w:val="2"/>
        </w:numPr>
        <w:spacing w:after="100"/>
      </w:pPr>
      <w:r>
        <w:t>If the real Kaggle CSV is unavailable at runtime, the system silently falls back to a synthetic dataset — any reported results submitted for review must be regenerated from the real, full dataset run.</w:t>
      </w:r>
    </w:p>
    <w:p w14:paraId="4689F2BB" w14:textId="77777777" w:rsidR="00600F6F" w:rsidRDefault="00000000">
      <w:pPr>
        <w:pStyle w:val="ListParagraph"/>
        <w:numPr>
          <w:ilvl w:val="0"/>
          <w:numId w:val="2"/>
        </w:numPr>
        <w:spacing w:after="100"/>
      </w:pPr>
      <w:r>
        <w:t>No related-work section or citation list has been compiled yet to formally situate the results against prior published baselines on this dataset.</w:t>
      </w:r>
    </w:p>
    <w:p w14:paraId="3531C56E" w14:textId="77777777" w:rsidR="00600F6F" w:rsidRDefault="00000000">
      <w:pPr>
        <w:pStyle w:val="Heading1"/>
      </w:pPr>
      <w:r>
        <w:t>11. Suggested Framing and Candidate Venues</w:t>
      </w:r>
    </w:p>
    <w:p w14:paraId="516FCA1A" w14:textId="77777777" w:rsidR="00600F6F" w:rsidRDefault="00000000">
      <w:pPr>
        <w:spacing w:after="160"/>
      </w:pPr>
      <w:r>
        <w:t xml:space="preserve">At its current stage of maturity, </w:t>
      </w:r>
      <w:proofErr w:type="spellStart"/>
      <w:r>
        <w:t>FraudSense</w:t>
      </w:r>
      <w:proofErr w:type="spellEnd"/>
      <w:r>
        <w:t xml:space="preserve"> is best framed as an applied systems / case-study paper rather than a novel-algorithm paper — the title and abstract should foreground words like 'framework,' 'reproducible integration,' and 'deployment,' not 'novel model.' Reasonable targets include applied data science tracks at major data mining conferences (e.g., KDD's Applied Data Science track), fintech- or security-focused workshops, an </w:t>
      </w:r>
      <w:proofErr w:type="spellStart"/>
      <w:r>
        <w:t>arXiv</w:t>
      </w:r>
      <w:proofErr w:type="spellEnd"/>
      <w:r>
        <w:t xml:space="preserve"> technical report, or a capstone/course research paper. Once the cross-validation, baseline comparison, and ablation gaps in Section 10 are closed, the same material would also be competitive for a short workshop paper or a student research track submission.</w:t>
      </w:r>
    </w:p>
    <w:p w14:paraId="48A929AD" w14:textId="77777777" w:rsidR="00600F6F" w:rsidRDefault="00000000">
      <w:pPr>
        <w:pStyle w:val="Heading1"/>
      </w:pPr>
      <w:r>
        <w:t>Conclusion</w:t>
      </w:r>
    </w:p>
    <w:p w14:paraId="1CB0B0B6" w14:textId="77777777" w:rsidR="00600F6F" w:rsidRDefault="00000000">
      <w:pPr>
        <w:spacing w:after="160"/>
      </w:pPr>
      <w:proofErr w:type="spellStart"/>
      <w:r>
        <w:t>FraudSense</w:t>
      </w:r>
      <w:proofErr w:type="spellEnd"/>
      <w:r>
        <w:t xml:space="preserve"> has the empirical core a publishable applied paper requires: a recognized, real-world problem; a documented and reproducible methodology; quantitative results on a public benchmark dataset; a working, measured system rather than a theoretical design; and an honest, defensible framing of its own contribution. The remaining work is evaluative rigor — cross-validation, baseline comparisons, and an ablation of the fusion weight — rather than a fundamental gap in the project itself.</w:t>
      </w:r>
    </w:p>
    <w:sectPr w:rsidR="00600F6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0F7091" w14:textId="77777777" w:rsidR="004C228F" w:rsidRDefault="004C228F">
      <w:r>
        <w:separator/>
      </w:r>
    </w:p>
  </w:endnote>
  <w:endnote w:type="continuationSeparator" w:id="0">
    <w:p w14:paraId="6CFB0525" w14:textId="77777777" w:rsidR="004C228F" w:rsidRDefault="004C2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00425" w14:textId="77777777" w:rsidR="00BC0C64" w:rsidRDefault="00BC0C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1E157" w14:textId="77777777" w:rsidR="00600F6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C0C6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C0C64">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F4FED" w14:textId="77777777" w:rsidR="00BC0C64" w:rsidRDefault="00BC0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1EF377" w14:textId="77777777" w:rsidR="004C228F" w:rsidRDefault="004C228F">
      <w:r>
        <w:separator/>
      </w:r>
    </w:p>
  </w:footnote>
  <w:footnote w:type="continuationSeparator" w:id="0">
    <w:p w14:paraId="2BB566D0" w14:textId="77777777" w:rsidR="004C228F" w:rsidRDefault="004C2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FF791" w14:textId="77777777" w:rsidR="00BC0C64" w:rsidRDefault="00BC0C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2116F" w14:textId="7BB9FC7A" w:rsidR="00600F6F" w:rsidRDefault="00600F6F">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4F8A5" w14:textId="77777777" w:rsidR="00BC0C64" w:rsidRDefault="00BC0C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232056"/>
    <w:multiLevelType w:val="hybridMultilevel"/>
    <w:tmpl w:val="CED69AB2"/>
    <w:lvl w:ilvl="0" w:tplc="47C00B84">
      <w:start w:val="1"/>
      <w:numFmt w:val="bullet"/>
      <w:lvlText w:val="●"/>
      <w:lvlJc w:val="left"/>
      <w:pPr>
        <w:ind w:left="720" w:hanging="360"/>
      </w:pPr>
    </w:lvl>
    <w:lvl w:ilvl="1" w:tplc="22F6A606">
      <w:start w:val="1"/>
      <w:numFmt w:val="bullet"/>
      <w:lvlText w:val="○"/>
      <w:lvlJc w:val="left"/>
      <w:pPr>
        <w:ind w:left="1440" w:hanging="360"/>
      </w:pPr>
    </w:lvl>
    <w:lvl w:ilvl="2" w:tplc="C5480AE6">
      <w:start w:val="1"/>
      <w:numFmt w:val="bullet"/>
      <w:lvlText w:val="■"/>
      <w:lvlJc w:val="left"/>
      <w:pPr>
        <w:ind w:left="2160" w:hanging="360"/>
      </w:pPr>
    </w:lvl>
    <w:lvl w:ilvl="3" w:tplc="7E4CB186">
      <w:start w:val="1"/>
      <w:numFmt w:val="bullet"/>
      <w:lvlText w:val="●"/>
      <w:lvlJc w:val="left"/>
      <w:pPr>
        <w:ind w:left="2880" w:hanging="360"/>
      </w:pPr>
    </w:lvl>
    <w:lvl w:ilvl="4" w:tplc="076E61C0">
      <w:start w:val="1"/>
      <w:numFmt w:val="bullet"/>
      <w:lvlText w:val="○"/>
      <w:lvlJc w:val="left"/>
      <w:pPr>
        <w:ind w:left="3600" w:hanging="360"/>
      </w:pPr>
    </w:lvl>
    <w:lvl w:ilvl="5" w:tplc="95F09A9A">
      <w:start w:val="1"/>
      <w:numFmt w:val="bullet"/>
      <w:lvlText w:val="■"/>
      <w:lvlJc w:val="left"/>
      <w:pPr>
        <w:ind w:left="4320" w:hanging="360"/>
      </w:pPr>
    </w:lvl>
    <w:lvl w:ilvl="6" w:tplc="8B98B9C6">
      <w:start w:val="1"/>
      <w:numFmt w:val="bullet"/>
      <w:lvlText w:val="●"/>
      <w:lvlJc w:val="left"/>
      <w:pPr>
        <w:ind w:left="5040" w:hanging="360"/>
      </w:pPr>
    </w:lvl>
    <w:lvl w:ilvl="7" w:tplc="788AC830">
      <w:start w:val="1"/>
      <w:numFmt w:val="bullet"/>
      <w:lvlText w:val="●"/>
      <w:lvlJc w:val="left"/>
      <w:pPr>
        <w:ind w:left="5760" w:hanging="360"/>
      </w:pPr>
    </w:lvl>
    <w:lvl w:ilvl="8" w:tplc="8CB68BA8">
      <w:start w:val="1"/>
      <w:numFmt w:val="bullet"/>
      <w:lvlText w:val="●"/>
      <w:lvlJc w:val="left"/>
      <w:pPr>
        <w:ind w:left="6480" w:hanging="360"/>
      </w:pPr>
    </w:lvl>
  </w:abstractNum>
  <w:abstractNum w:abstractNumId="1" w15:restartNumberingAfterBreak="0">
    <w:nsid w:val="7617219B"/>
    <w:multiLevelType w:val="hybridMultilevel"/>
    <w:tmpl w:val="D1986A52"/>
    <w:lvl w:ilvl="0" w:tplc="6AB4F846">
      <w:start w:val="1"/>
      <w:numFmt w:val="bullet"/>
      <w:lvlText w:val="•"/>
      <w:lvlJc w:val="left"/>
      <w:pPr>
        <w:ind w:left="720" w:hanging="360"/>
      </w:pPr>
    </w:lvl>
    <w:lvl w:ilvl="1" w:tplc="43C66090">
      <w:numFmt w:val="decimal"/>
      <w:lvlText w:val=""/>
      <w:lvlJc w:val="left"/>
    </w:lvl>
    <w:lvl w:ilvl="2" w:tplc="04EE9130">
      <w:numFmt w:val="decimal"/>
      <w:lvlText w:val=""/>
      <w:lvlJc w:val="left"/>
    </w:lvl>
    <w:lvl w:ilvl="3" w:tplc="73D66E62">
      <w:numFmt w:val="decimal"/>
      <w:lvlText w:val=""/>
      <w:lvlJc w:val="left"/>
    </w:lvl>
    <w:lvl w:ilvl="4" w:tplc="277889B4">
      <w:numFmt w:val="decimal"/>
      <w:lvlText w:val=""/>
      <w:lvlJc w:val="left"/>
    </w:lvl>
    <w:lvl w:ilvl="5" w:tplc="395E12DA">
      <w:numFmt w:val="decimal"/>
      <w:lvlText w:val=""/>
      <w:lvlJc w:val="left"/>
    </w:lvl>
    <w:lvl w:ilvl="6" w:tplc="98B86490">
      <w:numFmt w:val="decimal"/>
      <w:lvlText w:val=""/>
      <w:lvlJc w:val="left"/>
    </w:lvl>
    <w:lvl w:ilvl="7" w:tplc="66263F62">
      <w:numFmt w:val="decimal"/>
      <w:lvlText w:val=""/>
      <w:lvlJc w:val="left"/>
    </w:lvl>
    <w:lvl w:ilvl="8" w:tplc="1EB2F44A">
      <w:numFmt w:val="decimal"/>
      <w:lvlText w:val=""/>
      <w:lvlJc w:val="left"/>
    </w:lvl>
  </w:abstractNum>
  <w:num w:numId="1" w16cid:durableId="1089472648">
    <w:abstractNumId w:val="0"/>
    <w:lvlOverride w:ilvl="0">
      <w:startOverride w:val="1"/>
    </w:lvlOverride>
  </w:num>
  <w:num w:numId="2" w16cid:durableId="3327276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F6F"/>
    <w:rsid w:val="004C228F"/>
    <w:rsid w:val="00600F6F"/>
    <w:rsid w:val="00BC0C64"/>
    <w:rsid w:val="00DD3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104562"/>
  <w15:docId w15:val="{D469568E-9A0B-EB4B-A6DA-2D78D9EE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62626"/>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0"/>
      <w:szCs w:val="30"/>
    </w:rPr>
  </w:style>
  <w:style w:type="paragraph" w:styleId="Heading2">
    <w:name w:val="heading 2"/>
    <w:uiPriority w:val="9"/>
    <w:semiHidden/>
    <w:unhideWhenUsed/>
    <w:qFormat/>
    <w:pPr>
      <w:spacing w:before="26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0C64"/>
    <w:pPr>
      <w:tabs>
        <w:tab w:val="center" w:pos="4513"/>
        <w:tab w:val="right" w:pos="9026"/>
      </w:tabs>
    </w:pPr>
  </w:style>
  <w:style w:type="character" w:customStyle="1" w:styleId="HeaderChar">
    <w:name w:val="Header Char"/>
    <w:basedOn w:val="DefaultParagraphFont"/>
    <w:link w:val="Header"/>
    <w:uiPriority w:val="99"/>
    <w:rsid w:val="00BC0C64"/>
  </w:style>
  <w:style w:type="paragraph" w:styleId="Footer">
    <w:name w:val="footer"/>
    <w:basedOn w:val="Normal"/>
    <w:link w:val="FooterChar"/>
    <w:uiPriority w:val="99"/>
    <w:unhideWhenUsed/>
    <w:rsid w:val="00BC0C64"/>
    <w:pPr>
      <w:tabs>
        <w:tab w:val="center" w:pos="4513"/>
        <w:tab w:val="right" w:pos="9026"/>
      </w:tabs>
    </w:pPr>
  </w:style>
  <w:style w:type="character" w:customStyle="1" w:styleId="FooterChar">
    <w:name w:val="Footer Char"/>
    <w:basedOn w:val="DefaultParagraphFont"/>
    <w:link w:val="Footer"/>
    <w:uiPriority w:val="99"/>
    <w:rsid w:val="00BC0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1562</Words>
  <Characters>8908</Characters>
  <Application>Microsoft Office Word</Application>
  <DocSecurity>0</DocSecurity>
  <Lines>74</Lines>
  <Paragraphs>20</Paragraphs>
  <ScaleCrop>false</ScaleCrop>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Chidambaram A</cp:lastModifiedBy>
  <cp:revision>2</cp:revision>
  <dcterms:created xsi:type="dcterms:W3CDTF">2026-06-20T11:44:00Z</dcterms:created>
  <dcterms:modified xsi:type="dcterms:W3CDTF">2026-06-20T11:44:00Z</dcterms:modified>
</cp:coreProperties>
</file>