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Cloud-Native Architecture and High Availability Guide</w:t>
      </w:r>
    </w:p>
    <w:p>
      <w:pPr>
        <w:pStyle w:val="Heading1"/>
      </w:pPr>
      <w:r>
        <w:t>1. Principles of Resilient Distributed Systems</w:t>
      </w:r>
    </w:p>
    <w:p>
      <w:r>
        <w:t>Modern enterprise cloud architectures require horizontal scalability, stateless services, and decoupled asynchronous communication. By deploying microservices across multiple availability zones (AZs), organizations minimize single points of failure and achieve 99.99% uptime SLAs.</w:t>
      </w:r>
    </w:p>
    <w:p>
      <w:pPr>
        <w:pStyle w:val="Heading2"/>
      </w:pPr>
      <w:r>
        <w:t>2. Availability Tier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Tier</w:t>
            </w:r>
          </w:p>
        </w:tc>
        <w:tc>
          <w:tcPr>
            <w:tcW w:type="dxa" w:w="2880"/>
          </w:tcPr>
          <w:p>
            <w:r>
              <w:t>Target Uptime (SLA)</w:t>
            </w:r>
          </w:p>
        </w:tc>
        <w:tc>
          <w:tcPr>
            <w:tcW w:type="dxa" w:w="2880"/>
          </w:tcPr>
          <w:p>
            <w:r>
              <w:t>Recovery Time Objective (RTO)</w:t>
            </w:r>
          </w:p>
        </w:tc>
      </w:tr>
      <w:tr>
        <w:tc>
          <w:tcPr>
            <w:tcW w:type="dxa" w:w="2880"/>
          </w:tcPr>
          <w:p>
            <w:r>
              <w:t>Tier 1 - Mission Critical</w:t>
            </w:r>
          </w:p>
        </w:tc>
        <w:tc>
          <w:tcPr>
            <w:tcW w:type="dxa" w:w="2880"/>
          </w:tcPr>
          <w:p>
            <w:r>
              <w:t>99.99% (&lt; 52.6 min downtime/year)</w:t>
            </w:r>
          </w:p>
        </w:tc>
        <w:tc>
          <w:tcPr>
            <w:tcW w:type="dxa" w:w="2880"/>
          </w:tcPr>
          <w:p>
            <w:r>
              <w:t>&lt; 5 minutes</w:t>
            </w:r>
          </w:p>
        </w:tc>
      </w:tr>
      <w:tr>
        <w:tc>
          <w:tcPr>
            <w:tcW w:type="dxa" w:w="2880"/>
          </w:tcPr>
          <w:p>
            <w:r>
              <w:t>Tier 2 - Business Operational</w:t>
            </w:r>
          </w:p>
        </w:tc>
        <w:tc>
          <w:tcPr>
            <w:tcW w:type="dxa" w:w="2880"/>
          </w:tcPr>
          <w:p>
            <w:r>
              <w:t>99.9% (&lt; 8.76 hours downtime/year)</w:t>
            </w:r>
          </w:p>
        </w:tc>
        <w:tc>
          <w:tcPr>
            <w:tcW w:type="dxa" w:w="2880"/>
          </w:tcPr>
          <w:p>
            <w:r>
              <w:t>&lt; 1 hour</w:t>
            </w:r>
          </w:p>
        </w:tc>
      </w:tr>
      <w:tr>
        <w:tc>
          <w:tcPr>
            <w:tcW w:type="dxa" w:w="2880"/>
          </w:tcPr>
          <w:p>
            <w:r>
              <w:t>Tier 3 - Internal Supporting</w:t>
            </w:r>
          </w:p>
        </w:tc>
        <w:tc>
          <w:tcPr>
            <w:tcW w:type="dxa" w:w="2880"/>
          </w:tcPr>
          <w:p>
            <w:r>
              <w:t>99.0% (&lt; 3.65 days downtime/year)</w:t>
            </w:r>
          </w:p>
        </w:tc>
        <w:tc>
          <w:tcPr>
            <w:tcW w:type="dxa" w:w="2880"/>
          </w:tcPr>
          <w:p>
            <w:r>
              <w:t>&lt; 24 hours</w:t>
            </w:r>
          </w:p>
        </w:tc>
      </w:tr>
    </w:tbl>
    <w:p>
      <w:pPr>
        <w:pStyle w:val="Heading1"/>
      </w:pPr>
      <w:r>
        <w:t>3. Data Consistency Models and CAP Theorem</w:t>
      </w:r>
    </w:p>
    <w:p>
      <w:r>
        <w:t>According to Eric Brewer's CAP theorem, a distributed data store can only guarantee at most two out of Consistency, Availability, and Partition Tolerance simultaneously. Cloud distributed databases like Google Cloud Spanner leverage TrueTime atomic clocks to provide external consistency while maintaining high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