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left"/>
      </w:pPr>
      <w:r>
        <w:rPr>
          <w:rFonts w:ascii="Geist Mono" w:hAnsi="Geist Mono"/>
          <w:b/>
          <w:i w:val="0"/>
          <w:color w:val="0F62FE"/>
          <w:sz w:val="20"/>
        </w:rPr>
        <w:t>AUTOCORE</w:t>
      </w:r>
    </w:p>
    <w:p>
      <w:pPr>
        <w:spacing w:after="80" w:before="0" w:line="276" w:lineRule="auto"/>
        <w:jc w:val="left"/>
      </w:pPr>
      <w:r>
        <w:rPr>
          <w:b/>
          <w:i w:val="0"/>
          <w:color w:val="09090B"/>
          <w:sz w:val="56"/>
        </w:rPr>
        <w:t>Automotive Retail ERP</w:t>
      </w:r>
    </w:p>
    <w:p>
      <w:pPr>
        <w:spacing w:after="40" w:before="0" w:line="276" w:lineRule="auto"/>
        <w:jc w:val="left"/>
      </w:pPr>
      <w:r>
        <w:rPr>
          <w:b w:val="0"/>
          <w:i w:val="0"/>
          <w:color w:val="52525B"/>
          <w:sz w:val="22"/>
        </w:rPr>
        <w:t>Process Flows  •  System of Record  •  Sovereign Auto Group</w:t>
      </w:r>
    </w:p>
    <w:p>
      <w:pPr>
        <w:spacing w:after="360" w:before="0" w:line="276" w:lineRule="auto"/>
        <w:jc w:val="left"/>
      </w:pPr>
      <w:r>
        <w:rPr>
          <w:b w:val="0"/>
          <w:i w:val="0"/>
          <w:color w:val="71717A"/>
          <w:sz w:val="18"/>
        </w:rPr>
        <w:t>Cloud-native  •  Single STAR Data Model  •  Free APIs  •  Native AI  •  Migration-as-a-Product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4032"/>
      </w:tblGrid>
      <w:tr>
        <w:tc>
          <w:tcPr>
            <w:tcW w:type="dxa" w:w="5400"/>
            <w:shd w:fill="0F62FE" w:val="clear" w:color="auto"/>
            <w:tcBorders>
              <w:top w:val="single" w:sz="6" w:space="0" w:color="0F62FE"/>
              <w:left w:val="single" w:sz="6" w:space="0" w:color="0F62FE"/>
              <w:bottom w:val="single" w:sz="6" w:space="0" w:color="0F62FE"/>
              <w:right w:val="single" w:sz="6" w:space="0" w:color="0F62FE"/>
              <w:insideH w:val="single" w:sz="6" w:space="0" w:color="0F62FE"/>
              <w:insideV w:val="single" w:sz="6" w:space="0" w:color="0F62FE"/>
            </w:tcBorders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 xml:space="preserve">  LIVE DEMO  •  autocore-erp-demo.netlify.app  •  github.com/sanjay-madala/autocore-erp-demo</w:t>
            </w:r>
          </w:p>
        </w:tc>
        <w:tc>
          <w:tcPr>
            <w:tcW w:type="dxa" w:w="5400"/>
            <w:shd w:fill="0F62FE" w:val="clear" w:color="auto"/>
            <w:tcBorders>
              <w:top w:val="single" w:sz="6" w:space="0" w:color="0F62FE"/>
              <w:left w:val="single" w:sz="6" w:space="0" w:color="0F62FE"/>
              <w:bottom w:val="single" w:sz="6" w:space="0" w:color="0F62FE"/>
              <w:right w:val="single" w:sz="6" w:space="0" w:color="0F62FE"/>
              <w:insideH w:val="single" w:sz="6" w:space="0" w:color="0F62FE"/>
              <w:insideV w:val="single" w:sz="6" w:space="0" w:color="0F62FE"/>
            </w:tcBorders>
          </w:tcPr>
          <w:p>
            <w:pPr>
              <w:jc w:val="right"/>
            </w:pPr>
            <w:r>
              <w:rPr>
                <w:color w:val="FFFFFF"/>
                <w:sz w:val="14"/>
              </w:rPr>
              <w:t xml:space="preserve">Version 1.0  •  2026-08-27  •  SPEC §3 verbatim  </w:t>
            </w:r>
          </w:p>
        </w:tc>
      </w:tr>
    </w:tbl>
    <w:p>
      <w:pPr>
        <w:spacing w:after="200"/>
      </w:pPr>
    </w:p>
    <w:p>
      <w:pPr>
        <w:spacing w:after="320" w:before="0" w:line="276" w:lineRule="auto"/>
        <w:jc w:val="center"/>
      </w:pPr>
      <w:r>
        <w:rPr>
          <w:rFonts w:ascii="Geist Mono" w:hAnsi="Geist Mono"/>
          <w:b w:val="0"/>
          <w:i w:val="0"/>
          <w:color w:val="71717A"/>
          <w:sz w:val="14"/>
        </w:rPr>
        <w:t>TRUST  •  99.95% SLA  •  RTO 1h  •  RPO 15m  •  Multi-region active/active  •  Immutable backups  •  SOC 2 Type I→II  •  Zero scheduled downtime  •  Degraded sync E1-T12</w:t>
      </w:r>
    </w:p>
    <w:p>
      <w:pPr>
        <w:pStyle w:val="Heading1"/>
        <w:spacing w:before="200" w:after="120"/>
        <w:jc w:val="left"/>
      </w:pPr>
      <w:r>
        <w:rPr>
          <w:b/>
          <w:color w:val="09090B"/>
          <w:sz w:val="44"/>
        </w:rPr>
        <w:t>Contents</w:t>
      </w:r>
    </w:p>
    <w:p>
      <w:pPr>
        <w:spacing w:after="20"/>
        <w:ind w:left="288"/>
      </w:pPr>
      <w:r>
        <w:rPr>
          <w:color w:val="52525B"/>
          <w:sz w:val="16"/>
        </w:rPr>
        <w:t>1  Vision &amp; Design Principles — 8 principles (one data model, open data, resilience, native AI, migration-as-a-product, consolidation, fixed-ops parity, transparent pricing) …… 2</w:t>
      </w:r>
    </w:p>
    <w:p>
      <w:pPr>
        <w:spacing w:after="20"/>
        <w:ind w:left="288"/>
      </w:pPr>
      <w:r>
        <w:rPr>
          <w:color w:val="52525B"/>
          <w:sz w:val="16"/>
        </w:rPr>
        <w:t>2  Personas P1–P12 — Dealer Principal → Developer …… 2</w:t>
      </w:r>
    </w:p>
    <w:p>
      <w:pPr>
        <w:spacing w:after="20"/>
        <w:ind w:left="288"/>
      </w:pPr>
      <w:r>
        <w:rPr>
          <w:color w:val="52525B"/>
          <w:sz w:val="16"/>
        </w:rPr>
        <w:t>3  Epic Map E1–E14 — Platform → Mobile …… 3</w:t>
      </w:r>
    </w:p>
    <w:p>
      <w:pPr>
        <w:spacing w:after="20"/>
        <w:ind w:left="288"/>
      </w:pPr>
      <w:r>
        <w:rPr>
          <w:color w:val="52525B"/>
          <w:sz w:val="16"/>
        </w:rPr>
        <w:t>4  Single Data Model — one customer / VIN / deal / RO / GL, no batch, STAR Retail DM …… 3</w:t>
      </w:r>
    </w:p>
    <w:p>
      <w:pPr>
        <w:spacing w:after="20"/>
        <w:ind w:left="288"/>
      </w:pPr>
      <w:r>
        <w:rPr>
          <w:color w:val="52525B"/>
          <w:sz w:val="16"/>
        </w:rPr>
        <w:t>5  Flows F1–F18 — 18 end-to-end (steps, epics, actors, alts) …… 4–18</w:t>
      </w:r>
    </w:p>
    <w:p>
      <w:pPr>
        <w:spacing w:after="20"/>
        <w:ind w:left="288"/>
      </w:pPr>
      <w:r>
        <w:rPr>
          <w:color w:val="52525B"/>
          <w:sz w:val="16"/>
        </w:rPr>
        <w:t>6  Critical Path — E1 blocks everything; migration in parallel; E7/E8 gate switching …… 19</w:t>
      </w:r>
    </w:p>
    <w:p>
      <w:pPr>
        <w:spacing w:after="20"/>
        <w:ind w:left="288"/>
      </w:pPr>
      <w:r>
        <w:rPr>
          <w:color w:val="52525B"/>
          <w:sz w:val="16"/>
        </w:rPr>
        <w:t>7  Non-Functional — 99.95% / RTO 1h / RPO 15m, &lt;500ms pencil, &lt;60s dashboard, STAR, 15m syndication …… 19</w:t>
      </w:r>
    </w:p>
    <w:p>
      <w:pPr>
        <w:spacing w:after="20"/>
        <w:ind w:left="288"/>
      </w:pPr>
      <w:r>
        <w:rPr>
          <w:color w:val="52525B"/>
          <w:sz w:val="16"/>
        </w:rPr>
        <w:t>8  Demo Map — URL, shell, 10 views, shared Zustand store, 5 E2E tests …… 20</w:t>
      </w:r>
    </w:p>
    <w:p>
      <w:pPr>
        <w:spacing w:after="20"/>
        <w:ind w:left="288"/>
      </w:pPr>
      <w:r>
        <w:rPr>
          <w:color w:val="52525B"/>
          <w:sz w:val="16"/>
        </w:rPr>
        <w:t>9  Appendix — Risks, open questions, handoff …… 20</w:t>
      </w:r>
    </w:p>
    <w:p>
      <w:pPr>
        <w:pStyle w:val="Heading1"/>
        <w:spacing w:before="200" w:after="120"/>
        <w:jc w:val="left"/>
      </w:pPr>
      <w:r>
        <w:rPr>
          <w:b/>
          <w:color w:val="09090B"/>
          <w:sz w:val="44"/>
        </w:rPr>
        <w:t>1  Vision &amp; Design Principles</w:t>
      </w:r>
    </w:p>
    <w:p>
      <w:pPr>
        <w:spacing w:after="160" w:before="0" w:line="276" w:lineRule="auto"/>
        <w:jc w:val="left"/>
      </w:pPr>
      <w:r>
        <w:rPr>
          <w:b w:val="0"/>
          <w:i w:val="0"/>
          <w:color w:val="52525B"/>
          <w:sz w:val="18"/>
        </w:rPr>
        <w:t>AutoCore is a cloud-native automotive retail ERP that gives every dealership — from a 5-rooftop regional group to a 150-store consolidator — one real-time data model for customers, vehicles, deals, repair orders, parts, and money; open, free, self-serve APIs that make “your data is yours” a contractual guarantee; and native AI that acts on that unified data (answering missed calls, bridging leads in under 60 seconds, booking service, assisting F&amp;I) instead of reporting after the fact.</w:t>
      </w:r>
    </w:p>
    <w:p>
      <w:pPr>
        <w:spacing w:after="60"/>
        <w:ind w:left="216"/>
      </w:pPr>
      <w:r>
        <w:rPr>
          <w:b/>
          <w:color w:val="09090B"/>
          <w:sz w:val="18"/>
        </w:rPr>
        <w:t xml:space="preserve">1. One data model or nothing.  </w:t>
      </w:r>
      <w:r>
        <w:rPr>
          <w:color w:val="52525B"/>
          <w:sz w:val="16"/>
        </w:rPr>
        <w:t>One customer, one deal, one GL across sales/F&amp;I/service/parts/accounting in real time — no batch, no on-prem. 67% of dealers report stack fails to capture critical data.</w:t>
      </w:r>
    </w:p>
    <w:p>
      <w:pPr>
        <w:spacing w:after="60"/>
        <w:ind w:left="216"/>
      </w:pPr>
      <w:r>
        <w:rPr>
          <w:b/>
          <w:color w:val="09090B"/>
          <w:sz w:val="18"/>
        </w:rPr>
        <w:t xml:space="preserve">2. Open data, free APIs, contractual ownership.  </w:t>
      </w:r>
      <w:r>
        <w:rPr>
          <w:color w:val="52525B"/>
          <w:sz w:val="16"/>
        </w:rPr>
        <w:t>Self-serve keys, dealer consent, webhooks, STAR APIs, zero egress fees, exit &lt;24h $0.</w:t>
      </w:r>
    </w:p>
    <w:p>
      <w:pPr>
        <w:spacing w:after="60"/>
        <w:ind w:left="216"/>
      </w:pPr>
      <w:r>
        <w:rPr>
          <w:b/>
          <w:color w:val="09090B"/>
          <w:sz w:val="18"/>
        </w:rPr>
        <w:t xml:space="preserve">3. Cloud-native resilience as a product.  </w:t>
      </w:r>
      <w:r>
        <w:rPr>
          <w:color w:val="52525B"/>
          <w:sz w:val="16"/>
        </w:rPr>
        <w:t>June 2024 CDK $1.02B / 56.2k sales lost — multi-region active/active, degraded queue, immutable backups, published RTO 1h/RPO 15m.</w:t>
      </w:r>
    </w:p>
    <w:p>
      <w:pPr>
        <w:spacing w:after="60"/>
        <w:ind w:left="216"/>
      </w:pPr>
      <w:r>
        <w:rPr>
          <w:b/>
          <w:color w:val="09090B"/>
          <w:sz w:val="18"/>
        </w:rPr>
        <w:t xml:space="preserve">4. Native AI, not bolt-on.  </w:t>
      </w:r>
      <w:r>
        <w:rPr>
          <w:color w:val="52525B"/>
          <w:sz w:val="16"/>
        </w:rPr>
        <w:t>#1 dealer ask 74% voice agents; 30–40% calls dropped, 43% leads mishandled — AI on unified data, vendor-agnostic, 42001 governance.</w:t>
      </w:r>
    </w:p>
    <w:p>
      <w:pPr>
        <w:spacing w:after="60"/>
        <w:ind w:left="216"/>
      </w:pPr>
      <w:r>
        <w:rPr>
          <w:b/>
          <w:color w:val="09090B"/>
          <w:sz w:val="18"/>
        </w:rPr>
        <w:t xml:space="preserve">5. Migration-as-a-product.  </w:t>
      </w:r>
      <w:r>
        <w:rPr>
          <w:color w:val="52525B"/>
          <w:sz w:val="16"/>
        </w:rPr>
        <w:t>6–18mo switches are the duopoly moat — extractors, mapping workbench 99.2% bins, parallel 14d, cutover &lt;72h.</w:t>
      </w:r>
    </w:p>
    <w:p>
      <w:pPr>
        <w:spacing w:after="60"/>
        <w:ind w:left="216"/>
      </w:pPr>
      <w:r>
        <w:rPr>
          <w:b/>
          <w:color w:val="09090B"/>
          <w:sz w:val="18"/>
        </w:rPr>
        <w:t xml:space="preserve">6. Consolidation over fragmentation.  </w:t>
      </w:r>
      <w:r>
        <w:rPr>
          <w:color w:val="52525B"/>
          <w:sz w:val="16"/>
        </w:rPr>
        <w:t>10–20 apps per store want one truth — build breadth, integrate only lender/titling PSP.</w:t>
      </w:r>
    </w:p>
    <w:p>
      <w:pPr>
        <w:spacing w:after="60"/>
        <w:ind w:left="216"/>
      </w:pPr>
      <w:r>
        <w:rPr>
          <w:b/>
          <w:color w:val="09090B"/>
          <w:sz w:val="18"/>
        </w:rPr>
        <w:t xml:space="preserve">7. Fixed-ops parity non-negotiable.  </w:t>
      </w:r>
      <w:r>
        <w:rPr>
          <w:color w:val="52525B"/>
          <w:sz w:val="16"/>
        </w:rPr>
        <w:t>Service would mutiny without depth — matrix correct vs Tekion list, stock orders day-one, video MPI +$230.</w:t>
      </w:r>
    </w:p>
    <w:p>
      <w:pPr>
        <w:spacing w:after="60"/>
        <w:ind w:left="216"/>
      </w:pPr>
      <w:r>
        <w:rPr>
          <w:b/>
          <w:color w:val="09090B"/>
          <w:sz w:val="18"/>
        </w:rPr>
        <w:t xml:space="preserve">8. Transparent pricing.  </w:t>
      </w:r>
      <w:r>
        <w:rPr>
          <w:color w:val="52525B"/>
          <w:sz w:val="16"/>
        </w:rPr>
        <w:t>Published, 24-mo initial, capped escalators, no per-connector fees.</w:t>
      </w:r>
    </w:p>
    <w:p>
      <w:pPr>
        <w:pStyle w:val="Heading1"/>
        <w:spacing w:before="200" w:after="120"/>
        <w:jc w:val="left"/>
      </w:pPr>
      <w:r>
        <w:rPr>
          <w:b/>
          <w:color w:val="09090B"/>
          <w:sz w:val="44"/>
        </w:rPr>
        <w:t>2  Personas P1–P12</w:t>
      </w:r>
    </w:p>
    <w:p>
      <w:pPr>
        <w:spacing w:after="120" w:before="0" w:line="276" w:lineRule="auto"/>
        <w:jc w:val="left"/>
      </w:pPr>
      <w:r>
        <w:rPr>
          <w:b w:val="0"/>
          <w:i w:val="0"/>
          <w:color w:val="71717A"/>
          <w:sz w:val="16"/>
        </w:rPr>
        <w:t>12 personas from dealer principal to third-party developer — top pain → platform answer.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448"/>
        <w:gridCol w:w="3168"/>
        <w:gridCol w:w="3168"/>
      </w:tblGrid>
      <w:tr>
        <w:tc>
          <w:tcPr>
            <w:tcW w:type="dxa" w:w="2700"/>
            <w:shd w:fill="0F62FE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Persona</w:t>
            </w:r>
          </w:p>
        </w:tc>
        <w:tc>
          <w:tcPr>
            <w:tcW w:type="dxa" w:w="2700"/>
            <w:shd w:fill="0F62FE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2700"/>
            <w:shd w:fill="0F62FE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Top pain (research)</w:t>
            </w:r>
          </w:p>
        </w:tc>
        <w:tc>
          <w:tcPr>
            <w:tcW w:type="dxa" w:w="2700"/>
            <w:shd w:fill="0F62FE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AutoCore answer</w:t>
            </w:r>
          </w:p>
        </w:tc>
      </w:tr>
      <w:tr>
        <w:tc>
          <w:tcPr>
            <w:tcW w:type="dxa" w:w="17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P1 Principal</w:t>
            </w:r>
          </w:p>
        </w:tc>
        <w:tc>
          <w:tcPr>
            <w:tcW w:type="dxa" w:w="244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1–10 rooftops, P&amp;L owner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Opaque DMS cost, outage fear $50–150k, data hostage $200/rooftop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One login, published pricing, data export $0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P2 Group COO</w:t>
            </w:r>
          </w:p>
        </w:tc>
        <w:tc>
          <w:tcPr>
            <w:tcW w:type="dxa" w:w="244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5–50 stores, consolidation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Patchwork DMS, 15–20 apps, migration risk 6–18mo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Acquire → 60d parallel-run, shared customer, benchmarking</w:t>
            </w:r>
          </w:p>
        </w:tc>
      </w:tr>
      <w:tr>
        <w:tc>
          <w:tcPr>
            <w:tcW w:type="dxa" w:w="17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P3 GM</w:t>
            </w:r>
          </w:p>
        </w:tc>
        <w:tc>
          <w:tcPr>
            <w:tcW w:type="dxa" w:w="244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Single store P&amp;L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Batch data, 97% re-key online→showroom, support decay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Real-time pulse, one deal object omnichannel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P4 Sales/Desk</w:t>
            </w:r>
          </w:p>
        </w:tc>
        <w:tc>
          <w:tcPr>
            <w:tcW w:type="dxa" w:w="244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Desks every deal, turn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Slow multi-screen, quote divergence, stale stock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Sub-sec pencil live rates, one screen per pencil</w:t>
            </w:r>
          </w:p>
        </w:tc>
      </w:tr>
      <w:tr>
        <w:tc>
          <w:tcPr>
            <w:tcW w:type="dxa" w:w="17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P5 Salesperson</w:t>
            </w:r>
          </w:p>
        </w:tc>
        <w:tc>
          <w:tcPr>
            <w:tcW w:type="dxa" w:w="244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Commissioned, mobile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90+ min lead response, re-entry CRM→desking, desktop-bound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&lt;60s AI bridge, phone deal, enter once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P6 F&amp;I</w:t>
            </w:r>
          </w:p>
        </w:tc>
        <w:tc>
          <w:tcPr>
            <w:tcW w:type="dxa" w:w="244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Structures finance, compliance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Safeguards, slow funding hours→days, bolt-on menu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docuPAD guardrails + audit, eContract all 3 rails, same-day fund</w:t>
            </w:r>
          </w:p>
        </w:tc>
      </w:tr>
      <w:tr>
        <w:tc>
          <w:tcPr>
            <w:tcW w:type="dxa" w:w="17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P7 BDC</w:t>
            </w:r>
          </w:p>
        </w:tc>
        <w:tc>
          <w:tcPr>
            <w:tcW w:type="dxa" w:w="244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First human touch, appts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30–40% dropped calls, dup records, juggles CRM/phone/text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AI answers missed, unified inbox, auto-logged bridge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P8 Service Advisor</w:t>
            </w:r>
          </w:p>
        </w:tc>
        <w:tc>
          <w:tcPr>
            <w:tcW w:type="dxa" w:w="244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Writes ROs, lane CX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Approval phone-tag, no-show bays, MPI no photo = -$230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AI scheduling, video MPI tap-to-approve, pay-by-link</w:t>
            </w:r>
          </w:p>
        </w:tc>
      </w:tr>
      <w:tr>
        <w:tc>
          <w:tcPr>
            <w:tcW w:type="dxa" w:w="17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P9 Svc Mgr</w:t>
            </w:r>
          </w:p>
        </w:tc>
        <w:tc>
          <w:tcPr>
            <w:tcW w:type="dxa" w:w="244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Throughput, warranty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9.2 vendors, warranty chargebacks, share 33%→29%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One dispatch board, clean warranty first time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P10 Parts Mgr</w:t>
            </w:r>
          </w:p>
        </w:tc>
        <w:tc>
          <w:tcPr>
            <w:tcW w:type="dxa" w:w="244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Inventory, counter, wholesale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Tekion matrix shows list, obsolescence, no cross-store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Matrix correct, short-sale clean, group transfers, day-one stock orders</w:t>
            </w:r>
          </w:p>
        </w:tc>
      </w:tr>
      <w:tr>
        <w:tc>
          <w:tcPr>
            <w:tcW w:type="dxa" w:w="17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P11 Controller</w:t>
            </w:r>
          </w:p>
        </w:tc>
        <w:tc>
          <w:tcPr>
            <w:tcW w:type="dxa" w:w="244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Books, OEM statement, payroll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Reynolds best moat, batch hides errors, spreadsheet consolidation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Real-time GL, continuous schedules, consolidated, 3-day close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P12 Developer</w:t>
            </w:r>
          </w:p>
        </w:tc>
        <w:tc>
          <w:tcPr>
            <w:tcW w:type="dxa" w:w="244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Integrator, builds on DMS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$10–40k fees, gated RCI 3PA months, partial APIs per-call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Sandbox &lt;15min $0, STAR, webhooks, revoke anytime</w:t>
            </w:r>
          </w:p>
        </w:tc>
      </w:tr>
    </w:tbl>
    <w:p>
      <w:pPr>
        <w:spacing w:after="120"/>
      </w:pPr>
    </w:p>
    <w:p>
      <w:pPr>
        <w:pStyle w:val="Heading1"/>
        <w:spacing w:before="200" w:after="120"/>
        <w:jc w:val="left"/>
      </w:pPr>
      <w:r>
        <w:rPr>
          <w:b/>
          <w:color w:val="09090B"/>
          <w:sz w:val="44"/>
        </w:rPr>
        <w:t>3  Epic Map E1–E14</w:t>
      </w:r>
    </w:p>
    <w:p>
      <w:pPr>
        <w:spacing w:after="120" w:before="0" w:line="276" w:lineRule="auto"/>
        <w:jc w:val="left"/>
      </w:pPr>
      <w:r>
        <w:rPr>
          <w:b w:val="0"/>
          <w:i w:val="0"/>
          <w:color w:val="71717A"/>
          <w:sz w:val="16"/>
        </w:rPr>
        <w:t>P0 = table stakes (must sell), P1 = differentiator, P2 = moonshot. E1 blocks everything.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720"/>
        <w:gridCol w:w="8064"/>
      </w:tblGrid>
      <w:tr>
        <w:tc>
          <w:tcPr>
            <w:tcW w:type="dxa" w:w="3600"/>
            <w:shd w:fill="09090B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Epic</w:t>
            </w:r>
          </w:p>
        </w:tc>
        <w:tc>
          <w:tcPr>
            <w:tcW w:type="dxa" w:w="3600"/>
            <w:shd w:fill="09090B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Pri</w:t>
            </w:r>
          </w:p>
        </w:tc>
        <w:tc>
          <w:tcPr>
            <w:tcW w:type="dxa" w:w="3600"/>
            <w:shd w:fill="09090B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Scope</w:t>
            </w:r>
          </w:p>
        </w:tc>
      </w:tr>
      <w:tr>
        <w:tc>
          <w:tcPr>
            <w:tcW w:type="dxa" w:w="17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E1 Platform</w:t>
            </w:r>
          </w:p>
        </w:tc>
        <w:tc>
          <w:tcPr>
            <w:tcW w:type="dxa" w:w="720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P0</w:t>
            </w:r>
          </w:p>
        </w:tc>
        <w:tc>
          <w:tcPr>
            <w:tcW w:type="dxa" w:w="8064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Multi-tenant, single STAR model, multi-rooftop org, RBAC, audit, event bus, multi-region RTO 1h RPO 15m, 0-downtime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E2 Accounting</w:t>
            </w:r>
          </w:p>
        </w:tc>
        <w:tc>
          <w:tcPr>
            <w:tcW w:type="dxa" w:w="720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P0</w:t>
            </w:r>
          </w:p>
        </w:tc>
        <w:tc>
          <w:tcPr>
            <w:tcW w:type="dxa" w:w="8064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Real-time GL, OEM COA, CIT/floorplan/warranty schedules, AP/AR, JE tiers, payroll flag, Stripe pay, close ≤3d</w:t>
            </w:r>
          </w:p>
        </w:tc>
      </w:tr>
      <w:tr>
        <w:tc>
          <w:tcPr>
            <w:tcW w:type="dxa" w:w="17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E3 Inventory</w:t>
            </w:r>
          </w:p>
        </w:tc>
        <w:tc>
          <w:tcPr>
            <w:tcW w:type="dxa" w:w="720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P0</w:t>
            </w:r>
          </w:p>
        </w:tc>
        <w:tc>
          <w:tcPr>
            <w:tcW w:type="dxa" w:w="8064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One VIN group-wide, factory/in-transit, appraisal KBB, recon cost roll-up, pricing engine, syndication &lt;15m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E4 Desking/F&amp;I</w:t>
            </w:r>
          </w:p>
        </w:tc>
        <w:tc>
          <w:tcPr>
            <w:tcW w:type="dxa" w:w="720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P0</w:t>
            </w:r>
          </w:p>
        </w:tc>
        <w:tc>
          <w:tcPr>
            <w:tcW w:type="dxa" w:w="8064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One deal object, &lt;500ms pencil live rates/tax/incentives, 3 rails Dealertrack/RouteOne/CUDL, docuPAD menu + audit, eContract, 50-state fees</w:t>
            </w:r>
          </w:p>
        </w:tc>
      </w:tr>
      <w:tr>
        <w:tc>
          <w:tcPr>
            <w:tcW w:type="dxa" w:w="17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E5 Digital Retail</w:t>
            </w:r>
          </w:p>
        </w:tc>
        <w:tc>
          <w:tcPr>
            <w:tcW w:type="dxa" w:w="720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P0</w:t>
            </w:r>
          </w:p>
        </w:tc>
        <w:tc>
          <w:tcPr>
            <w:tcW w:type="dxa" w:w="8064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Embeddable retail, real-rate payments, trade capture, soft-pull, online F&amp;I same guardrails, deposit, eSign, omnichannel no re-key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E6 CRM</w:t>
            </w:r>
          </w:p>
        </w:tc>
        <w:tc>
          <w:tcPr>
            <w:tcW w:type="dxa" w:w="720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P0</w:t>
            </w:r>
          </w:p>
        </w:tc>
        <w:tc>
          <w:tcPr>
            <w:tcW w:type="dxa" w:w="8064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Lead dedup shared file, &lt;5s assign, unified timeline, telephony bridge+recording, cadences, equity mining RevenueRadar</w:t>
            </w:r>
          </w:p>
        </w:tc>
      </w:tr>
      <w:tr>
        <w:tc>
          <w:tcPr>
            <w:tcW w:type="dxa" w:w="17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E7 Service Lane</w:t>
            </w:r>
          </w:p>
        </w:tc>
        <w:tc>
          <w:tcPr>
            <w:tcW w:type="dxa" w:w="720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P0</w:t>
            </w:r>
          </w:p>
        </w:tc>
        <w:tc>
          <w:tcPr>
            <w:tcW w:type="dxa" w:w="8064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Capacity scheduling op-code, write-up mobile, RO, dispatch flag, video MPI $230, texting, pay-by-link, warranty DCS, loaner P1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E8 Parts</w:t>
            </w:r>
          </w:p>
        </w:tc>
        <w:tc>
          <w:tcPr>
            <w:tcW w:type="dxa" w:w="720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P0</w:t>
            </w:r>
          </w:p>
        </w:tc>
        <w:tc>
          <w:tcPr>
            <w:tcW w:type="dxa" w:w="8064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EPC per brand, matrix pricing (Tekion fix), counter short-sale integrity, stock orders day-one, bin barcode, wholesale Net20, tire EV 47%</w:t>
            </w:r>
          </w:p>
        </w:tc>
      </w:tr>
      <w:tr>
        <w:tc>
          <w:tcPr>
            <w:tcW w:type="dxa" w:w="17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E9 Open Platform</w:t>
            </w:r>
          </w:p>
        </w:tc>
        <w:tc>
          <w:tcPr>
            <w:tcW w:type="dxa" w:w="720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P0</w:t>
            </w:r>
          </w:p>
        </w:tc>
        <w:tc>
          <w:tcPr>
            <w:tcW w:type="dxa" w:w="8064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REST OpenAPI STAR, OAuth dealer-consent, webhooks signed HMAC, sandbox synthetic, marketplace 0% take, export &lt;24h $0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E10 AI Layer</w:t>
            </w:r>
          </w:p>
        </w:tc>
        <w:tc>
          <w:tcPr>
            <w:tcW w:type="dxa" w:w="720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P1</w:t>
            </w:r>
          </w:p>
        </w:tc>
        <w:tc>
          <w:tcPr>
            <w:tcW w:type="dxa" w:w="8064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Voice agent missed-call &lt;30s, speed-to-lead &lt;60s, transcription/scoring, CRM assist, F&amp;I/service/copilot, T1 conversational BI, 42001</w:t>
            </w:r>
          </w:p>
        </w:tc>
      </w:tr>
      <w:tr>
        <w:tc>
          <w:tcPr>
            <w:tcW w:type="dxa" w:w="17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E11 Analytics</w:t>
            </w:r>
          </w:p>
        </w:tc>
        <w:tc>
          <w:tcPr>
            <w:tcW w:type="dxa" w:w="720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P0</w:t>
            </w:r>
          </w:p>
        </w:tc>
        <w:tc>
          <w:tcPr>
            <w:tcW w:type="dxa" w:w="8064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Streaming &lt;60s, dashboards per rooftop, OEM composites, RMI ad-hoc 100+ recipients, group benchmarking, metrics API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E12 Compliance</w:t>
            </w:r>
          </w:p>
        </w:tc>
        <w:tc>
          <w:tcPr>
            <w:tcW w:type="dxa" w:w="720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P0</w:t>
            </w:r>
          </w:p>
        </w:tc>
        <w:tc>
          <w:tcPr>
            <w:tcW w:type="dxa" w:w="8064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Safeguards MFA AES-256, SOC2 Type I→II, 50-state tax, Vitu/CVR titling, 13 privacy laws, pen test, DR immutable</w:t>
            </w:r>
          </w:p>
        </w:tc>
      </w:tr>
      <w:tr>
        <w:tc>
          <w:tcPr>
            <w:tcW w:type="dxa" w:w="17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E13 Migration</w:t>
            </w:r>
          </w:p>
        </w:tc>
        <w:tc>
          <w:tcPr>
            <w:tcW w:type="dxa" w:w="720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P0</w:t>
            </w:r>
          </w:p>
        </w:tc>
        <w:tc>
          <w:tcPr>
            <w:tcW w:type="dxa" w:w="8064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CDK/Reynolds/Tekion extractors, mapping workbench 99.2% bins, parallel 14d, cutover &lt;72h, training cert, AZ/MT/OR law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E14 Mobile</w:t>
            </w:r>
          </w:p>
        </w:tc>
        <w:tc>
          <w:tcPr>
            <w:tcW w:type="dxa" w:w="720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P0</w:t>
            </w:r>
          </w:p>
        </w:tc>
        <w:tc>
          <w:tcPr>
            <w:tcW w:type="dxa" w:w="8064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Sales/advisor/tech/parts/manager apps, offline queue, voice MPI, barcode scan, push, degraded sync</w:t>
            </w:r>
          </w:p>
        </w:tc>
      </w:tr>
    </w:tbl>
    <w:p>
      <w:pPr>
        <w:spacing w:after="120"/>
      </w:pPr>
    </w:p>
    <w:p>
      <w:pPr>
        <w:pStyle w:val="Heading1"/>
        <w:spacing w:before="200" w:after="120"/>
        <w:jc w:val="left"/>
      </w:pPr>
      <w:r>
        <w:rPr>
          <w:b/>
          <w:color w:val="09090B"/>
          <w:sz w:val="44"/>
        </w:rPr>
        <w:t>4  Single Data Model — STAR Retail DM</w:t>
      </w:r>
    </w:p>
    <w:p>
      <w:pPr>
        <w:spacing w:after="120" w:before="0" w:line="276" w:lineRule="auto"/>
        <w:jc w:val="left"/>
      </w:pPr>
      <w:r>
        <w:rPr>
          <w:b w:val="0"/>
          <w:i w:val="0"/>
          <w:color w:val="52525B"/>
          <w:sz w:val="16"/>
        </w:rPr>
        <w:t>One VIN record group-wide (new/used state machine: ordered → transit → stock → sold → delivered), one customer master (deterministic + probabilistic dedup across 3 rooftops), one deal object (web ↔ showroom, no re-key, 50-state tax), one RO (op codes, dispatch, flag), one GL (real-time posting, no batch). Event bus powers webhooks, AI, analytics &lt;60s. Audit log immutable (Safeguards evidence). Tenancy: schema-per-tenant, per-tenant keys, per-tenant export. Architecture: multi-region active/active, degraded queue E1-T12, immutable object-locked backups, quarterly restore drills.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440"/>
        <w:gridCol w:w="3888"/>
        <w:gridCol w:w="3600"/>
      </w:tblGrid>
      <w:tr>
        <w:tc>
          <w:tcPr>
            <w:tcW w:type="dxa" w:w="2700"/>
            <w:shd w:fill="0F62FE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2700"/>
            <w:shd w:fill="0F62FE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Key</w:t>
            </w:r>
          </w:p>
        </w:tc>
        <w:tc>
          <w:tcPr>
            <w:tcW w:type="dxa" w:w="2700"/>
            <w:shd w:fill="0F62FE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Real-time guarantee</w:t>
            </w:r>
          </w:p>
        </w:tc>
        <w:tc>
          <w:tcPr>
            <w:tcW w:type="dxa" w:w="2700"/>
            <w:shd w:fill="0F62FE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Consumers</w:t>
            </w:r>
          </w:p>
        </w:tc>
      </w:tr>
      <w:tr>
        <w:tc>
          <w:tcPr>
            <w:tcW w:type="dxa" w:w="1584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Customer</w:t>
            </w:r>
          </w:p>
        </w:tc>
        <w:tc>
          <w:tcPr>
            <w:tcW w:type="dxa" w:w="1440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masterId M-xxx</w:t>
            </w:r>
          </w:p>
        </w:tc>
        <w:tc>
          <w:tcPr>
            <w:tcW w:type="dxa" w:w="388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Dedup &lt;5s, shared across rooftops</w:t>
            </w:r>
          </w:p>
        </w:tc>
        <w:tc>
          <w:tcPr>
            <w:tcW w:type="dxa" w:w="3600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E6 CRM, E10 AI, E9 API</w:t>
            </w:r>
          </w:p>
        </w:tc>
      </w:tr>
      <w:tr>
        <w:tc>
          <w:tcPr>
            <w:tcW w:type="dxa" w:w="1584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Vehicle / VIN</w:t>
            </w:r>
          </w:p>
        </w:tc>
        <w:tc>
          <w:tcPr>
            <w:tcW w:type="dxa" w:w="1440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VIN 17</w:t>
            </w:r>
          </w:p>
        </w:tc>
        <w:tc>
          <w:tcPr>
            <w:tcW w:type="dxa" w:w="388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One record group-wide, transfer &lt;15m syndication</w:t>
            </w:r>
          </w:p>
        </w:tc>
        <w:tc>
          <w:tcPr>
            <w:tcW w:type="dxa" w:w="3600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E3 Inventory, E4 Desking, E5 Retail</w:t>
            </w:r>
          </w:p>
        </w:tc>
      </w:tr>
      <w:tr>
        <w:tc>
          <w:tcPr>
            <w:tcW w:type="dxa" w:w="1584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Deal</w:t>
            </w:r>
          </w:p>
        </w:tc>
        <w:tc>
          <w:tcPr>
            <w:tcW w:type="dxa" w:w="1440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D-xxxx</w:t>
            </w:r>
          </w:p>
        </w:tc>
        <w:tc>
          <w:tcPr>
            <w:tcW w:type="dxa" w:w="388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One object web ↔ showroom, &lt;500ms pencil</w:t>
            </w:r>
          </w:p>
        </w:tc>
        <w:tc>
          <w:tcPr>
            <w:tcW w:type="dxa" w:w="3600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E4 E5 E6 E14</w:t>
            </w:r>
          </w:p>
        </w:tc>
      </w:tr>
      <w:tr>
        <w:tc>
          <w:tcPr>
            <w:tcW w:type="dxa" w:w="1584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RO</w:t>
            </w:r>
          </w:p>
        </w:tc>
        <w:tc>
          <w:tcPr>
            <w:tcW w:type="dxa" w:w="1440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RO-xxxx</w:t>
            </w:r>
          </w:p>
        </w:tc>
        <w:tc>
          <w:tcPr>
            <w:tcW w:type="dxa" w:w="388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MPI video &lt;2m, approve tap, flag → payroll</w:t>
            </w:r>
          </w:p>
        </w:tc>
        <w:tc>
          <w:tcPr>
            <w:tcW w:type="dxa" w:w="3600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E7 Service, E8 Parts, E2 Payroll</w:t>
            </w:r>
          </w:p>
        </w:tc>
      </w:tr>
      <w:tr>
        <w:tc>
          <w:tcPr>
            <w:tcW w:type="dxa" w:w="1584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GL</w:t>
            </w:r>
          </w:p>
        </w:tc>
        <w:tc>
          <w:tcPr>
            <w:tcW w:type="dxa" w:w="1440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JE-xxxxx</w:t>
            </w:r>
          </w:p>
        </w:tc>
        <w:tc>
          <w:tcPr>
            <w:tcW w:type="dxa" w:w="388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Deal/RO → GL &lt;800ms, CIT 0 variance</w:t>
            </w:r>
          </w:p>
        </w:tc>
        <w:tc>
          <w:tcPr>
            <w:tcW w:type="dxa" w:w="3600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E2 Accounting, E11 Analytics, E12 Audit</w:t>
            </w:r>
          </w:p>
        </w:tc>
      </w:tr>
    </w:tbl>
    <w:p>
      <w:pPr>
        <w:spacing w:after="120"/>
      </w:pPr>
    </w:p>
    <w:p>
      <w:pPr>
        <w:pStyle w:val="Heading1"/>
        <w:spacing w:before="200" w:after="120"/>
        <w:jc w:val="left"/>
      </w:pPr>
      <w:r>
        <w:rPr>
          <w:b/>
          <w:color w:val="09090B"/>
          <w:sz w:val="44"/>
        </w:rPr>
        <w:t>5  Flows F1–F18 — End-to-End (18)</w:t>
      </w:r>
    </w:p>
    <w:p>
      <w:pPr>
        <w:spacing w:after="200" w:before="0" w:line="276" w:lineRule="auto"/>
        <w:jc w:val="left"/>
      </w:pPr>
      <w:r>
        <w:rPr>
          <w:b w:val="0"/>
          <w:i w:val="0"/>
          <w:color w:val="71717A"/>
          <w:sz w:val="16"/>
        </w:rPr>
        <w:t>System actions marked [System]. Each flow lists epics it touches. Steps are demo-verified in autocore-erp-demo (Zustand single object, Playwright 5 E2E).</w:t>
      </w:r>
    </w:p>
    <w:p>
      <w:pPr>
        <w:keepNext/>
        <w:spacing w:before="240" w:after="80"/>
      </w:pPr>
      <w:r>
        <w:rPr>
          <w:rFonts w:ascii="Calibri" w:hAnsi="Calibri"/>
          <w:b/>
          <w:color w:val="FFFFFF"/>
          <w:sz w:val="16"/>
        </w:rPr>
        <w:t xml:space="preserve">  F1 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9072"/>
      </w:tblGrid>
      <w:tr>
        <w:tc>
          <w:tcPr>
            <w:tcW w:type="dxa" w:w="5400"/>
            <w:vAlign w:val="center"/>
            <w:shd w:fill="0F62FE" w:val="clear" w:color="auto"/>
            <w:tcBorders>
              <w:top w:val="single" w:sz="4" w:space="0" w:color="09090B"/>
              <w:left w:val="single" w:sz="4" w:space="0" w:color="09090B"/>
              <w:bottom w:val="single" w:sz="4" w:space="0" w:color="09090B"/>
              <w:right w:val="single" w:sz="4" w:space="0" w:color="09090B"/>
              <w:insideH w:val="single" w:sz="4" w:space="0" w:color="09090B"/>
              <w:insideV w:val="single" w:sz="4" w:space="0" w:color="09090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F1</w:t>
            </w:r>
          </w:p>
        </w:tc>
        <w:tc>
          <w:tcPr>
            <w:tcW w:type="dxa" w:w="5400"/>
            <w:vAlign w:val="center"/>
            <w:shd w:fill="09090B" w:val="clear" w:color="auto"/>
            <w:tcBorders>
              <w:top w:val="single" w:sz="4" w:space="0" w:color="09090B"/>
              <w:left w:val="single" w:sz="4" w:space="0" w:color="09090B"/>
              <w:bottom w:val="single" w:sz="4" w:space="0" w:color="09090B"/>
              <w:right w:val="single" w:sz="4" w:space="0" w:color="09090B"/>
              <w:insideH w:val="single" w:sz="4" w:space="0" w:color="09090B"/>
              <w:insideV w:val="single" w:sz="4" w:space="0" w:color="09090B"/>
            </w:tcBorders>
          </w:tcPr>
          <w:p>
            <w:r>
              <w:rPr>
                <w:b/>
                <w:color w:val="FFFFFF"/>
                <w:sz w:val="18"/>
              </w:rPr>
              <w:t>New Vehicle Sale End-to-End  •  P7 BDC → P5 Sales → P4 Desk → P6 F&amp;I → P11 Controller</w:t>
            </w:r>
          </w:p>
        </w:tc>
      </w:tr>
    </w:tbl>
    <w:p>
      <w:pPr>
        <w:spacing w:after="80" w:before="40"/>
      </w:pPr>
      <w:r>
        <w:rPr>
          <w:i/>
          <w:color w:val="71717A"/>
          <w:sz w:val="14"/>
        </w:rPr>
        <w:t>Epics: E2 E3 E4 E6 E10 E11 E12 E14   •   Preconditions: Inventory synced, lender rails, roles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"/>
        <w:gridCol w:w="3168"/>
        <w:gridCol w:w="5328"/>
        <w:gridCol w:w="1008"/>
      </w:tblGrid>
      <w:tr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Actor / System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Epic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1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Lead arrives (VIN-specific)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P7/BDC, System dedup shared file, &lt;5s assign, STAR Sales Lead API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E6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2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AI speed-to-lead 60s + appointment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AI SMS 22s → bridge 47s whisper, books Thu 10:30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E10 E6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3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Customer arrives — same record, no re-key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Salesperson mobile opens same deal (F1Flow)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E6 E14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4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Test drive logged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Pencil started on vehicle record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E4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5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Desked — live pencil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Real rates, tax/fees, incentives, counter-offers, customer accepts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E4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6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Trade appraised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Payoff pulled, ACV $18.2k → figures flow auto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E3 E4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7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Credit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Dealertrack → approved conditioned 2 stips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E4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8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F&amp;I menu docuPAD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GAP/VSC/Tire per-product accept/decline logged, disclosures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E4 E12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9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eContract → funding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eSign in-store/remote → lender → CIT $48.2k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E4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10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Delivered → GL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Vehicle sold, floorplan payoff queued, CIT cleared, commission, GL real-time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E2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11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Title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Vitu/CVR submitted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E12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12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Lifecycle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Welcome campaign, first-service reminder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E6 E7</w:t>
            </w:r>
          </w:p>
        </w:tc>
      </w:tr>
    </w:tbl>
    <w:p>
      <w:pPr>
        <w:spacing w:after="120"/>
      </w:pPr>
    </w:p>
    <w:p>
      <w:pPr>
        <w:spacing w:after="160"/>
        <w:ind w:left="216"/>
      </w:pPr>
      <w:r>
        <w:rPr>
          <w:b/>
          <w:color w:val="09090B"/>
          <w:sz w:val="16"/>
        </w:rPr>
        <w:t xml:space="preserve">Alternate paths: </w:t>
      </w:r>
      <w:r>
        <w:rPr>
          <w:i/>
          <w:color w:val="52525B"/>
          <w:sz w:val="16"/>
        </w:rPr>
        <w:t>Credit decline → alt lender; unwind → rollback with audit; CIT kick → exception queue; out-of-state → Vitu out-of-state</w:t>
      </w:r>
    </w:p>
    <w:p>
      <w:pPr>
        <w:keepNext/>
        <w:spacing w:before="240" w:after="80"/>
      </w:pPr>
      <w:r>
        <w:rPr>
          <w:rFonts w:ascii="Calibri" w:hAnsi="Calibri"/>
          <w:b/>
          <w:color w:val="FFFFFF"/>
          <w:sz w:val="16"/>
        </w:rPr>
        <w:t xml:space="preserve">  F2 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9072"/>
      </w:tblGrid>
      <w:tr>
        <w:tc>
          <w:tcPr>
            <w:tcW w:type="dxa" w:w="5400"/>
            <w:vAlign w:val="center"/>
            <w:shd w:fill="0F62FE" w:val="clear" w:color="auto"/>
            <w:tcBorders>
              <w:top w:val="single" w:sz="4" w:space="0" w:color="09090B"/>
              <w:left w:val="single" w:sz="4" w:space="0" w:color="09090B"/>
              <w:bottom w:val="single" w:sz="4" w:space="0" w:color="09090B"/>
              <w:right w:val="single" w:sz="4" w:space="0" w:color="09090B"/>
              <w:insideH w:val="single" w:sz="4" w:space="0" w:color="09090B"/>
              <w:insideV w:val="single" w:sz="4" w:space="0" w:color="09090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F2</w:t>
            </w:r>
          </w:p>
        </w:tc>
        <w:tc>
          <w:tcPr>
            <w:tcW w:type="dxa" w:w="5400"/>
            <w:vAlign w:val="center"/>
            <w:shd w:fill="09090B" w:val="clear" w:color="auto"/>
            <w:tcBorders>
              <w:top w:val="single" w:sz="4" w:space="0" w:color="09090B"/>
              <w:left w:val="single" w:sz="4" w:space="0" w:color="09090B"/>
              <w:bottom w:val="single" w:sz="4" w:space="0" w:color="09090B"/>
              <w:right w:val="single" w:sz="4" w:space="0" w:color="09090B"/>
              <w:insideH w:val="single" w:sz="4" w:space="0" w:color="09090B"/>
              <w:insideV w:val="single" w:sz="4" w:space="0" w:color="09090B"/>
            </w:tcBorders>
          </w:tcPr>
          <w:p>
            <w:r>
              <w:rPr>
                <w:b/>
                <w:color w:val="FFFFFF"/>
                <w:sz w:val="18"/>
              </w:rPr>
              <w:t>Used Vehicle Lifecycle  •  P4 Used Mgr → P8 Advisor → Tech → P10 Parts → P5</w:t>
            </w:r>
          </w:p>
        </w:tc>
      </w:tr>
    </w:tbl>
    <w:p>
      <w:pPr>
        <w:spacing w:after="80" w:before="40"/>
      </w:pPr>
      <w:r>
        <w:rPr>
          <w:i/>
          <w:color w:val="71717A"/>
          <w:sz w:val="14"/>
        </w:rPr>
        <w:t>Epics: E2 E3 E7 E8 E11 E14   •   Preconditions: Book/market integrations, recon workflow live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"/>
        <w:gridCol w:w="3168"/>
        <w:gridCol w:w="5328"/>
        <w:gridCol w:w="1008"/>
      </w:tblGrid>
      <w:tr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Actor / System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Epic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1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Trade appraisal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VIN decode, condition, KBB/vAuto, manager commits price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E3 E14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2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Acquired state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Vehicle record created, floorplan posting GL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E2 E3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3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Recon RO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Inspection → internal RO (E7) parts at internal matrix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E7 E8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4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Recon complete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Flag time + parts post to cost roll-up real-time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E2 E7 E8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5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Pricing governance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Market vs cost, price history, internet price rules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E3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6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Merchandising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Photos, AI draft, syndication &lt;15m to site/Cars.com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E3 E9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7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Sale via F1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Recon cost/pack/gross auto on deal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E4 E2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8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Aging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Flag at day 45, days-to-sale + front gross benchmark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E11</w:t>
            </w:r>
          </w:p>
        </w:tc>
      </w:tr>
    </w:tbl>
    <w:p>
      <w:pPr>
        <w:spacing w:after="120"/>
      </w:pPr>
    </w:p>
    <w:p>
      <w:pPr>
        <w:spacing w:after="160"/>
        <w:ind w:left="216"/>
      </w:pPr>
      <w:r>
        <w:rPr>
          <w:b/>
          <w:color w:val="09090B"/>
          <w:sz w:val="16"/>
        </w:rPr>
        <w:t xml:space="preserve">Alternate paths: </w:t>
      </w:r>
      <w:r>
        <w:rPr>
          <w:i/>
          <w:color w:val="52525B"/>
          <w:sz w:val="16"/>
        </w:rPr>
        <w:t>Recon &gt; threshold → approve/wholesale; wholesale invoice; cross-store transfer with auto transfer accounting</w:t>
      </w:r>
    </w:p>
    <w:p>
      <w:pPr>
        <w:keepNext/>
        <w:spacing w:before="240" w:after="80"/>
      </w:pPr>
      <w:r>
        <w:rPr>
          <w:rFonts w:ascii="Calibri" w:hAnsi="Calibri"/>
          <w:b/>
          <w:color w:val="FFFFFF"/>
          <w:sz w:val="16"/>
        </w:rPr>
        <w:t xml:space="preserve">  F3 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9072"/>
      </w:tblGrid>
      <w:tr>
        <w:tc>
          <w:tcPr>
            <w:tcW w:type="dxa" w:w="5400"/>
            <w:vAlign w:val="center"/>
            <w:shd w:fill="0F62FE" w:val="clear" w:color="auto"/>
            <w:tcBorders>
              <w:top w:val="single" w:sz="4" w:space="0" w:color="09090B"/>
              <w:left w:val="single" w:sz="4" w:space="0" w:color="09090B"/>
              <w:bottom w:val="single" w:sz="4" w:space="0" w:color="09090B"/>
              <w:right w:val="single" w:sz="4" w:space="0" w:color="09090B"/>
              <w:insideH w:val="single" w:sz="4" w:space="0" w:color="09090B"/>
              <w:insideV w:val="single" w:sz="4" w:space="0" w:color="09090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F3</w:t>
            </w:r>
          </w:p>
        </w:tc>
        <w:tc>
          <w:tcPr>
            <w:tcW w:type="dxa" w:w="5400"/>
            <w:vAlign w:val="center"/>
            <w:shd w:fill="09090B" w:val="clear" w:color="auto"/>
            <w:tcBorders>
              <w:top w:val="single" w:sz="4" w:space="0" w:color="09090B"/>
              <w:left w:val="single" w:sz="4" w:space="0" w:color="09090B"/>
              <w:bottom w:val="single" w:sz="4" w:space="0" w:color="09090B"/>
              <w:right w:val="single" w:sz="4" w:space="0" w:color="09090B"/>
              <w:insideH w:val="single" w:sz="4" w:space="0" w:color="09090B"/>
              <w:insideV w:val="single" w:sz="4" w:space="0" w:color="09090B"/>
            </w:tcBorders>
          </w:tcPr>
          <w:p>
            <w:r>
              <w:rPr>
                <w:b/>
                <w:color w:val="FFFFFF"/>
                <w:sz w:val="18"/>
              </w:rPr>
              <w:t>Fully Online Purchase  •  End customer → P6 F&amp;I → P4</w:t>
            </w:r>
          </w:p>
        </w:tc>
      </w:tr>
    </w:tbl>
    <w:p>
      <w:pPr>
        <w:spacing w:after="80" w:before="40"/>
      </w:pPr>
      <w:r>
        <w:rPr>
          <w:i/>
          <w:color w:val="71717A"/>
          <w:sz w:val="14"/>
        </w:rPr>
        <w:t>Epics: E2 E3 E4 E5 E6 E10 E12   •   Preconditions: E5 checkout, lender rails, PSP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"/>
        <w:gridCol w:w="3168"/>
        <w:gridCol w:w="5328"/>
        <w:gridCol w:w="1008"/>
      </w:tblGrid>
      <w:tr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Actor / System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Epic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1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Configure online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Vehicle, real-rate payment, accessories (E5)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E5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2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Trade capture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VIN/photos/condition → firm-range offer E3-backed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E5 E3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3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Soft-pull prequal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Consent → personalized rates from lender programs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E5 E4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4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F&amp;I online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Same compliant menu online (E4 guardrails)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E4 E12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5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Deposit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Refundable $500 via embedded payments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E2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6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eSign + stips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Credit app/disclosures remote, license/insurance upload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E4 E5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7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Pending funding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Deal → F&amp;I opens SAME record, no re-key (97% fix)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E4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8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Hard pull → approval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Lender submission, final docs eSigned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E4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9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Delivery scheduled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Home delivery/pickup + checklist + pay link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E5 E2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10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Delivered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GL posts as F1-10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E2</w:t>
            </w:r>
          </w:p>
        </w:tc>
      </w:tr>
    </w:tbl>
    <w:p>
      <w:pPr>
        <w:spacing w:after="120"/>
      </w:pPr>
    </w:p>
    <w:p>
      <w:pPr>
        <w:spacing w:after="160"/>
        <w:ind w:left="216"/>
      </w:pPr>
      <w:r>
        <w:rPr>
          <w:b/>
          <w:color w:val="09090B"/>
          <w:sz w:val="16"/>
        </w:rPr>
        <w:t xml:space="preserve">Alternate paths: </w:t>
      </w:r>
      <w:r>
        <w:rPr>
          <w:i/>
          <w:color w:val="52525B"/>
          <w:sz w:val="16"/>
        </w:rPr>
        <w:t>Pause mid-checkout → deal persists, resume link sent, BDC alerted; finish in-store → opens in desking unchanged; trade dispute → re-appraisal; deposit refund per policy</w:t>
      </w:r>
    </w:p>
    <w:p>
      <w:pPr>
        <w:keepNext/>
        <w:spacing w:before="240" w:after="80"/>
      </w:pPr>
      <w:r>
        <w:rPr>
          <w:rFonts w:ascii="Calibri" w:hAnsi="Calibri"/>
          <w:b/>
          <w:color w:val="FFFFFF"/>
          <w:sz w:val="16"/>
        </w:rPr>
        <w:t xml:space="preserve">  F4 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9072"/>
      </w:tblGrid>
      <w:tr>
        <w:tc>
          <w:tcPr>
            <w:tcW w:type="dxa" w:w="5400"/>
            <w:vAlign w:val="center"/>
            <w:shd w:fill="0F62FE" w:val="clear" w:color="auto"/>
            <w:tcBorders>
              <w:top w:val="single" w:sz="4" w:space="0" w:color="09090B"/>
              <w:left w:val="single" w:sz="4" w:space="0" w:color="09090B"/>
              <w:bottom w:val="single" w:sz="4" w:space="0" w:color="09090B"/>
              <w:right w:val="single" w:sz="4" w:space="0" w:color="09090B"/>
              <w:insideH w:val="single" w:sz="4" w:space="0" w:color="09090B"/>
              <w:insideV w:val="single" w:sz="4" w:space="0" w:color="09090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F4</w:t>
            </w:r>
          </w:p>
        </w:tc>
        <w:tc>
          <w:tcPr>
            <w:tcW w:type="dxa" w:w="5400"/>
            <w:vAlign w:val="center"/>
            <w:shd w:fill="09090B" w:val="clear" w:color="auto"/>
            <w:tcBorders>
              <w:top w:val="single" w:sz="4" w:space="0" w:color="09090B"/>
              <w:left w:val="single" w:sz="4" w:space="0" w:color="09090B"/>
              <w:bottom w:val="single" w:sz="4" w:space="0" w:color="09090B"/>
              <w:right w:val="single" w:sz="4" w:space="0" w:color="09090B"/>
              <w:insideH w:val="single" w:sz="4" w:space="0" w:color="09090B"/>
              <w:insideV w:val="single" w:sz="4" w:space="0" w:color="09090B"/>
            </w:tcBorders>
          </w:tcPr>
          <w:p>
            <w:r>
              <w:rPr>
                <w:b/>
                <w:color w:val="FFFFFF"/>
                <w:sz w:val="18"/>
              </w:rPr>
              <w:t>Service Visit End-to-End  •  Customer → AI → P8 Advisor → Tech → P9</w:t>
            </w:r>
          </w:p>
        </w:tc>
      </w:tr>
    </w:tbl>
    <w:p>
      <w:pPr>
        <w:spacing w:after="80" w:before="40"/>
      </w:pPr>
      <w:r>
        <w:rPr>
          <w:i/>
          <w:color w:val="71717A"/>
          <w:sz w:val="14"/>
        </w:rPr>
        <w:t>Epics: E2 E6 E7 E8 E10 E14   •   Preconditions: Scheduling, MPI, payments, AI trained on op codes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"/>
        <w:gridCol w:w="3168"/>
        <w:gridCol w:w="5328"/>
        <w:gridCol w:w="1008"/>
      </w:tblGrid>
      <w:tr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Actor / System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Epic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1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AI after-hours booking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Voice agent answers, capacity-aware slots, books, SMS conf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E10 E7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2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Pre-visit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Recall + declined history + mileage surfacing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E7 E10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3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Arrival tablet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Walk-around photos, VIN/odo, tap auth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E7 E14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4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RO + dispatch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RO created, skill/load dispatch, parts reserved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E7 E8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5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Video MPI mobile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Narrated findings, per-item photo/video, voice pre-fill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E7 E14 E10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6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MPI text approve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Per-item approve/decline, matrix pricing correct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E7 E8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7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Customer tap approve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RO updated, parts reserved, tech notified; declines → deferred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E7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8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Work complete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Flag posted to payroll, QC, pay-by-link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E2 E7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9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Pay &amp; pickup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Phone pay surcharge-compliant, ready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E2 E7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10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Follow-up 48h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CSI survey, declined → AI follow-up campaign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E6 E10</w:t>
            </w:r>
          </w:p>
        </w:tc>
      </w:tr>
    </w:tbl>
    <w:p>
      <w:pPr>
        <w:spacing w:after="120"/>
      </w:pPr>
    </w:p>
    <w:p>
      <w:pPr>
        <w:spacing w:after="160"/>
        <w:ind w:left="216"/>
      </w:pPr>
      <w:r>
        <w:rPr>
          <w:b/>
          <w:color w:val="09090B"/>
          <w:sz w:val="16"/>
        </w:rPr>
        <w:t xml:space="preserve">Alternate paths: </w:t>
      </w:r>
      <w:r>
        <w:rPr>
          <w:i/>
          <w:color w:val="52525B"/>
          <w:sz w:val="16"/>
        </w:rPr>
        <w:t>Warranty → claim assembled; unreachable → BDC queue; backorder → RO held + notify; comeback → linked to original RO</w:t>
      </w:r>
    </w:p>
    <w:p>
      <w:pPr>
        <w:keepNext/>
        <w:spacing w:before="240" w:after="80"/>
      </w:pPr>
      <w:r>
        <w:rPr>
          <w:rFonts w:ascii="Calibri" w:hAnsi="Calibri"/>
          <w:b/>
          <w:color w:val="FFFFFF"/>
          <w:sz w:val="16"/>
        </w:rPr>
        <w:t xml:space="preserve">  F5 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9072"/>
      </w:tblGrid>
      <w:tr>
        <w:tc>
          <w:tcPr>
            <w:tcW w:type="dxa" w:w="5400"/>
            <w:vAlign w:val="center"/>
            <w:shd w:fill="0F62FE" w:val="clear" w:color="auto"/>
            <w:tcBorders>
              <w:top w:val="single" w:sz="4" w:space="0" w:color="09090B"/>
              <w:left w:val="single" w:sz="4" w:space="0" w:color="09090B"/>
              <w:bottom w:val="single" w:sz="4" w:space="0" w:color="09090B"/>
              <w:right w:val="single" w:sz="4" w:space="0" w:color="09090B"/>
              <w:insideH w:val="single" w:sz="4" w:space="0" w:color="09090B"/>
              <w:insideV w:val="single" w:sz="4" w:space="0" w:color="09090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F5</w:t>
            </w:r>
          </w:p>
        </w:tc>
        <w:tc>
          <w:tcPr>
            <w:tcW w:type="dxa" w:w="5400"/>
            <w:vAlign w:val="center"/>
            <w:shd w:fill="09090B" w:val="clear" w:color="auto"/>
            <w:tcBorders>
              <w:top w:val="single" w:sz="4" w:space="0" w:color="09090B"/>
              <w:left w:val="single" w:sz="4" w:space="0" w:color="09090B"/>
              <w:bottom w:val="single" w:sz="4" w:space="0" w:color="09090B"/>
              <w:right w:val="single" w:sz="4" w:space="0" w:color="09090B"/>
              <w:insideH w:val="single" w:sz="4" w:space="0" w:color="09090B"/>
              <w:insideV w:val="single" w:sz="4" w:space="0" w:color="09090B"/>
            </w:tcBorders>
          </w:tcPr>
          <w:p>
            <w:r>
              <w:rPr>
                <w:b/>
                <w:color w:val="FFFFFF"/>
                <w:sz w:val="18"/>
              </w:rPr>
              <w:t>Missed-Call AI Voice Recovery  •  Customer → AI → P7 BDC → P5</w:t>
            </w:r>
          </w:p>
        </w:tc>
      </w:tr>
    </w:tbl>
    <w:p>
      <w:pPr>
        <w:spacing w:after="80" w:before="40"/>
      </w:pPr>
      <w:r>
        <w:rPr>
          <w:i/>
          <w:color w:val="71717A"/>
          <w:sz w:val="14"/>
        </w:rPr>
        <w:t>Epics: E3 E6 E7 E10 E12   •   Preconditions: Telephony live, AI trained, consent per state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"/>
        <w:gridCol w:w="3168"/>
        <w:gridCol w:w="5328"/>
        <w:gridCol w:w="1008"/>
      </w:tblGrid>
      <w:tr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Actor / System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Epic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1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Unanswered &gt; threshold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30–40% dropped-call problem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E10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2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AI answers &lt;30s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Disclosure + recording notice per state law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E10 E12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3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ANI + intent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Match customer file, determine sales/service/parts/status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E10 E6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4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Service → book / Sales → capture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Service books (F4-1), Sales captures vehicle, checks inventory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E3 E10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5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Warm-transfer whisper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Bridges to mobile with context (name, vehicle, history)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E10 E6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6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No human → callback task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Transcript + summary on timeline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E6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7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Logged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Recording, transcript, AI score 92 → dashboard recovery rate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E10 E11</w:t>
            </w:r>
          </w:p>
        </w:tc>
      </w:tr>
    </w:tbl>
    <w:p>
      <w:pPr>
        <w:spacing w:after="120"/>
      </w:pPr>
    </w:p>
    <w:p>
      <w:pPr>
        <w:spacing w:after="160"/>
        <w:ind w:left="216"/>
      </w:pPr>
      <w:r>
        <w:rPr>
          <w:b/>
          <w:color w:val="09090B"/>
          <w:sz w:val="16"/>
        </w:rPr>
        <w:t xml:space="preserve">Alternate paths: </w:t>
      </w:r>
      <w:r>
        <w:rPr>
          <w:i/>
          <w:color w:val="52525B"/>
          <w:sz w:val="16"/>
        </w:rPr>
        <w:t>Two-party state → announces/recording off; open deal/RO → routes to owner; spam → filtered; low confidence → human handoff</w:t>
      </w:r>
    </w:p>
    <w:p>
      <w:pPr>
        <w:keepNext/>
        <w:spacing w:before="240" w:after="80"/>
      </w:pPr>
      <w:r>
        <w:rPr>
          <w:rFonts w:ascii="Calibri" w:hAnsi="Calibri"/>
          <w:b/>
          <w:color w:val="FFFFFF"/>
          <w:sz w:val="16"/>
        </w:rPr>
        <w:t xml:space="preserve">  F6 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9072"/>
      </w:tblGrid>
      <w:tr>
        <w:tc>
          <w:tcPr>
            <w:tcW w:type="dxa" w:w="5400"/>
            <w:vAlign w:val="center"/>
            <w:shd w:fill="0F62FE" w:val="clear" w:color="auto"/>
            <w:tcBorders>
              <w:top w:val="single" w:sz="4" w:space="0" w:color="09090B"/>
              <w:left w:val="single" w:sz="4" w:space="0" w:color="09090B"/>
              <w:bottom w:val="single" w:sz="4" w:space="0" w:color="09090B"/>
              <w:right w:val="single" w:sz="4" w:space="0" w:color="09090B"/>
              <w:insideH w:val="single" w:sz="4" w:space="0" w:color="09090B"/>
              <w:insideV w:val="single" w:sz="4" w:space="0" w:color="09090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F6</w:t>
            </w:r>
          </w:p>
        </w:tc>
        <w:tc>
          <w:tcPr>
            <w:tcW w:type="dxa" w:w="5400"/>
            <w:vAlign w:val="center"/>
            <w:shd w:fill="09090B" w:val="clear" w:color="auto"/>
            <w:tcBorders>
              <w:top w:val="single" w:sz="4" w:space="0" w:color="09090B"/>
              <w:left w:val="single" w:sz="4" w:space="0" w:color="09090B"/>
              <w:bottom w:val="single" w:sz="4" w:space="0" w:color="09090B"/>
              <w:right w:val="single" w:sz="4" w:space="0" w:color="09090B"/>
              <w:insideH w:val="single" w:sz="4" w:space="0" w:color="09090B"/>
              <w:insideV w:val="single" w:sz="4" w:space="0" w:color="09090B"/>
            </w:tcBorders>
          </w:tcPr>
          <w:p>
            <w:r>
              <w:rPr>
                <w:b/>
                <w:color w:val="FFFFFF"/>
                <w:sz w:val="18"/>
              </w:rPr>
              <w:t>Speed-to-Lead (&lt;60s)  •  Customer → AI → P7 → P5 → P4</w:t>
            </w:r>
          </w:p>
        </w:tc>
      </w:tr>
    </w:tbl>
    <w:p>
      <w:pPr>
        <w:spacing w:after="80" w:before="40"/>
      </w:pPr>
      <w:r>
        <w:rPr>
          <w:i/>
          <w:color w:val="71717A"/>
          <w:sz w:val="14"/>
        </w:rPr>
        <w:t>Epics: E1 E3 E6 E10 E11 E12   •   Preconditions: Lead sources via STAR Sales Lead API, AI response enabled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"/>
        <w:gridCol w:w="3168"/>
        <w:gridCol w:w="5328"/>
        <w:gridCol w:w="1008"/>
      </w:tblGrid>
      <w:tr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Actor / System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Epic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1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Lead lands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Ingest, dedup, enrich (prior purchases, equity) &lt;5s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E6 E1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2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AI SMS &lt;30s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Assignment + AI SMS inventory-accurate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E10 E3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3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AI two-way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Answers payment questions from live data, proposes times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E10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4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Bridge &lt;60s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Warm to human when ready or confidence drops, human sees transcript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E10 E6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5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Human inbox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Unified inbox, personal-cell bridge still recorded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E6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6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Appointment → cadence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Calendar + reminder + no-show rescue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E6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7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Feed KPIs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Speed-to-lead 42s, contact/conversion per source → dashboards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E11 E10</w:t>
            </w:r>
          </w:p>
        </w:tc>
      </w:tr>
    </w:tbl>
    <w:p>
      <w:pPr>
        <w:spacing w:after="120"/>
      </w:pPr>
    </w:p>
    <w:p>
      <w:pPr>
        <w:spacing w:after="160"/>
        <w:ind w:left="216"/>
      </w:pPr>
      <w:r>
        <w:rPr>
          <w:b/>
          <w:color w:val="09090B"/>
          <w:sz w:val="16"/>
        </w:rPr>
        <w:t xml:space="preserve">Alternate paths: </w:t>
      </w:r>
      <w:r>
        <w:rPr>
          <w:i/>
          <w:color w:val="52525B"/>
          <w:sz w:val="16"/>
        </w:rPr>
        <w:t>After-hours → AI full to appt; duplicate → merged attribution; DNC → AI suppressed, compliance E12</w:t>
      </w:r>
    </w:p>
    <w:p>
      <w:pPr>
        <w:keepNext/>
        <w:spacing w:before="240" w:after="80"/>
      </w:pPr>
      <w:r>
        <w:rPr>
          <w:rFonts w:ascii="Calibri" w:hAnsi="Calibri"/>
          <w:b/>
          <w:color w:val="FFFFFF"/>
          <w:sz w:val="16"/>
        </w:rPr>
        <w:t xml:space="preserve">  F7 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9072"/>
      </w:tblGrid>
      <w:tr>
        <w:tc>
          <w:tcPr>
            <w:tcW w:type="dxa" w:w="5400"/>
            <w:vAlign w:val="center"/>
            <w:shd w:fill="0F62FE" w:val="clear" w:color="auto"/>
            <w:tcBorders>
              <w:top w:val="single" w:sz="4" w:space="0" w:color="09090B"/>
              <w:left w:val="single" w:sz="4" w:space="0" w:color="09090B"/>
              <w:bottom w:val="single" w:sz="4" w:space="0" w:color="09090B"/>
              <w:right w:val="single" w:sz="4" w:space="0" w:color="09090B"/>
              <w:insideH w:val="single" w:sz="4" w:space="0" w:color="09090B"/>
              <w:insideV w:val="single" w:sz="4" w:space="0" w:color="09090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F7</w:t>
            </w:r>
          </w:p>
        </w:tc>
        <w:tc>
          <w:tcPr>
            <w:tcW w:type="dxa" w:w="5400"/>
            <w:vAlign w:val="center"/>
            <w:shd w:fill="09090B" w:val="clear" w:color="auto"/>
            <w:tcBorders>
              <w:top w:val="single" w:sz="4" w:space="0" w:color="09090B"/>
              <w:left w:val="single" w:sz="4" w:space="0" w:color="09090B"/>
              <w:bottom w:val="single" w:sz="4" w:space="0" w:color="09090B"/>
              <w:right w:val="single" w:sz="4" w:space="0" w:color="09090B"/>
              <w:insideH w:val="single" w:sz="4" w:space="0" w:color="09090B"/>
              <w:insideV w:val="single" w:sz="4" w:space="0" w:color="09090B"/>
            </w:tcBorders>
          </w:tcPr>
          <w:p>
            <w:r>
              <w:rPr>
                <w:b/>
                <w:color w:val="FFFFFF"/>
                <w:sz w:val="18"/>
              </w:rPr>
              <w:t>Parts Counter — Matrix &amp; Short-Sale  •  P10 Counter → Tech → Wholesale</w:t>
            </w:r>
          </w:p>
        </w:tc>
      </w:tr>
    </w:tbl>
    <w:p>
      <w:pPr>
        <w:spacing w:after="80" w:before="40"/>
      </w:pPr>
      <w:r>
        <w:rPr>
          <w:i/>
          <w:color w:val="71717A"/>
          <w:sz w:val="14"/>
        </w:rPr>
        <w:t>Epics: E2 E3 E7 E8 E11   •   Preconditions: Matrix configured, EPC per brand, migration accurate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"/>
        <w:gridCol w:w="3168"/>
        <w:gridCol w:w="5328"/>
        <w:gridCol w:w="1008"/>
      </w:tblGrid>
      <w:tr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Actor / System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Epic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1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VIN-driven catalog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Correct part + bin + onHand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E8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2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Matrix, not list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Cost-escalated vs list — per type retail/wholesale/internal/bodyshop (Tekion defect)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E8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3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In stock → sell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Invoice + payment/account charge + bin −1 + GL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E8 E2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4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Not in stock → 3 options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(a) group transfer (E8), (b) backorder + deposit, (c) emergency OEM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E8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5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Short sale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Customer commits backorder; sale preserved, allocates on receipt, never double-count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E8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6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Internal RO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Parts reserved at RO-type matrix, body-shop rules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E8 E7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7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Receipt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Scan-in, bin putaway, backorders auto-allocated, obsolescence start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E8 E2</w:t>
            </w:r>
          </w:p>
        </w:tc>
      </w:tr>
    </w:tbl>
    <w:p>
      <w:pPr>
        <w:spacing w:after="120"/>
      </w:pPr>
    </w:p>
    <w:p>
      <w:pPr>
        <w:spacing w:after="160"/>
        <w:ind w:left="216"/>
      </w:pPr>
      <w:r>
        <w:rPr>
          <w:b/>
          <w:color w:val="09090B"/>
          <w:sz w:val="16"/>
        </w:rPr>
        <w:t xml:space="preserve">Alternate paths: </w:t>
      </w:r>
      <w:r>
        <w:rPr>
          <w:i/>
          <w:color w:val="52525B"/>
          <w:sz w:val="16"/>
        </w:rPr>
        <w:t>Superseded → chain resolves; core charge → deposit/credit; override → role-gated audit; negative onHand → exception queue</w:t>
      </w:r>
    </w:p>
    <w:p>
      <w:pPr>
        <w:keepNext/>
        <w:spacing w:before="240" w:after="80"/>
      </w:pPr>
      <w:r>
        <w:rPr>
          <w:rFonts w:ascii="Calibri" w:hAnsi="Calibri"/>
          <w:b/>
          <w:color w:val="FFFFFF"/>
          <w:sz w:val="16"/>
        </w:rPr>
        <w:t xml:space="preserve">  F8 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9072"/>
      </w:tblGrid>
      <w:tr>
        <w:tc>
          <w:tcPr>
            <w:tcW w:type="dxa" w:w="5400"/>
            <w:vAlign w:val="center"/>
            <w:shd w:fill="0F62FE" w:val="clear" w:color="auto"/>
            <w:tcBorders>
              <w:top w:val="single" w:sz="4" w:space="0" w:color="09090B"/>
              <w:left w:val="single" w:sz="4" w:space="0" w:color="09090B"/>
              <w:bottom w:val="single" w:sz="4" w:space="0" w:color="09090B"/>
              <w:right w:val="single" w:sz="4" w:space="0" w:color="09090B"/>
              <w:insideH w:val="single" w:sz="4" w:space="0" w:color="09090B"/>
              <w:insideV w:val="single" w:sz="4" w:space="0" w:color="09090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F8</w:t>
            </w:r>
          </w:p>
        </w:tc>
        <w:tc>
          <w:tcPr>
            <w:tcW w:type="dxa" w:w="5400"/>
            <w:vAlign w:val="center"/>
            <w:shd w:fill="09090B" w:val="clear" w:color="auto"/>
            <w:tcBorders>
              <w:top w:val="single" w:sz="4" w:space="0" w:color="09090B"/>
              <w:left w:val="single" w:sz="4" w:space="0" w:color="09090B"/>
              <w:bottom w:val="single" w:sz="4" w:space="0" w:color="09090B"/>
              <w:right w:val="single" w:sz="4" w:space="0" w:color="09090B"/>
              <w:insideH w:val="single" w:sz="4" w:space="0" w:color="09090B"/>
              <w:insideV w:val="single" w:sz="4" w:space="0" w:color="09090B"/>
            </w:tcBorders>
          </w:tcPr>
          <w:p>
            <w:r>
              <w:rPr>
                <w:b/>
                <w:color w:val="FFFFFF"/>
                <w:sz w:val="18"/>
              </w:rPr>
              <w:t>Multi-Rooftop Month-End Close  •  P11 Group Ctrl → store ctrls → P2 COO → P1</w:t>
            </w:r>
          </w:p>
        </w:tc>
      </w:tr>
    </w:tbl>
    <w:p>
      <w:pPr>
        <w:spacing w:after="80" w:before="40"/>
      </w:pPr>
      <w:r>
        <w:rPr>
          <w:i/>
          <w:color w:val="71717A"/>
          <w:sz w:val="14"/>
        </w:rPr>
        <w:t>Epics: E1 E2 E3 E8 E11 E13   •   Preconditions: Group org live, real-time posting, OEM mappings per brand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"/>
        <w:gridCol w:w="3168"/>
        <w:gridCol w:w="5328"/>
        <w:gridCol w:w="1008"/>
      </w:tblGrid>
      <w:tr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Actor / System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Epic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1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Continuous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Deals/ROs/parts post real-time; schedules self-reconcile daily + flags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E2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2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Day -3 review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Exception dashboard (CIT aging, variances) across rooftops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E2 E11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3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Checklist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12 tasks, progressive period locking per store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E2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4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Intercompany auto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Vehicle/parts transfers posted at transaction time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E3 E8 E2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5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OEM statements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Per-store per-brand format, review/submit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E2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6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Consolidated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Rollup with eliminations, cross-store benchmarking, drill-down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E11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7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Composite review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COO/Principal real-time composite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E11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8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Payroll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Flag hours + commissions accrued → pay statements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E2</w:t>
            </w:r>
          </w:p>
        </w:tc>
      </w:tr>
    </w:tbl>
    <w:p>
      <w:pPr>
        <w:spacing w:after="120"/>
      </w:pPr>
    </w:p>
    <w:p>
      <w:pPr>
        <w:spacing w:after="160"/>
        <w:ind w:left="216"/>
      </w:pPr>
      <w:r>
        <w:rPr>
          <w:b/>
          <w:color w:val="09090B"/>
          <w:sz w:val="16"/>
        </w:rPr>
        <w:t xml:space="preserve">Alternate paths: </w:t>
      </w:r>
      <w:r>
        <w:rPr>
          <w:i/>
          <w:color w:val="52525B"/>
          <w:sz w:val="16"/>
        </w:rPr>
        <w:t>Late unwind → prior-period adjustment with audit; OEM reject → regenerate; acquired mid-month → partial-period</w:t>
      </w:r>
    </w:p>
    <w:p>
      <w:pPr>
        <w:keepNext/>
        <w:spacing w:before="240" w:after="80"/>
      </w:pPr>
      <w:r>
        <w:rPr>
          <w:rFonts w:ascii="Calibri" w:hAnsi="Calibri"/>
          <w:b/>
          <w:color w:val="FFFFFF"/>
          <w:sz w:val="16"/>
        </w:rPr>
        <w:t xml:space="preserve">  F9 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9072"/>
      </w:tblGrid>
      <w:tr>
        <w:tc>
          <w:tcPr>
            <w:tcW w:type="dxa" w:w="5400"/>
            <w:vAlign w:val="center"/>
            <w:shd w:fill="0F62FE" w:val="clear" w:color="auto"/>
            <w:tcBorders>
              <w:top w:val="single" w:sz="4" w:space="0" w:color="09090B"/>
              <w:left w:val="single" w:sz="4" w:space="0" w:color="09090B"/>
              <w:bottom w:val="single" w:sz="4" w:space="0" w:color="09090B"/>
              <w:right w:val="single" w:sz="4" w:space="0" w:color="09090B"/>
              <w:insideH w:val="single" w:sz="4" w:space="0" w:color="09090B"/>
              <w:insideV w:val="single" w:sz="4" w:space="0" w:color="09090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F9</w:t>
            </w:r>
          </w:p>
        </w:tc>
        <w:tc>
          <w:tcPr>
            <w:tcW w:type="dxa" w:w="5400"/>
            <w:vAlign w:val="center"/>
            <w:shd w:fill="09090B" w:val="clear" w:color="auto"/>
            <w:tcBorders>
              <w:top w:val="single" w:sz="4" w:space="0" w:color="09090B"/>
              <w:left w:val="single" w:sz="4" w:space="0" w:color="09090B"/>
              <w:bottom w:val="single" w:sz="4" w:space="0" w:color="09090B"/>
              <w:right w:val="single" w:sz="4" w:space="0" w:color="09090B"/>
              <w:insideH w:val="single" w:sz="4" w:space="0" w:color="09090B"/>
              <w:insideV w:val="single" w:sz="4" w:space="0" w:color="09090B"/>
            </w:tcBorders>
          </w:tcPr>
          <w:p>
            <w:r>
              <w:rPr>
                <w:b/>
                <w:color w:val="FFFFFF"/>
                <w:sz w:val="18"/>
              </w:rPr>
              <w:t>Developer Onboarding — $0 Self-Serve  •  P12 Developer → P1/P2 dealer admin</w:t>
            </w:r>
          </w:p>
        </w:tc>
      </w:tr>
    </w:tbl>
    <w:p>
      <w:pPr>
        <w:spacing w:after="80" w:before="40"/>
      </w:pPr>
      <w:r>
        <w:rPr>
          <w:i/>
          <w:color w:val="71717A"/>
          <w:sz w:val="14"/>
        </w:rPr>
        <w:t>Epics: E1 E9 E12   •   Preconditions: Dev portal live, sandbox seeded, tenant exists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"/>
        <w:gridCol w:w="3168"/>
        <w:gridCol w:w="5328"/>
        <w:gridCol w:w="1008"/>
      </w:tblGrid>
      <w:tr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Actor / System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Epic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1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Register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No sales call, no cert fee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E9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2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Sandbox + keys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Instant synthetic data + OpenAPI STAR payloads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E9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3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First call &lt;15min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GET /v1/vehicles?vin=… 200 STAR 42ms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E9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4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Publish to marketplace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Listing + discovery in-platform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E9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5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Dealer consent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Grant scopes read:customers/write:deals, revocable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E9 E1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6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OAuth scoped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Token issued, every read audit-logged visible to dealer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E1 E9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7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Usage + revoke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Dashboard, errors, throttling, kill switch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E9</w:t>
            </w:r>
          </w:p>
        </w:tc>
      </w:tr>
    </w:tbl>
    <w:p>
      <w:pPr>
        <w:spacing w:after="120"/>
      </w:pPr>
    </w:p>
    <w:p>
      <w:pPr>
        <w:spacing w:after="160"/>
        <w:ind w:left="216"/>
      </w:pPr>
      <w:r>
        <w:rPr>
          <w:b/>
          <w:color w:val="09090B"/>
          <w:sz w:val="16"/>
        </w:rPr>
        <w:t xml:space="preserve">Alternate paths: </w:t>
      </w:r>
      <w:r>
        <w:rPr>
          <w:i/>
          <w:color w:val="52525B"/>
          <w:sz w:val="16"/>
        </w:rPr>
        <w:t>Scope escalation → re-consent; rate-limit → throttling with headers; misbehave → dealer kill switch</w:t>
      </w:r>
    </w:p>
    <w:p>
      <w:pPr>
        <w:keepNext/>
        <w:spacing w:before="240" w:after="80"/>
      </w:pPr>
      <w:r>
        <w:rPr>
          <w:rFonts w:ascii="Calibri" w:hAnsi="Calibri"/>
          <w:b/>
          <w:color w:val="FFFFFF"/>
          <w:sz w:val="16"/>
        </w:rPr>
        <w:t xml:space="preserve">  F10 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9072"/>
      </w:tblGrid>
      <w:tr>
        <w:tc>
          <w:tcPr>
            <w:tcW w:type="dxa" w:w="5400"/>
            <w:vAlign w:val="center"/>
            <w:shd w:fill="0F62FE" w:val="clear" w:color="auto"/>
            <w:tcBorders>
              <w:top w:val="single" w:sz="4" w:space="0" w:color="09090B"/>
              <w:left w:val="single" w:sz="4" w:space="0" w:color="09090B"/>
              <w:bottom w:val="single" w:sz="4" w:space="0" w:color="09090B"/>
              <w:right w:val="single" w:sz="4" w:space="0" w:color="09090B"/>
              <w:insideH w:val="single" w:sz="4" w:space="0" w:color="09090B"/>
              <w:insideV w:val="single" w:sz="4" w:space="0" w:color="09090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F10</w:t>
            </w:r>
          </w:p>
        </w:tc>
        <w:tc>
          <w:tcPr>
            <w:tcW w:type="dxa" w:w="5400"/>
            <w:vAlign w:val="center"/>
            <w:shd w:fill="09090B" w:val="clear" w:color="auto"/>
            <w:tcBorders>
              <w:top w:val="single" w:sz="4" w:space="0" w:color="09090B"/>
              <w:left w:val="single" w:sz="4" w:space="0" w:color="09090B"/>
              <w:bottom w:val="single" w:sz="4" w:space="0" w:color="09090B"/>
              <w:right w:val="single" w:sz="4" w:space="0" w:color="09090B"/>
              <w:insideH w:val="single" w:sz="4" w:space="0" w:color="09090B"/>
              <w:insideV w:val="single" w:sz="4" w:space="0" w:color="09090B"/>
            </w:tcBorders>
          </w:tcPr>
          <w:p>
            <w:r>
              <w:rPr>
                <w:b/>
                <w:color w:val="FFFFFF"/>
                <w:sz w:val="18"/>
              </w:rPr>
              <w:t>Dealer Migration — CDK → AutoCore  •  Impl lead → P11 → P10 → P2</w:t>
            </w:r>
          </w:p>
        </w:tc>
      </w:tr>
    </w:tbl>
    <w:p>
      <w:pPr>
        <w:spacing w:after="80" w:before="40"/>
      </w:pPr>
      <w:r>
        <w:rPr>
          <w:i/>
          <w:color w:val="71717A"/>
          <w:sz w:val="14"/>
        </w:rPr>
        <w:t>Epics: All — E13 orchestrates   •   Preconditions: Contract signed, data-access request delivered (AZ/MT/OR law), pilot selected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"/>
        <w:gridCol w:w="3168"/>
        <w:gridCol w:w="5328"/>
        <w:gridCol w:w="1008"/>
      </w:tblGrid>
      <w:tr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Actor / System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Epic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1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Kickoff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Dashboard + data-request package cites dealer-data law if obstructed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E13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2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Extractor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CDK/Reynolds/Tekion ingest + data-quality score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E13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3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Mapping workbench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COA → OEM-mapped, price levels, RBAC, flag unmapped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E13 E1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4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Test load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Staging + verification: trial $0.00, bins 1,204 exact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E13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5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Training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Role courses + certification gating before cutover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E13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6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Parallel 14d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Dual-entry mirror + daily parity 100% (deals/ROs/receipts)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E13 E2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7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Go/no-go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Cutover SLA, freeze/delta, checklist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E13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8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Cutover &lt;72h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Final delta, load, verify, hypercare stock orders day-one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E13 E8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9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Group review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COO reviews pilot vs 4-store precedent before wave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E13</w:t>
            </w:r>
          </w:p>
        </w:tc>
      </w:tr>
    </w:tbl>
    <w:p>
      <w:pPr>
        <w:spacing w:after="120"/>
      </w:pPr>
    </w:p>
    <w:p>
      <w:pPr>
        <w:spacing w:after="160"/>
        <w:ind w:left="216"/>
      </w:pPr>
      <w:r>
        <w:rPr>
          <w:b/>
          <w:color w:val="09090B"/>
          <w:sz w:val="16"/>
        </w:rPr>
        <w:t xml:space="preserve">Alternate paths: </w:t>
      </w:r>
      <w:r>
        <w:rPr>
          <w:i/>
          <w:color w:val="52525B"/>
          <w:sz w:val="16"/>
        </w:rPr>
        <w:t>Incumbent withholds → Georgia injunction runbook; quality low → remediation; rollback → reversion within window</w:t>
      </w:r>
    </w:p>
    <w:p>
      <w:pPr>
        <w:keepNext/>
        <w:spacing w:before="240" w:after="80"/>
      </w:pPr>
      <w:r>
        <w:rPr>
          <w:rFonts w:ascii="Calibri" w:hAnsi="Calibri"/>
          <w:b/>
          <w:color w:val="FFFFFF"/>
          <w:sz w:val="16"/>
        </w:rPr>
        <w:t xml:space="preserve">  F11 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9072"/>
      </w:tblGrid>
      <w:tr>
        <w:tc>
          <w:tcPr>
            <w:tcW w:type="dxa" w:w="5400"/>
            <w:vAlign w:val="center"/>
            <w:shd w:fill="0F62FE" w:val="clear" w:color="auto"/>
            <w:tcBorders>
              <w:top w:val="single" w:sz="4" w:space="0" w:color="09090B"/>
              <w:left w:val="single" w:sz="4" w:space="0" w:color="09090B"/>
              <w:bottom w:val="single" w:sz="4" w:space="0" w:color="09090B"/>
              <w:right w:val="single" w:sz="4" w:space="0" w:color="09090B"/>
              <w:insideH w:val="single" w:sz="4" w:space="0" w:color="09090B"/>
              <w:insideV w:val="single" w:sz="4" w:space="0" w:color="09090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F11</w:t>
            </w:r>
          </w:p>
        </w:tc>
        <w:tc>
          <w:tcPr>
            <w:tcW w:type="dxa" w:w="5400"/>
            <w:vAlign w:val="center"/>
            <w:shd w:fill="09090B" w:val="clear" w:color="auto"/>
            <w:tcBorders>
              <w:top w:val="single" w:sz="4" w:space="0" w:color="09090B"/>
              <w:left w:val="single" w:sz="4" w:space="0" w:color="09090B"/>
              <w:bottom w:val="single" w:sz="4" w:space="0" w:color="09090B"/>
              <w:right w:val="single" w:sz="4" w:space="0" w:color="09090B"/>
              <w:insideH w:val="single" w:sz="4" w:space="0" w:color="09090B"/>
              <w:insideV w:val="single" w:sz="4" w:space="0" w:color="09090B"/>
            </w:tcBorders>
          </w:tcPr>
          <w:p>
            <w:r>
              <w:rPr>
                <w:b/>
                <w:color w:val="FFFFFF"/>
                <w:sz w:val="18"/>
              </w:rPr>
              <w:t>F&amp;I Menu — Compliance Guardrails  •  P6 F&amp;I → customer → P1 audit</w:t>
            </w:r>
          </w:p>
        </w:tc>
      </w:tr>
    </w:tbl>
    <w:p>
      <w:pPr>
        <w:spacing w:after="80" w:before="40"/>
      </w:pPr>
      <w:r>
        <w:rPr>
          <w:i/>
          <w:color w:val="71717A"/>
          <w:sz w:val="14"/>
        </w:rPr>
        <w:t>Epics: E2 E4 E11 E12   •   Preconditions: Menu per lender/state, caps, eSign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"/>
        <w:gridCol w:w="3168"/>
        <w:gridCol w:w="5328"/>
        <w:gridCol w:w="1008"/>
      </w:tblGrid>
      <w:tr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Actor / System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Epic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1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Assemble menu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All eligible products, payment impact, disclosures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E4 E12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2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Present tablet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Interactive docuPAD, per-product accept/decline, no pre-checked bundles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E4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3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Log audit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Sequence, timestamps, terms, signatures — full trail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E12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4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Remit → CIT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Forms eSigned, remittance + CIT entries queued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E2 E4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5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PVR metrics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Penetration + anomaly alerts (e.g., 42% vs avg)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E11 E12</w:t>
            </w:r>
          </w:p>
        </w:tc>
      </w:tr>
    </w:tbl>
    <w:p>
      <w:pPr>
        <w:spacing w:after="120"/>
      </w:pPr>
    </w:p>
    <w:p>
      <w:pPr>
        <w:spacing w:after="160"/>
        <w:ind w:left="216"/>
      </w:pPr>
      <w:r>
        <w:rPr>
          <w:b/>
          <w:color w:val="09090B"/>
          <w:sz w:val="16"/>
        </w:rPr>
        <w:t xml:space="preserve">Alternate paths: </w:t>
      </w:r>
      <w:r>
        <w:rPr>
          <w:i/>
          <w:color w:val="52525B"/>
          <w:sz w:val="16"/>
        </w:rPr>
        <w:t>Not eligible → suppressed; post-delivery cancel → refund + GL reversal; state GAP rules → forms swapped</w:t>
      </w:r>
    </w:p>
    <w:p>
      <w:pPr>
        <w:keepNext/>
        <w:spacing w:before="240" w:after="80"/>
      </w:pPr>
      <w:r>
        <w:rPr>
          <w:rFonts w:ascii="Calibri" w:hAnsi="Calibri"/>
          <w:b/>
          <w:color w:val="FFFFFF"/>
          <w:sz w:val="16"/>
        </w:rPr>
        <w:t xml:space="preserve">  F12 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9072"/>
      </w:tblGrid>
      <w:tr>
        <w:tc>
          <w:tcPr>
            <w:tcW w:type="dxa" w:w="5400"/>
            <w:vAlign w:val="center"/>
            <w:shd w:fill="0F62FE" w:val="clear" w:color="auto"/>
            <w:tcBorders>
              <w:top w:val="single" w:sz="4" w:space="0" w:color="09090B"/>
              <w:left w:val="single" w:sz="4" w:space="0" w:color="09090B"/>
              <w:bottom w:val="single" w:sz="4" w:space="0" w:color="09090B"/>
              <w:right w:val="single" w:sz="4" w:space="0" w:color="09090B"/>
              <w:insideH w:val="single" w:sz="4" w:space="0" w:color="09090B"/>
              <w:insideV w:val="single" w:sz="4" w:space="0" w:color="09090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F12</w:t>
            </w:r>
          </w:p>
        </w:tc>
        <w:tc>
          <w:tcPr>
            <w:tcW w:type="dxa" w:w="5400"/>
            <w:vAlign w:val="center"/>
            <w:shd w:fill="09090B" w:val="clear" w:color="auto"/>
            <w:tcBorders>
              <w:top w:val="single" w:sz="4" w:space="0" w:color="09090B"/>
              <w:left w:val="single" w:sz="4" w:space="0" w:color="09090B"/>
              <w:bottom w:val="single" w:sz="4" w:space="0" w:color="09090B"/>
              <w:right w:val="single" w:sz="4" w:space="0" w:color="09090B"/>
              <w:insideH w:val="single" w:sz="4" w:space="0" w:color="09090B"/>
              <w:insideV w:val="single" w:sz="4" w:space="0" w:color="09090B"/>
            </w:tcBorders>
          </w:tcPr>
          <w:p>
            <w:r>
              <w:rPr>
                <w:b/>
                <w:color w:val="FFFFFF"/>
                <w:sz w:val="18"/>
              </w:rPr>
              <w:t>Equity Mining Campaign  •  P7 BDC → P5 → P4 → AI</w:t>
            </w:r>
          </w:p>
        </w:tc>
      </w:tr>
    </w:tbl>
    <w:p>
      <w:pPr>
        <w:spacing w:after="80" w:before="40"/>
      </w:pPr>
      <w:r>
        <w:rPr>
          <w:i/>
          <w:color w:val="71717A"/>
          <w:sz w:val="14"/>
        </w:rPr>
        <w:t>Epics: E3 E4 E6 E7 E10 E11   •   Preconditions: CRM + service history, market valuation, campaign live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"/>
        <w:gridCol w:w="3168"/>
        <w:gridCol w:w="5328"/>
        <w:gridCol w:w="1008"/>
      </w:tblGrid>
      <w:tr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Actor / System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Epic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1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Nightly mining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Positive equity/payoff vs market, lease maturities, high-mileage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E6 E3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2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Build campaign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Segmented SMS/email with payment estimates from live rates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E6 E4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3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Response → F6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Speed-to-lead with equity context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E10 E6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4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Lane trigger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Tomorrow’s appointments flagged, advisor → warm intro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E7 E6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5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Sales works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Appraisal → F2/F1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E3 E4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6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Attribution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Sourced deals, gross, ROI per segment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E11</w:t>
            </w:r>
          </w:p>
        </w:tc>
      </w:tr>
    </w:tbl>
    <w:p>
      <w:pPr>
        <w:spacing w:after="120"/>
      </w:pPr>
    </w:p>
    <w:p>
      <w:pPr>
        <w:spacing w:after="160"/>
        <w:ind w:left="216"/>
      </w:pPr>
      <w:r>
        <w:rPr>
          <w:b/>
          <w:color w:val="09090B"/>
          <w:sz w:val="16"/>
        </w:rPr>
        <w:t xml:space="preserve">Alternate paths: </w:t>
      </w:r>
      <w:r>
        <w:rPr>
          <w:i/>
          <w:color w:val="52525B"/>
          <w:sz w:val="16"/>
        </w:rPr>
        <w:t>Opt-out → suppressed; negative flagged → payoff refresh tightens; lease → OEM ground rules</w:t>
      </w:r>
    </w:p>
    <w:p>
      <w:pPr>
        <w:keepNext/>
        <w:spacing w:before="240" w:after="80"/>
      </w:pPr>
      <w:r>
        <w:rPr>
          <w:rFonts w:ascii="Calibri" w:hAnsi="Calibri"/>
          <w:b/>
          <w:color w:val="FFFFFF"/>
          <w:sz w:val="16"/>
        </w:rPr>
        <w:t xml:space="preserve">  F13 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9072"/>
      </w:tblGrid>
      <w:tr>
        <w:tc>
          <w:tcPr>
            <w:tcW w:type="dxa" w:w="5400"/>
            <w:vAlign w:val="center"/>
            <w:shd w:fill="0F62FE" w:val="clear" w:color="auto"/>
            <w:tcBorders>
              <w:top w:val="single" w:sz="4" w:space="0" w:color="09090B"/>
              <w:left w:val="single" w:sz="4" w:space="0" w:color="09090B"/>
              <w:bottom w:val="single" w:sz="4" w:space="0" w:color="09090B"/>
              <w:right w:val="single" w:sz="4" w:space="0" w:color="09090B"/>
              <w:insideH w:val="single" w:sz="4" w:space="0" w:color="09090B"/>
              <w:insideV w:val="single" w:sz="4" w:space="0" w:color="09090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F13</w:t>
            </w:r>
          </w:p>
        </w:tc>
        <w:tc>
          <w:tcPr>
            <w:tcW w:type="dxa" w:w="5400"/>
            <w:vAlign w:val="center"/>
            <w:shd w:fill="09090B" w:val="clear" w:color="auto"/>
            <w:tcBorders>
              <w:top w:val="single" w:sz="4" w:space="0" w:color="09090B"/>
              <w:left w:val="single" w:sz="4" w:space="0" w:color="09090B"/>
              <w:bottom w:val="single" w:sz="4" w:space="0" w:color="09090B"/>
              <w:right w:val="single" w:sz="4" w:space="0" w:color="09090B"/>
              <w:insideH w:val="single" w:sz="4" w:space="0" w:color="09090B"/>
              <w:insideV w:val="single" w:sz="4" w:space="0" w:color="09090B"/>
            </w:tcBorders>
          </w:tcPr>
          <w:p>
            <w:r>
              <w:rPr>
                <w:b/>
                <w:color w:val="FFFFFF"/>
                <w:sz w:val="18"/>
              </w:rPr>
              <w:t>Warranty Claim Submission  •  P9 Mgr → tech → warranty admin → P11</w:t>
            </w:r>
          </w:p>
        </w:tc>
      </w:tr>
    </w:tbl>
    <w:p>
      <w:pPr>
        <w:spacing w:after="80" w:before="40"/>
      </w:pPr>
      <w:r>
        <w:rPr>
          <w:i/>
          <w:color w:val="71717A"/>
          <w:sz w:val="14"/>
        </w:rPr>
        <w:t>Epics: E2 E7 E11 E12 E14   •   Preconditions: OEM comms certified, warranty AR live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"/>
        <w:gridCol w:w="3168"/>
        <w:gridCol w:w="5328"/>
        <w:gridCol w:w="1008"/>
      </w:tblGrid>
      <w:tr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Actor / System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Epic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1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Warranty RO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Tech story/cause/correction + MPI evidence structured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E7 E14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2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Auto-assemble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Op codes, labor, parts warranty pricing, sublet, validation catches gaps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E7 E2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3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Submit DCS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Track submitted/paid/rejected/partial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E2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4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Payment → AR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Auto-reconciles to warranty receivable, variance flagged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E2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5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Rejection → queue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Reason codes, resubmission workflow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E2 E7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6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Dashboard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Chargeback aging, acceptance rate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E11</w:t>
            </w:r>
          </w:p>
        </w:tc>
      </w:tr>
    </w:tbl>
    <w:p>
      <w:pPr>
        <w:spacing w:after="120"/>
      </w:pPr>
    </w:p>
    <w:p>
      <w:pPr>
        <w:spacing w:after="160"/>
        <w:ind w:left="216"/>
      </w:pPr>
      <w:r>
        <w:rPr>
          <w:b/>
          <w:color w:val="09090B"/>
          <w:sz w:val="16"/>
        </w:rPr>
        <w:t xml:space="preserve">Alternate paths: </w:t>
      </w:r>
      <w:r>
        <w:rPr>
          <w:i/>
          <w:color w:val="52525B"/>
          <w:sz w:val="16"/>
        </w:rPr>
        <w:t>Goodwill/policy → separate tracking; recall → VIN campaign; OEM audit → evidence pack export E12</w:t>
      </w:r>
    </w:p>
    <w:p>
      <w:pPr>
        <w:keepNext/>
        <w:spacing w:before="240" w:after="80"/>
      </w:pPr>
      <w:r>
        <w:rPr>
          <w:rFonts w:ascii="Calibri" w:hAnsi="Calibri"/>
          <w:b/>
          <w:color w:val="FFFFFF"/>
          <w:sz w:val="16"/>
        </w:rPr>
        <w:t xml:space="preserve">  F14 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9072"/>
      </w:tblGrid>
      <w:tr>
        <w:tc>
          <w:tcPr>
            <w:tcW w:type="dxa" w:w="5400"/>
            <w:vAlign w:val="center"/>
            <w:shd w:fill="0F62FE" w:val="clear" w:color="auto"/>
            <w:tcBorders>
              <w:top w:val="single" w:sz="4" w:space="0" w:color="09090B"/>
              <w:left w:val="single" w:sz="4" w:space="0" w:color="09090B"/>
              <w:bottom w:val="single" w:sz="4" w:space="0" w:color="09090B"/>
              <w:right w:val="single" w:sz="4" w:space="0" w:color="09090B"/>
              <w:insideH w:val="single" w:sz="4" w:space="0" w:color="09090B"/>
              <w:insideV w:val="single" w:sz="4" w:space="0" w:color="09090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F14</w:t>
            </w:r>
          </w:p>
        </w:tc>
        <w:tc>
          <w:tcPr>
            <w:tcW w:type="dxa" w:w="5400"/>
            <w:vAlign w:val="center"/>
            <w:shd w:fill="09090B" w:val="clear" w:color="auto"/>
            <w:tcBorders>
              <w:top w:val="single" w:sz="4" w:space="0" w:color="09090B"/>
              <w:left w:val="single" w:sz="4" w:space="0" w:color="09090B"/>
              <w:bottom w:val="single" w:sz="4" w:space="0" w:color="09090B"/>
              <w:right w:val="single" w:sz="4" w:space="0" w:color="09090B"/>
              <w:insideH w:val="single" w:sz="4" w:space="0" w:color="09090B"/>
              <w:insideV w:val="single" w:sz="4" w:space="0" w:color="09090B"/>
            </w:tcBorders>
          </w:tcPr>
          <w:p>
            <w:r>
              <w:rPr>
                <w:b/>
                <w:color w:val="FFFFFF"/>
                <w:sz w:val="18"/>
              </w:rPr>
              <w:t>OEM Incentive Reconciliation  •  P4 Mgr → P11</w:t>
            </w:r>
          </w:p>
        </w:tc>
      </w:tr>
    </w:tbl>
    <w:p>
      <w:pPr>
        <w:spacing w:after="80" w:before="40"/>
      </w:pPr>
      <w:r>
        <w:rPr>
          <w:i/>
          <w:color w:val="71717A"/>
          <w:sz w:val="14"/>
        </w:rPr>
        <w:t>Epics: E2 E4 E11   •   Preconditions: OEM programs per brand/region loaded, deal posted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"/>
        <w:gridCol w:w="3168"/>
        <w:gridCol w:w="5328"/>
        <w:gridCol w:w="1008"/>
      </w:tblGrid>
      <w:tr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Actor / System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Epic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1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Auto-apply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At desking, incentives by VIN/customer/region/program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E4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2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Claims submitted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To OEM with deal data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E2 E4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3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Reconcile AR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Per-program AR, mismatches flagged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E2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4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Reporting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Gross dependency, cycle time, audit exposure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E11</w:t>
            </w:r>
          </w:p>
        </w:tc>
      </w:tr>
    </w:tbl>
    <w:p>
      <w:pPr>
        <w:spacing w:after="120"/>
      </w:pPr>
    </w:p>
    <w:p>
      <w:pPr>
        <w:spacing w:after="160"/>
        <w:ind w:left="216"/>
      </w:pPr>
      <w:r>
        <w:rPr>
          <w:b/>
          <w:color w:val="09090B"/>
          <w:sz w:val="16"/>
        </w:rPr>
        <w:t xml:space="preserve">Alternate paths: </w:t>
      </w:r>
      <w:r>
        <w:rPr>
          <w:i/>
          <w:color w:val="52525B"/>
          <w:sz w:val="16"/>
        </w:rPr>
        <w:t>Stacking conflict → blocks invalid combo pre-delivery; retroactive change → mass recalc; chargeback → dispute workflow</w:t>
      </w:r>
    </w:p>
    <w:p>
      <w:pPr>
        <w:keepNext/>
        <w:spacing w:before="240" w:after="80"/>
      </w:pPr>
      <w:r>
        <w:rPr>
          <w:rFonts w:ascii="Calibri" w:hAnsi="Calibri"/>
          <w:b/>
          <w:color w:val="FFFFFF"/>
          <w:sz w:val="16"/>
        </w:rPr>
        <w:t xml:space="preserve">  F15 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9072"/>
      </w:tblGrid>
      <w:tr>
        <w:tc>
          <w:tcPr>
            <w:tcW w:type="dxa" w:w="5400"/>
            <w:vAlign w:val="center"/>
            <w:shd w:fill="0F62FE" w:val="clear" w:color="auto"/>
            <w:tcBorders>
              <w:top w:val="single" w:sz="4" w:space="0" w:color="09090B"/>
              <w:left w:val="single" w:sz="4" w:space="0" w:color="09090B"/>
              <w:bottom w:val="single" w:sz="4" w:space="0" w:color="09090B"/>
              <w:right w:val="single" w:sz="4" w:space="0" w:color="09090B"/>
              <w:insideH w:val="single" w:sz="4" w:space="0" w:color="09090B"/>
              <w:insideV w:val="single" w:sz="4" w:space="0" w:color="09090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F15</w:t>
            </w:r>
          </w:p>
        </w:tc>
        <w:tc>
          <w:tcPr>
            <w:tcW w:type="dxa" w:w="5400"/>
            <w:vAlign w:val="center"/>
            <w:shd w:fill="09090B" w:val="clear" w:color="auto"/>
            <w:tcBorders>
              <w:top w:val="single" w:sz="4" w:space="0" w:color="09090B"/>
              <w:left w:val="single" w:sz="4" w:space="0" w:color="09090B"/>
              <w:bottom w:val="single" w:sz="4" w:space="0" w:color="09090B"/>
              <w:right w:val="single" w:sz="4" w:space="0" w:color="09090B"/>
              <w:insideH w:val="single" w:sz="4" w:space="0" w:color="09090B"/>
              <w:insideV w:val="single" w:sz="4" w:space="0" w:color="09090B"/>
            </w:tcBorders>
          </w:tcPr>
          <w:p>
            <w:r>
              <w:rPr>
                <w:b/>
                <w:color w:val="FFFFFF"/>
                <w:sz w:val="18"/>
              </w:rPr>
              <w:t>Technician Flag → Payroll  •  Tech → P9 → P11 payroll</w:t>
            </w:r>
          </w:p>
        </w:tc>
      </w:tr>
    </w:tbl>
    <w:p>
      <w:pPr>
        <w:spacing w:after="80" w:before="40"/>
      </w:pPr>
      <w:r>
        <w:rPr>
          <w:i/>
          <w:color w:val="71717A"/>
          <w:sz w:val="14"/>
        </w:rPr>
        <w:t>Epics: E2 E7 E11 E14   •   Preconditions: Payroll flag-rate plans, RO time capture live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"/>
        <w:gridCol w:w="3168"/>
        <w:gridCol w:w="5328"/>
        <w:gridCol w:w="1008"/>
      </w:tblGrid>
      <w:tr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Actor / System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Epic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1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Clock onto RO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Actual vs flagged per op, mobile (E14)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E7 E14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2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Flag compute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Pay plan (flat per op, splits, comebacks)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E2 E7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3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Daily productivity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Flagged vs present, per tech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E11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4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Pay period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Flag + commissions + spiffs → GL + statements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E2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5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Comeback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Flag adjustment to original tech per policy, with audit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E7 E2</w:t>
            </w:r>
          </w:p>
        </w:tc>
      </w:tr>
    </w:tbl>
    <w:p>
      <w:pPr>
        <w:spacing w:after="120"/>
      </w:pPr>
    </w:p>
    <w:p>
      <w:pPr>
        <w:spacing w:after="160"/>
        <w:ind w:left="216"/>
      </w:pPr>
      <w:r>
        <w:rPr>
          <w:b/>
          <w:color w:val="09090B"/>
          <w:sz w:val="16"/>
        </w:rPr>
        <w:t xml:space="preserve">Alternate paths: </w:t>
      </w:r>
      <w:r>
        <w:rPr>
          <w:i/>
          <w:color w:val="52525B"/>
          <w:sz w:val="16"/>
        </w:rPr>
        <w:t>Non-flag training → separate code; disputed → manager adjustment with reason; multi-tech → split % or op</w:t>
      </w:r>
    </w:p>
    <w:p>
      <w:pPr>
        <w:keepNext/>
        <w:spacing w:before="240" w:after="80"/>
      </w:pPr>
      <w:r>
        <w:rPr>
          <w:rFonts w:ascii="Calibri" w:hAnsi="Calibri"/>
          <w:b/>
          <w:color w:val="FFFFFF"/>
          <w:sz w:val="16"/>
        </w:rPr>
        <w:t xml:space="preserve">  F16 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9072"/>
      </w:tblGrid>
      <w:tr>
        <w:tc>
          <w:tcPr>
            <w:tcW w:type="dxa" w:w="5400"/>
            <w:vAlign w:val="center"/>
            <w:shd w:fill="0F62FE" w:val="clear" w:color="auto"/>
            <w:tcBorders>
              <w:top w:val="single" w:sz="4" w:space="0" w:color="09090B"/>
              <w:left w:val="single" w:sz="4" w:space="0" w:color="09090B"/>
              <w:bottom w:val="single" w:sz="4" w:space="0" w:color="09090B"/>
              <w:right w:val="single" w:sz="4" w:space="0" w:color="09090B"/>
              <w:insideH w:val="single" w:sz="4" w:space="0" w:color="09090B"/>
              <w:insideV w:val="single" w:sz="4" w:space="0" w:color="09090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F16</w:t>
            </w:r>
          </w:p>
        </w:tc>
        <w:tc>
          <w:tcPr>
            <w:tcW w:type="dxa" w:w="5400"/>
            <w:vAlign w:val="center"/>
            <w:shd w:fill="09090B" w:val="clear" w:color="auto"/>
            <w:tcBorders>
              <w:top w:val="single" w:sz="4" w:space="0" w:color="09090B"/>
              <w:left w:val="single" w:sz="4" w:space="0" w:color="09090B"/>
              <w:bottom w:val="single" w:sz="4" w:space="0" w:color="09090B"/>
              <w:right w:val="single" w:sz="4" w:space="0" w:color="09090B"/>
              <w:insideH w:val="single" w:sz="4" w:space="0" w:color="09090B"/>
              <w:insideV w:val="single" w:sz="4" w:space="0" w:color="09090B"/>
            </w:tcBorders>
          </w:tcPr>
          <w:p>
            <w:r>
              <w:rPr>
                <w:b/>
                <w:color w:val="FFFFFF"/>
                <w:sz w:val="18"/>
              </w:rPr>
              <w:t>Wholesale Parts Sale  •  P10 Wholesale → shop buyer → driver</w:t>
            </w:r>
          </w:p>
        </w:tc>
      </w:tr>
    </w:tbl>
    <w:p>
      <w:pPr>
        <w:spacing w:after="80" w:before="40"/>
      </w:pPr>
      <w:r>
        <w:rPr>
          <w:i/>
          <w:color w:val="71717A"/>
          <w:sz w:val="14"/>
        </w:rPr>
        <w:t>Epics: E2 E8 E9 E11 E14   •   Preconditions: Wholesale price levels W1/W2/W3, terms set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"/>
        <w:gridCol w:w="3168"/>
        <w:gridCol w:w="5328"/>
        <w:gridCol w:w="1008"/>
      </w:tblGrid>
      <w:tr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Actor / System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Epic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1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Quote at price level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Shop orders via portal, live onHand, account level (E8)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E8 E9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2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Allocate + pull ticket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Stock allocated, bin pull ticket, short backordered + ETA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E8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3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Pick/pack + manifest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Barcode scan, delivery manifest (E14)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E8 E14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4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Deliver + invoice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Signature, invoice account, AR terms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E2 E8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5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Returns RMA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Restock rules, core credited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E8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6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Statement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Wholesale statement, profitability per account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E2 E11</w:t>
            </w:r>
          </w:p>
        </w:tc>
      </w:tr>
    </w:tbl>
    <w:p>
      <w:pPr>
        <w:spacing w:after="120"/>
      </w:pPr>
    </w:p>
    <w:p>
      <w:pPr>
        <w:spacing w:after="160"/>
        <w:ind w:left="216"/>
      </w:pPr>
      <w:r>
        <w:rPr>
          <w:b/>
          <w:color w:val="09090B"/>
          <w:sz w:val="16"/>
        </w:rPr>
        <w:t xml:space="preserve">Alternate paths: </w:t>
      </w:r>
      <w:r>
        <w:rPr>
          <w:i/>
          <w:color w:val="52525B"/>
          <w:sz w:val="16"/>
        </w:rPr>
        <w:t>Over credit limit → hold + override; wrong part → return-and-replace; price dispute → audit from quote</w:t>
      </w:r>
    </w:p>
    <w:p>
      <w:pPr>
        <w:keepNext/>
        <w:spacing w:before="240" w:after="80"/>
      </w:pPr>
      <w:r>
        <w:rPr>
          <w:rFonts w:ascii="Calibri" w:hAnsi="Calibri"/>
          <w:b/>
          <w:color w:val="FFFFFF"/>
          <w:sz w:val="16"/>
        </w:rPr>
        <w:t xml:space="preserve">  F17 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9072"/>
      </w:tblGrid>
      <w:tr>
        <w:tc>
          <w:tcPr>
            <w:tcW w:type="dxa" w:w="5400"/>
            <w:vAlign w:val="center"/>
            <w:shd w:fill="0F62FE" w:val="clear" w:color="auto"/>
            <w:tcBorders>
              <w:top w:val="single" w:sz="4" w:space="0" w:color="09090B"/>
              <w:left w:val="single" w:sz="4" w:space="0" w:color="09090B"/>
              <w:bottom w:val="single" w:sz="4" w:space="0" w:color="09090B"/>
              <w:right w:val="single" w:sz="4" w:space="0" w:color="09090B"/>
              <w:insideH w:val="single" w:sz="4" w:space="0" w:color="09090B"/>
              <w:insideV w:val="single" w:sz="4" w:space="0" w:color="09090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F17</w:t>
            </w:r>
          </w:p>
        </w:tc>
        <w:tc>
          <w:tcPr>
            <w:tcW w:type="dxa" w:w="5400"/>
            <w:vAlign w:val="center"/>
            <w:shd w:fill="09090B" w:val="clear" w:color="auto"/>
            <w:tcBorders>
              <w:top w:val="single" w:sz="4" w:space="0" w:color="09090B"/>
              <w:left w:val="single" w:sz="4" w:space="0" w:color="09090B"/>
              <w:bottom w:val="single" w:sz="4" w:space="0" w:color="09090B"/>
              <w:right w:val="single" w:sz="4" w:space="0" w:color="09090B"/>
              <w:insideH w:val="single" w:sz="4" w:space="0" w:color="09090B"/>
              <w:insideV w:val="single" w:sz="4" w:space="0" w:color="09090B"/>
            </w:tcBorders>
          </w:tcPr>
          <w:p>
            <w:r>
              <w:rPr>
                <w:b/>
                <w:color w:val="FFFFFF"/>
                <w:sz w:val="18"/>
              </w:rPr>
              <w:t>Cross-Rooftop Used Transfer  •  P2 COO → used-car dir → store Mgrs → P11</w:t>
            </w:r>
          </w:p>
        </w:tc>
      </w:tr>
    </w:tbl>
    <w:p>
      <w:pPr>
        <w:spacing w:after="80" w:before="40"/>
      </w:pPr>
      <w:r>
        <w:rPr>
          <w:i/>
          <w:color w:val="71717A"/>
          <w:sz w:val="14"/>
        </w:rPr>
        <w:t>Epics: E2 E3 E9 E11   •   Preconditions: Shared inventory live, transfer accounting rules set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"/>
        <w:gridCol w:w="3168"/>
        <w:gridCol w:w="5328"/>
        <w:gridCol w:w="1008"/>
      </w:tblGrid>
      <w:tr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Actor / System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Epic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1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Flag aging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Dashboard: aging at A, high demand at B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E3 E11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2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Initiate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Moves single VIN record, posts intercompany at cost, floorplan coding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E3 E2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3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Transport + merch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Transport task, feeds update store attribution &lt;15m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E3 E9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4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Sale at B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F1, gross + transfer history on vehicle P&amp;L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E2 E3</w:t>
            </w:r>
          </w:p>
        </w:tc>
      </w:tr>
    </w:tbl>
    <w:p>
      <w:pPr>
        <w:spacing w:after="120"/>
      </w:pPr>
    </w:p>
    <w:p>
      <w:pPr>
        <w:spacing w:after="160"/>
        <w:ind w:left="216"/>
      </w:pPr>
      <w:r>
        <w:rPr>
          <w:b/>
          <w:color w:val="09090B"/>
          <w:sz w:val="16"/>
        </w:rPr>
        <w:t xml:space="preserve">Alternate paths: </w:t>
      </w:r>
      <w:r>
        <w:rPr>
          <w:i/>
          <w:color w:val="52525B"/>
          <w:sz w:val="16"/>
        </w:rPr>
        <w:t>Recon pending → blocked until closed or moved with; deal in progress → lock; floorplan curtailment → warning</w:t>
      </w:r>
    </w:p>
    <w:p>
      <w:pPr>
        <w:keepNext/>
        <w:spacing w:before="240" w:after="80"/>
      </w:pPr>
      <w:r>
        <w:rPr>
          <w:rFonts w:ascii="Calibri" w:hAnsi="Calibri"/>
          <w:b/>
          <w:color w:val="FFFFFF"/>
          <w:sz w:val="16"/>
        </w:rPr>
        <w:t xml:space="preserve">  F18 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9072"/>
      </w:tblGrid>
      <w:tr>
        <w:tc>
          <w:tcPr>
            <w:tcW w:type="dxa" w:w="5400"/>
            <w:vAlign w:val="center"/>
            <w:shd w:fill="0F62FE" w:val="clear" w:color="auto"/>
            <w:tcBorders>
              <w:top w:val="single" w:sz="4" w:space="0" w:color="09090B"/>
              <w:left w:val="single" w:sz="4" w:space="0" w:color="09090B"/>
              <w:bottom w:val="single" w:sz="4" w:space="0" w:color="09090B"/>
              <w:right w:val="single" w:sz="4" w:space="0" w:color="09090B"/>
              <w:insideH w:val="single" w:sz="4" w:space="0" w:color="09090B"/>
              <w:insideV w:val="single" w:sz="4" w:space="0" w:color="09090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F18</w:t>
            </w:r>
          </w:p>
        </w:tc>
        <w:tc>
          <w:tcPr>
            <w:tcW w:type="dxa" w:w="5400"/>
            <w:vAlign w:val="center"/>
            <w:shd w:fill="09090B" w:val="clear" w:color="auto"/>
            <w:tcBorders>
              <w:top w:val="single" w:sz="4" w:space="0" w:color="09090B"/>
              <w:left w:val="single" w:sz="4" w:space="0" w:color="09090B"/>
              <w:bottom w:val="single" w:sz="4" w:space="0" w:color="09090B"/>
              <w:right w:val="single" w:sz="4" w:space="0" w:color="09090B"/>
              <w:insideH w:val="single" w:sz="4" w:space="0" w:color="09090B"/>
              <w:insideV w:val="single" w:sz="4" w:space="0" w:color="09090B"/>
            </w:tcBorders>
          </w:tcPr>
          <w:p>
            <w:r>
              <w:rPr>
                <w:b/>
                <w:color w:val="FFFFFF"/>
                <w:sz w:val="18"/>
              </w:rPr>
              <w:t>Degraded-Mode — Regional Outage  •  All store roles → SRE</w:t>
            </w:r>
          </w:p>
        </w:tc>
      </w:tr>
    </w:tbl>
    <w:p>
      <w:pPr>
        <w:spacing w:after="80" w:before="40"/>
      </w:pPr>
      <w:r>
        <w:rPr>
          <w:i/>
          <w:color w:val="71717A"/>
          <w:sz w:val="14"/>
        </w:rPr>
        <w:t>Epics: E1 E4 E7 E12 E14   •   Preconditions: Multi-region active/active, degraded runbooks tested (post-CDK §7.4)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"/>
        <w:gridCol w:w="3168"/>
        <w:gridCol w:w="5328"/>
        <w:gridCol w:w="1008"/>
      </w:tblGrid>
      <w:tr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Actor / System</w:t>
            </w:r>
          </w:p>
        </w:tc>
        <w:tc>
          <w:tcPr>
            <w:tcW w:type="dxa" w:w="2700"/>
            <w:shd w:fill="27272A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Epic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1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Impairment detected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Cloud region impairment, automated failover, status page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E1 E12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2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Core writes remain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Deal/RO writes via second region, analytics/AI degrade with banners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E1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3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Salesperson continues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Lender rates cached “verify at funding”, write-ups queued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E4 E7 E14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4</w:t>
            </w:r>
          </w:p>
        </w:tc>
        <w:tc>
          <w:tcPr>
            <w:tcW w:type="dxa" w:w="316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Sync on recovery</w:t>
            </w:r>
          </w:p>
        </w:tc>
        <w:tc>
          <w:tcPr>
            <w:tcW w:type="dxa" w:w="53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Queued mutations sync with conflict resolution, every queued action audit-logged</w:t>
            </w:r>
          </w:p>
        </w:tc>
        <w:tc>
          <w:tcPr>
            <w:tcW w:type="dxa" w:w="100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E1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5</w:t>
            </w:r>
          </w:p>
        </w:tc>
        <w:tc>
          <w:tcPr>
            <w:tcW w:type="dxa" w:w="316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Post-incident</w:t>
            </w:r>
          </w:p>
        </w:tc>
        <w:tc>
          <w:tcPr>
            <w:tcW w:type="dxa" w:w="53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Timeline, affected tenants, RTO 1h/RPO 15m actuals published</w:t>
            </w:r>
          </w:p>
        </w:tc>
        <w:tc>
          <w:tcPr>
            <w:tcW w:type="dxa" w:w="100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E12</w:t>
            </w:r>
          </w:p>
        </w:tc>
      </w:tr>
    </w:tbl>
    <w:p>
      <w:pPr>
        <w:spacing w:after="120"/>
      </w:pPr>
    </w:p>
    <w:p>
      <w:pPr>
        <w:spacing w:after="160"/>
        <w:ind w:left="216"/>
      </w:pPr>
      <w:r>
        <w:rPr>
          <w:b/>
          <w:color w:val="09090B"/>
          <w:sz w:val="16"/>
        </w:rPr>
        <w:t xml:space="preserve">Alternate paths: </w:t>
      </w:r>
      <w:r>
        <w:rPr>
          <w:i/>
          <w:color w:val="52525B"/>
          <w:sz w:val="16"/>
        </w:rPr>
        <w:t>Full outage → per-tenant read-only snapshot (last-sync); partial conflict → exception queue, never silent overwrite</w:t>
      </w:r>
    </w:p>
    <w:p>
      <w:pPr>
        <w:pStyle w:val="Heading1"/>
        <w:spacing w:before="200" w:after="120"/>
        <w:jc w:val="left"/>
      </w:pPr>
      <w:r>
        <w:rPr>
          <w:b/>
          <w:color w:val="09090B"/>
          <w:sz w:val="44"/>
        </w:rPr>
        <w:t>6  Critical Path &amp; Phased Plan</w:t>
      </w:r>
    </w:p>
    <w:p>
      <w:pPr>
        <w:spacing w:after="120" w:before="0" w:line="276" w:lineRule="auto"/>
        <w:jc w:val="left"/>
      </w:pPr>
      <w:r>
        <w:rPr>
          <w:b w:val="0"/>
          <w:i w:val="0"/>
          <w:color w:val="52525B"/>
          <w:sz w:val="16"/>
        </w:rPr>
        <w:t>Four phases (0–9 / 9–20 / 20–32 / 32–48 mo). E1 blocks everything. E13 extractors start in Phase 1 (migration is GTM wedge). E7/E8 P0 must be complete before first cutover (service would mutiny). E9 open platform ships Phase 1 (free APIs from first sales call). E12 SOC2 Type I → II calendar-bound.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"/>
        <w:gridCol w:w="4320"/>
        <w:gridCol w:w="5616"/>
      </w:tblGrid>
      <w:tr>
        <w:tc>
          <w:tcPr>
            <w:tcW w:type="dxa" w:w="3600"/>
            <w:shd w:fill="0F62FE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3600"/>
            <w:shd w:fill="0F62FE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Dependency</w:t>
            </w:r>
          </w:p>
        </w:tc>
        <w:tc>
          <w:tcPr>
            <w:tcW w:type="dxa" w:w="3600"/>
            <w:shd w:fill="0F62FE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Why load-bearing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1</w:t>
            </w:r>
          </w:p>
        </w:tc>
        <w:tc>
          <w:tcPr>
            <w:tcW w:type="dxa" w:w="4320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E1-T03 data model → everything</w:t>
            </w:r>
          </w:p>
        </w:tc>
        <w:tc>
          <w:tcPr>
            <w:tcW w:type="dxa" w:w="561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STAR alignment expensive to change later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2</w:t>
            </w:r>
          </w:p>
        </w:tc>
        <w:tc>
          <w:tcPr>
            <w:tcW w:type="dxa" w:w="4320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E1 → E2-T01 GL → E4 deals → E2-T03 posting → E13-T07 parallel → first cutover</w:t>
            </w:r>
          </w:p>
        </w:tc>
        <w:tc>
          <w:tcPr>
            <w:tcW w:type="dxa" w:w="561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Cannot parallel-run accounting that doesn't exist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3</w:t>
            </w:r>
          </w:p>
        </w:tc>
        <w:tc>
          <w:tcPr>
            <w:tcW w:type="dxa" w:w="4320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E13-T01/T02 migration platform + CDK extractor in Phase 1</w:t>
            </w:r>
          </w:p>
        </w:tc>
        <w:tc>
          <w:tcPr>
            <w:tcW w:type="dxa" w:w="561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Longest-lead, highest-uncertainty, proven against real incumbent data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4</w:t>
            </w:r>
          </w:p>
        </w:tc>
        <w:tc>
          <w:tcPr>
            <w:tcW w:type="dxa" w:w="4320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E8/E7 P0 before Phase 2 exit</w:t>
            </w:r>
          </w:p>
        </w:tc>
        <w:tc>
          <w:tcPr>
            <w:tcW w:type="dxa" w:w="561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Tekion 5-month stock-order anti-pattern; service mutiny risk §7.4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5</w:t>
            </w:r>
          </w:p>
        </w:tc>
        <w:tc>
          <w:tcPr>
            <w:tcW w:type="dxa" w:w="4320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E9 dev portal Phase 1</w:t>
            </w:r>
          </w:p>
        </w:tc>
        <w:tc>
          <w:tcPr>
            <w:tcW w:type="dxa" w:w="561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$730M-settlement narrative must be true from first sales call</w:t>
            </w:r>
          </w:p>
        </w:tc>
      </w:tr>
      <w:tr>
        <w:tc>
          <w:tcPr>
            <w:tcW w:type="dxa" w:w="57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6</w:t>
            </w:r>
          </w:p>
        </w:tc>
        <w:tc>
          <w:tcPr>
            <w:tcW w:type="dxa" w:w="4320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E12 SOC2 clocks start Phase 1</w:t>
            </w:r>
          </w:p>
        </w:tc>
        <w:tc>
          <w:tcPr>
            <w:tcW w:type="dxa" w:w="561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Calendar-bound gates enterprise deals 9–20 mo</w:t>
            </w:r>
          </w:p>
        </w:tc>
      </w:tr>
      <w:tr>
        <w:tc>
          <w:tcPr>
            <w:tcW w:type="dxa" w:w="57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7</w:t>
            </w:r>
          </w:p>
        </w:tc>
        <w:tc>
          <w:tcPr>
            <w:tcW w:type="dxa" w:w="4320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Lender rails + Vitu/CVR initiate Phase 1</w:t>
            </w:r>
          </w:p>
        </w:tc>
        <w:tc>
          <w:tcPr>
            <w:tcW w:type="dxa" w:w="561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Partner onboarding lead times outside control</w:t>
            </w:r>
          </w:p>
        </w:tc>
      </w:tr>
    </w:tbl>
    <w:p>
      <w:pPr>
        <w:spacing w:after="120"/>
      </w:pPr>
    </w:p>
    <w:p>
      <w:pPr>
        <w:pStyle w:val="Heading1"/>
        <w:spacing w:before="200" w:after="120"/>
        <w:jc w:val="left"/>
      </w:pPr>
      <w:r>
        <w:rPr>
          <w:b/>
          <w:color w:val="09090B"/>
          <w:sz w:val="44"/>
        </w:rPr>
        <w:t>7  Non-Functional — Resilience as Product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600"/>
        <w:gridCol w:w="5184"/>
      </w:tblGrid>
      <w:tr>
        <w:tc>
          <w:tcPr>
            <w:tcW w:type="dxa" w:w="3600"/>
            <w:shd w:fill="09090B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3600"/>
            <w:shd w:fill="09090B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Target</w:t>
            </w:r>
          </w:p>
        </w:tc>
        <w:tc>
          <w:tcPr>
            <w:tcW w:type="dxa" w:w="3600"/>
            <w:shd w:fill="09090B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How demo proves it</w:t>
            </w:r>
          </w:p>
        </w:tc>
      </w:tr>
      <w:tr>
        <w:tc>
          <w:tcPr>
            <w:tcW w:type="dxa" w:w="17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Availability</w:t>
            </w:r>
          </w:p>
        </w:tc>
        <w:tc>
          <w:tcPr>
            <w:tcW w:type="dxa" w:w="3600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99.95% mo core paths, 99.9% platform, 0 scheduled downtime</w:t>
            </w:r>
          </w:p>
        </w:tc>
        <w:tc>
          <w:tcPr>
            <w:tcW w:type="dxa" w:w="5184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Shell 99.95% badge + CommandCenter degraded banner, multi-region active/active, failover us-west-2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RTO / RPO</w:t>
            </w:r>
          </w:p>
        </w:tc>
        <w:tc>
          <w:tcPr>
            <w:tcW w:type="dxa" w:w="3600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RTO ≤1h core, ≤4h full; RPO ≤5m</w:t>
            </w:r>
          </w:p>
        </w:tc>
        <w:tc>
          <w:tcPr>
            <w:tcW w:type="dxa" w:w="5184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Degraded queue E1-T12, status page, post-incident publishable</w:t>
            </w:r>
          </w:p>
        </w:tc>
      </w:tr>
      <w:tr>
        <w:tc>
          <w:tcPr>
            <w:tcW w:type="dxa" w:w="17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Backups</w:t>
            </w:r>
          </w:p>
        </w:tc>
        <w:tc>
          <w:tcPr>
            <w:tcW w:type="dxa" w:w="3600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Immutable object-locked, daily full + PITR, quarterly restore drills</w:t>
            </w:r>
          </w:p>
        </w:tc>
        <w:tc>
          <w:tcPr>
            <w:tcW w:type="dxa" w:w="5184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Compliance panel tested 2026-04-19, RPO 15m/RTO 1h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Pencil</w:t>
            </w:r>
          </w:p>
        </w:tc>
        <w:tc>
          <w:tcPr>
            <w:tcW w:type="dxa" w:w="3600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p95 &lt;500ms</w:t>
            </w:r>
          </w:p>
        </w:tc>
        <w:tc>
          <w:tcPr>
            <w:tcW w:type="dxa" w:w="5184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Desking live 42ms p95, same for online checkout</w:t>
            </w:r>
          </w:p>
        </w:tc>
      </w:tr>
      <w:tr>
        <w:tc>
          <w:tcPr>
            <w:tcW w:type="dxa" w:w="17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Dashboard</w:t>
            </w:r>
          </w:p>
        </w:tc>
        <w:tc>
          <w:tcPr>
            <w:tcW w:type="dxa" w:w="3600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event→dashboard ≤60s p99, no batch</w:t>
            </w:r>
          </w:p>
        </w:tc>
        <w:tc>
          <w:tcPr>
            <w:tcW w:type="dxa" w:w="5184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CommandCenter 42s ago badge, streaming &lt;60s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Syndication</w:t>
            </w:r>
          </w:p>
        </w:tc>
        <w:tc>
          <w:tcPr>
            <w:tcW w:type="dxa" w:w="3600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state→feed ≤15m</w:t>
            </w:r>
          </w:p>
        </w:tc>
        <w:tc>
          <w:tcPr>
            <w:tcW w:type="dxa" w:w="5184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Inventory syndication 2m ago, transfer &lt;15m</w:t>
            </w:r>
          </w:p>
        </w:tc>
      </w:tr>
      <w:tr>
        <w:tc>
          <w:tcPr>
            <w:tcW w:type="dxa" w:w="1728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Scale</w:t>
            </w:r>
          </w:p>
        </w:tc>
        <w:tc>
          <w:tcPr>
            <w:tcW w:type="dxa" w:w="3600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≥2k rooftops/region, group ≥500, 50k events/min burst</w:t>
            </w:r>
          </w:p>
        </w:tc>
        <w:tc>
          <w:tcPr>
            <w:tcW w:type="dxa" w:w="5184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Store transferHistory, group rollup 3→100 virtual, event bus mock</w:t>
            </w:r>
          </w:p>
        </w:tc>
      </w:tr>
    </w:tbl>
    <w:p>
      <w:pPr>
        <w:spacing w:after="120"/>
      </w:pPr>
    </w:p>
    <w:p>
      <w:pPr>
        <w:pStyle w:val="Heading1"/>
        <w:spacing w:before="200" w:after="120"/>
        <w:jc w:val="left"/>
      </w:pPr>
      <w:r>
        <w:rPr>
          <w:b/>
          <w:color w:val="09090B"/>
          <w:sz w:val="44"/>
        </w:rPr>
        <w:t>8  Demo Map — autocore-erp-demo</w:t>
      </w:r>
    </w:p>
    <w:p>
      <w:pPr>
        <w:spacing w:after="120" w:before="0" w:line="276" w:lineRule="auto"/>
        <w:jc w:val="left"/>
      </w:pPr>
      <w:r>
        <w:rPr>
          <w:b w:val="0"/>
          <w:i w:val="0"/>
          <w:color w:val="52525B"/>
          <w:sz w:val="16"/>
        </w:rPr>
        <w:t>URL autocore-erp-demo.netlify.app (prod 19–24 chunks, React.lazy per route, 55KB/route) + GitHub sanjay-madala/autocore-erp-demo (main). Shell top bar Sovereign Auto Group • 3 rooftops (group/dtown/north/westside) segmented live → CommandCenter filters via Zustand selectedRooftop. 10 lazy views, single Zustand STAR model (vehicles 20, customers 16, deals 12, leads 20, service 7/6/6, parts 25, migration), 5 Playwright E2E (F1 9 steps + F2/F4/F7/F6).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2016"/>
        <w:gridCol w:w="4752"/>
      </w:tblGrid>
      <w:tr>
        <w:tc>
          <w:tcPr>
            <w:tcW w:type="dxa" w:w="2700"/>
            <w:shd w:fill="0F62FE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View</w:t>
            </w:r>
          </w:p>
        </w:tc>
        <w:tc>
          <w:tcPr>
            <w:tcW w:type="dxa" w:w="2700"/>
            <w:shd w:fill="0F62FE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Route</w:t>
            </w:r>
          </w:p>
        </w:tc>
        <w:tc>
          <w:tcPr>
            <w:tcW w:type="dxa" w:w="2700"/>
            <w:shd w:fill="0F62FE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Flows proven</w:t>
            </w:r>
          </w:p>
        </w:tc>
        <w:tc>
          <w:tcPr>
            <w:tcW w:type="dxa" w:w="2700"/>
            <w:shd w:fill="0F62FE" w:val="clear" w:color="auto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Live store wires</w:t>
            </w:r>
          </w:p>
        </w:tc>
      </w:tr>
      <w:tr>
        <w:tc>
          <w:tcPr>
            <w:tcW w:type="dxa" w:w="1872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F1 Flow</w:t>
            </w:r>
          </w:p>
        </w:tc>
        <w:tc>
          <w:tcPr>
            <w:tcW w:type="dxa" w:w="1872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/ (default)</w:t>
            </w:r>
          </w:p>
        </w:tc>
        <w:tc>
          <w:tcPr>
            <w:tcW w:type="dxa" w:w="201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F1 12-step wired</w:t>
            </w:r>
          </w:p>
        </w:tc>
        <w:tc>
          <w:tcPr>
            <w:tcW w:type="dxa" w:w="4752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Single deal object, pencil &lt;500ms, CIT→GL POSTED, sold lock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CommandCenter</w:t>
            </w:r>
          </w:p>
        </w:tc>
        <w:tc>
          <w:tcPr>
            <w:tcW w:type="dxa" w:w="1872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Command Center</w:t>
            </w:r>
          </w:p>
        </w:tc>
        <w:tc>
          <w:tcPr>
            <w:tcW w:type="dxa" w:w="201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E11/F8/F18</w:t>
            </w:r>
          </w:p>
        </w:tc>
        <w:tc>
          <w:tcPr>
            <w:tcW w:type="dxa" w:w="4752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Live KPIs, velocity 6 buckets from deals, 42s badge, 06:00 DOC 127</w:t>
            </w:r>
          </w:p>
        </w:tc>
      </w:tr>
      <w:tr>
        <w:tc>
          <w:tcPr>
            <w:tcW w:type="dxa" w:w="1872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Vehicles</w:t>
            </w:r>
          </w:p>
        </w:tc>
        <w:tc>
          <w:tcPr>
            <w:tcW w:type="dxa" w:w="1872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Vehicles</w:t>
            </w:r>
          </w:p>
        </w:tc>
        <w:tc>
          <w:tcPr>
            <w:tcW w:type="dxa" w:w="201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F2/F17</w:t>
            </w:r>
          </w:p>
        </w:tc>
        <w:tc>
          <w:tcPr>
            <w:tcW w:type="dxa" w:w="4752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Recon +$1,240, price live, transfer GL 1300/1400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Showroom (Desking)</w:t>
            </w:r>
          </w:p>
        </w:tc>
        <w:tc>
          <w:tcPr>
            <w:tcW w:type="dxa" w:w="1872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Showroom / F&amp;I Desk</w:t>
            </w:r>
          </w:p>
        </w:tc>
        <w:tc>
          <w:tcPr>
            <w:tcW w:type="dxa" w:w="201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F1/F3/F11</w:t>
            </w:r>
          </w:p>
        </w:tc>
        <w:tc>
          <w:tcPr>
            <w:tcW w:type="dxa" w:w="4752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Online same #8841, soft-pull, deposit $500, guard VSC→GAP, audit JSON, Vitu VIT-8841, OEM SmartPath $500</w:t>
            </w:r>
          </w:p>
        </w:tc>
      </w:tr>
      <w:tr>
        <w:tc>
          <w:tcPr>
            <w:tcW w:type="dxa" w:w="1872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CRM Inbox</w:t>
            </w:r>
          </w:p>
        </w:tc>
        <w:tc>
          <w:tcPr>
            <w:tcW w:type="dxa" w:w="1872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CRM Inbox</w:t>
            </w:r>
          </w:p>
        </w:tc>
        <w:tc>
          <w:tcPr>
            <w:tcW w:type="dxa" w:w="201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F6/F12/F5</w:t>
            </w:r>
          </w:p>
        </w:tc>
        <w:tc>
          <w:tcPr>
            <w:tcW w:type="dxa" w:w="4752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Ingest &lt;60s A, dedup M-008, Convert → D-10xx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Service Lane</w:t>
            </w:r>
          </w:p>
        </w:tc>
        <w:tc>
          <w:tcPr>
            <w:tcW w:type="dxa" w:w="1872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Service Lane</w:t>
            </w:r>
          </w:p>
        </w:tc>
        <w:tc>
          <w:tcPr>
            <w:tcW w:type="dxa" w:w="201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F4/F13/F15 + loaner/tire + voice</w:t>
            </w:r>
          </w:p>
        </w:tc>
        <w:tc>
          <w:tcPr>
            <w:tcW w:type="dxa" w:w="4752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Create RO, MPI approve, flag +2.5h, loaner 6, tire $899 EV 47%, voice 4mm</w:t>
            </w:r>
          </w:p>
        </w:tc>
      </w:tr>
      <w:tr>
        <w:tc>
          <w:tcPr>
            <w:tcW w:type="dxa" w:w="1872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Parts Counter</w:t>
            </w:r>
          </w:p>
        </w:tc>
        <w:tc>
          <w:tcPr>
            <w:tcW w:type="dxa" w:w="1872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Parts Counter</w:t>
            </w:r>
          </w:p>
        </w:tc>
        <w:tc>
          <w:tcPr>
            <w:tcW w:type="dxa" w:w="201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F7/F16 + tire</w:t>
            </w:r>
          </w:p>
        </w:tc>
        <w:tc>
          <w:tcPr>
            <w:tcW w:type="dxa" w:w="4752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Matrix $112.20 vs $125, Sell 12→11, Short Sale 8→9, Tire hub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GL &amp; Close</w:t>
            </w:r>
          </w:p>
        </w:tc>
        <w:tc>
          <w:tcPr>
            <w:tcW w:type="dxa" w:w="1872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GL &amp; Close</w:t>
            </w:r>
          </w:p>
        </w:tc>
        <w:tc>
          <w:tcPr>
            <w:tcW w:type="dxa" w:w="201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F8/F14/F15</w:t>
            </w:r>
          </w:p>
        </w:tc>
        <w:tc>
          <w:tcPr>
            <w:tcW w:type="dxa" w:w="4752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LIVE CIT 0/1, checklist auto-done, rollup + eliminations drill-down, incentives, vendor Brex, warehouse CDC</w:t>
            </w:r>
          </w:p>
        </w:tc>
      </w:tr>
      <w:tr>
        <w:tc>
          <w:tcPr>
            <w:tcW w:type="dxa" w:w="1872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Developer</w:t>
            </w:r>
          </w:p>
        </w:tc>
        <w:tc>
          <w:tcPr>
            <w:tcW w:type="dxa" w:w="1872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Developer</w:t>
            </w:r>
          </w:p>
        </w:tc>
        <w:tc>
          <w:tcPr>
            <w:tcW w:type="dxa" w:w="201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F9/E9</w:t>
            </w:r>
          </w:p>
        </w:tc>
        <w:tc>
          <w:tcPr>
            <w:tcW w:type="dxa" w:w="4752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issk_live 200 STAR 42ms, audit, webhooks, marketplace 12, export &lt;24h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AI Agents</w:t>
            </w:r>
          </w:p>
        </w:tc>
        <w:tc>
          <w:tcPr>
            <w:tcW w:type="dxa" w:w="1872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AI Agents</w:t>
            </w:r>
          </w:p>
        </w:tc>
        <w:tc>
          <w:tcPr>
            <w:tcW w:type="dxa" w:w="201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F5/F6/F18 + T1</w:t>
            </w:r>
          </w:p>
        </w:tc>
        <w:tc>
          <w:tcPr>
            <w:tcW w:type="dxa" w:w="4752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Missed-call &lt;30s whisper, degraded, T1 NL (gross per tech, aged, CIT)</w:t>
            </w:r>
          </w:p>
        </w:tc>
      </w:tr>
      <w:tr>
        <w:tc>
          <w:tcPr>
            <w:tcW w:type="dxa" w:w="1872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Mobile Apps</w:t>
            </w:r>
          </w:p>
        </w:tc>
        <w:tc>
          <w:tcPr>
            <w:tcW w:type="dxa" w:w="1872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Mobile Apps</w:t>
            </w:r>
          </w:p>
        </w:tc>
        <w:tc>
          <w:tcPr>
            <w:tcW w:type="dxa" w:w="2016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E14</w:t>
            </w:r>
          </w:p>
        </w:tc>
        <w:tc>
          <w:tcPr>
            <w:tcW w:type="dxa" w:w="4752"/>
            <w:vAlign w:val="center"/>
            <w:shd w:fill="F4F4F5" w:val="clear" w:color="auto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3 phones 390×844, offline queued 3, voice MPI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9090B"/>
                <w:sz w:val="16"/>
              </w:rPr>
              <w:t>Workbench</w:t>
            </w:r>
          </w:p>
        </w:tc>
        <w:tc>
          <w:tcPr>
            <w:tcW w:type="dxa" w:w="1872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Workbench</w:t>
            </w:r>
          </w:p>
        </w:tc>
        <w:tc>
          <w:tcPr>
            <w:tcW w:type="dxa" w:w="2016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F10/E13</w:t>
            </w:r>
          </w:p>
        </w:tc>
        <w:tc>
          <w:tcPr>
            <w:tcW w:type="dxa" w:w="4752"/>
            <w:vAlign w:val="center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  <w:insideH w:val="single" w:sz="4" w:space="0" w:color="E4E4E7"/>
              <w:insideV w:val="single" w:sz="4" w:space="0" w:color="E4E4E7"/>
            </w:tcBorders>
          </w:tcPr>
          <w:p>
            <w:pPr>
              <w:spacing w:after="40" w:before="40"/>
              <w:jc w:val="left"/>
            </w:pPr>
            <w:r/>
            <w:r>
              <w:rPr>
                <w:color w:val="09090B"/>
                <w:sz w:val="16"/>
              </w:rPr>
              <w:t>CDK 98.4% anim, mapping 96.2→99.1%, parallel 9/14, cutover &lt;72h</w:t>
            </w:r>
          </w:p>
        </w:tc>
      </w:tr>
    </w:tbl>
    <w:p>
      <w:pPr>
        <w:spacing w:after="120"/>
      </w:pPr>
    </w:p>
    <w:p>
      <w:pPr>
        <w:pStyle w:val="Heading1"/>
        <w:spacing w:before="200" w:after="120"/>
        <w:jc w:val="left"/>
      </w:pPr>
      <w:r>
        <w:rPr>
          <w:b/>
          <w:color w:val="09090B"/>
          <w:sz w:val="44"/>
        </w:rPr>
        <w:t>9  Appendix — Risks &amp; Handoff</w:t>
      </w:r>
    </w:p>
    <w:p>
      <w:pPr>
        <w:spacing w:after="120" w:before="0" w:line="276" w:lineRule="auto"/>
        <w:jc w:val="left"/>
      </w:pPr>
      <w:r>
        <w:rPr>
          <w:b w:val="0"/>
          <w:i w:val="0"/>
          <w:color w:val="52525B"/>
          <w:sz w:val="16"/>
        </w:rPr>
        <w:t>Open questions: OEM SmartPath breadth beyond Toyota (target 8–12 brands by Phase 4), Canada data residency cells, per-state title forms execution (Vitu handles), legal counsel not provided (tooling only). Risks: incumbent data withholding (mitigated via AZ HB 2418 + Georgia injunction runbook), E7/E8 fixed-ops depth underestimated (explicit P0 gate), E10 vendor-agnostic LLM cost (ML gateway abstraction). Handoff: 14 epics → file mapping E1 store/Shell, E2 AccountingClose, E3 Inventory, E4 Desking, E5 Desking online, E6 CRMInbox, E7 ServiceLane, E8 PartsCounter, E9 DeveloperPortal, E10 AIAgents+ConversationalBI, E11 CommandCenter, E12 DeveloperPortal+Desking, E13 MigrationWorkbench, E14 MobileApps.</w:t>
      </w:r>
    </w:p>
    <w:sectPr w:rsidR="00FC693F" w:rsidRPr="0006063C" w:rsidSect="00034616">
      <w:footerReference w:type="default" r:id="rId9"/>
      <w:pgSz w:w="12240" w:h="15840"/>
      <w:pgMar w:top="576" w:right="720" w:bottom="576" w:left="72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1717A"/>
        <w:sz w:val="14"/>
      </w:rPr>
      <w:t>AutoCore ERP  •  Process Flows Deck  •  System of Record  •  © 2026 Sovereign Auto Group  •  autocore-erp-demo.netlify.app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09090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