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lang w:val="en-GB"/>
        </w:rPr>
        <w:id w:val="405575108"/>
        <w:docPartObj>
          <w:docPartGallery w:val="Cover Pages"/>
          <w:docPartUnique/>
        </w:docPartObj>
      </w:sdtPr>
      <w:sdtEndPr>
        <w:rPr>
          <w:rFonts w:ascii="Arial" w:hAnsi="Arial" w:cs="Arial"/>
          <w:b/>
          <w:bCs/>
          <w:sz w:val="24"/>
          <w:szCs w:val="24"/>
        </w:rPr>
      </w:sdtEndPr>
      <w:sdtContent>
        <w:p w14:paraId="72723096" w14:textId="05B501E4" w:rsidR="003720EA" w:rsidRDefault="003720EA">
          <w:pPr>
            <w:pStyle w:val="NoSpacing"/>
            <w:rPr>
              <w:sz w:val="2"/>
            </w:rPr>
          </w:pPr>
        </w:p>
        <w:p w14:paraId="21BEDA70" w14:textId="77777777" w:rsidR="003720EA" w:rsidRDefault="003720EA">
          <w:r>
            <w:rPr>
              <w:noProof/>
            </w:rPr>
            <mc:AlternateContent>
              <mc:Choice Requires="wps">
                <w:drawing>
                  <wp:anchor distT="0" distB="0" distL="114300" distR="114300" simplePos="0" relativeHeight="251665408" behindDoc="0" locked="0" layoutInCell="1" allowOverlap="1" wp14:anchorId="31CEBC8D" wp14:editId="63243A19">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73B4E5D" w14:textId="6EED4940" w:rsidR="003720EA" w:rsidRDefault="001C0369">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ACFI7009</w:t>
                                    </w:r>
                                  </w:p>
                                </w:sdtContent>
                              </w:sdt>
                              <w:p w14:paraId="0939EA21" w14:textId="4CC08AF1" w:rsidR="003720EA" w:rsidRDefault="0059305F">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1C0369">
                                      <w:rPr>
                                        <w:color w:val="4472C4" w:themeColor="accent1"/>
                                        <w:sz w:val="36"/>
                                        <w:szCs w:val="36"/>
                                      </w:rPr>
                                      <w:t>Corporate Finance</w:t>
                                    </w:r>
                                  </w:sdtContent>
                                </w:sdt>
                                <w:r w:rsidR="003720EA">
                                  <w:rPr>
                                    <w:noProof/>
                                  </w:rPr>
                                  <w:t xml:space="preserve"> </w:t>
                                </w:r>
                              </w:p>
                              <w:p w14:paraId="0DD7AB24" w14:textId="77777777" w:rsidR="003720EA" w:rsidRDefault="003720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1CEBC8D" id="_x0000_t202" coordsize="21600,21600" o:spt="202" path="m,l,21600r21600,l21600,xe">
                    <v:stroke joinstyle="miter"/>
                    <v:path gradientshapeok="t" o:connecttype="rect"/>
                  </v:shapetype>
                  <v:shape id="Text Box 62" o:spid="_x0000_s1026" type="#_x0000_t202" style="position:absolute;margin-left:0;margin-top:0;width:468pt;height:1in;z-index:25166540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73B4E5D" w14:textId="6EED4940" w:rsidR="003720EA" w:rsidRDefault="001C0369">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ACFI7009</w:t>
                              </w:r>
                            </w:p>
                          </w:sdtContent>
                        </w:sdt>
                        <w:p w14:paraId="0939EA21" w14:textId="4CC08AF1" w:rsidR="003720EA" w:rsidRDefault="003720EA">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C0369">
                                <w:rPr>
                                  <w:color w:val="4472C4" w:themeColor="accent1"/>
                                  <w:sz w:val="36"/>
                                  <w:szCs w:val="36"/>
                                </w:rPr>
                                <w:t>Corporate Finance</w:t>
                              </w:r>
                            </w:sdtContent>
                          </w:sdt>
                          <w:r>
                            <w:rPr>
                              <w:noProof/>
                            </w:rPr>
                            <w:t xml:space="preserve"> </w:t>
                          </w:r>
                        </w:p>
                        <w:p w14:paraId="0DD7AB24" w14:textId="77777777" w:rsidR="003720EA" w:rsidRDefault="003720EA"/>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4384" behindDoc="1" locked="0" layoutInCell="1" allowOverlap="1" wp14:anchorId="7FD5B8DB" wp14:editId="4521995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913CFBD" id="Group 2" o:spid="_x0000_s1026" style="position:absolute;margin-left:0;margin-top:0;width:432.65pt;height:448.55pt;z-index:-25165209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3504EBD6" wp14:editId="18D837ED">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0D28F3" w14:textId="5EF43481" w:rsidR="003720EA" w:rsidRDefault="0059305F">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2371AC">
                                      <w:rPr>
                                        <w:color w:val="4472C4" w:themeColor="accent1"/>
                                        <w:sz w:val="36"/>
                                        <w:szCs w:val="36"/>
                                      </w:rPr>
                                      <w:t>STUDENT ID: 19285022</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2E8D2DC" w14:textId="66AD6227" w:rsidR="003720EA" w:rsidRDefault="002371AC">
                                    <w:pPr>
                                      <w:pStyle w:val="NoSpacing"/>
                                      <w:jc w:val="right"/>
                                      <w:rPr>
                                        <w:color w:val="4472C4" w:themeColor="accent1"/>
                                        <w:sz w:val="36"/>
                                        <w:szCs w:val="36"/>
                                      </w:rPr>
                                    </w:pPr>
                                    <w:r>
                                      <w:rPr>
                                        <w:color w:val="4472C4" w:themeColor="accent1"/>
                                        <w:sz w:val="36"/>
                                        <w:szCs w:val="36"/>
                                      </w:rPr>
                                      <w:t>WORD COUNT: 3</w:t>
                                    </w:r>
                                    <w:r w:rsidR="0015214B">
                                      <w:rPr>
                                        <w:color w:val="4472C4" w:themeColor="accent1"/>
                                        <w:sz w:val="36"/>
                                        <w:szCs w:val="36"/>
                                      </w:rPr>
                                      <w:t>535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504EBD6" id="Text Box 69" o:spid="_x0000_s1027" type="#_x0000_t202" style="position:absolute;margin-left:0;margin-top:0;width:468pt;height:29.5pt;z-index:25166336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4B0D28F3" w14:textId="5EF43481" w:rsidR="003720EA" w:rsidRDefault="003720EA">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371AC">
                                <w:rPr>
                                  <w:color w:val="4472C4" w:themeColor="accent1"/>
                                  <w:sz w:val="36"/>
                                  <w:szCs w:val="36"/>
                                </w:rPr>
                                <w:t>STUDENT ID: 19285022</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2E8D2DC" w14:textId="66AD6227" w:rsidR="003720EA" w:rsidRDefault="002371AC">
                              <w:pPr>
                                <w:pStyle w:val="NoSpacing"/>
                                <w:jc w:val="right"/>
                                <w:rPr>
                                  <w:color w:val="4472C4" w:themeColor="accent1"/>
                                  <w:sz w:val="36"/>
                                  <w:szCs w:val="36"/>
                                </w:rPr>
                              </w:pPr>
                              <w:r>
                                <w:rPr>
                                  <w:color w:val="4472C4" w:themeColor="accent1"/>
                                  <w:sz w:val="36"/>
                                  <w:szCs w:val="36"/>
                                </w:rPr>
                                <w:t>WORD COUNT: 3</w:t>
                              </w:r>
                              <w:r w:rsidR="0015214B">
                                <w:rPr>
                                  <w:color w:val="4472C4" w:themeColor="accent1"/>
                                  <w:sz w:val="36"/>
                                  <w:szCs w:val="36"/>
                                </w:rPr>
                                <w:t>535</w:t>
                              </w:r>
                            </w:p>
                          </w:sdtContent>
                        </w:sdt>
                      </w:txbxContent>
                    </v:textbox>
                    <w10:wrap anchorx="page" anchory="margin"/>
                  </v:shape>
                </w:pict>
              </mc:Fallback>
            </mc:AlternateContent>
          </w:r>
        </w:p>
        <w:p w14:paraId="7F70C90E" w14:textId="39E64801" w:rsidR="003720EA" w:rsidRDefault="003720EA">
          <w:pPr>
            <w:rPr>
              <w:rFonts w:ascii="Arial" w:hAnsi="Arial" w:cs="Arial"/>
              <w:b/>
              <w:bCs/>
              <w:sz w:val="24"/>
              <w:szCs w:val="24"/>
            </w:rPr>
          </w:pPr>
          <w:r>
            <w:rPr>
              <w:rFonts w:ascii="Arial" w:hAnsi="Arial" w:cs="Arial"/>
              <w:b/>
              <w:bCs/>
              <w:sz w:val="24"/>
              <w:szCs w:val="24"/>
            </w:rPr>
            <w:br w:type="page"/>
          </w:r>
        </w:p>
      </w:sdtContent>
    </w:sdt>
    <w:p w14:paraId="2440CAE7" w14:textId="77777777" w:rsidR="00AC78B8" w:rsidRDefault="00AC78B8" w:rsidP="00F8653B">
      <w:pPr>
        <w:spacing w:line="360" w:lineRule="auto"/>
        <w:jc w:val="both"/>
        <w:rPr>
          <w:rFonts w:ascii="Arial" w:hAnsi="Arial" w:cs="Arial"/>
          <w:b/>
          <w:bCs/>
          <w:sz w:val="24"/>
          <w:szCs w:val="24"/>
        </w:rPr>
      </w:pPr>
    </w:p>
    <w:p w14:paraId="78D3F1BA" w14:textId="77777777" w:rsidR="00804394" w:rsidRDefault="00804394" w:rsidP="00F8653B">
      <w:pPr>
        <w:spacing w:line="360" w:lineRule="auto"/>
        <w:jc w:val="both"/>
        <w:rPr>
          <w:rFonts w:ascii="Arial" w:hAnsi="Arial" w:cs="Arial"/>
          <w:b/>
          <w:bCs/>
          <w:sz w:val="24"/>
          <w:szCs w:val="24"/>
        </w:rPr>
      </w:pPr>
    </w:p>
    <w:p w14:paraId="2D36DEEC" w14:textId="77777777" w:rsidR="00804394" w:rsidRDefault="00804394" w:rsidP="00F8653B">
      <w:pPr>
        <w:spacing w:line="360" w:lineRule="auto"/>
        <w:jc w:val="both"/>
        <w:rPr>
          <w:rFonts w:ascii="Arial" w:hAnsi="Arial" w:cs="Arial"/>
          <w:b/>
          <w:bCs/>
          <w:sz w:val="24"/>
          <w:szCs w:val="24"/>
        </w:rPr>
      </w:pPr>
    </w:p>
    <w:p w14:paraId="486C1AD5" w14:textId="77777777" w:rsidR="00804394" w:rsidRDefault="00804394" w:rsidP="00F8653B">
      <w:pPr>
        <w:spacing w:line="360" w:lineRule="auto"/>
        <w:jc w:val="both"/>
        <w:rPr>
          <w:rFonts w:ascii="Arial" w:hAnsi="Arial" w:cs="Arial"/>
          <w:b/>
          <w:bCs/>
          <w:sz w:val="24"/>
          <w:szCs w:val="24"/>
        </w:rPr>
      </w:pPr>
    </w:p>
    <w:p w14:paraId="3180F2D4" w14:textId="77777777" w:rsidR="00804394" w:rsidRDefault="00804394" w:rsidP="00F8653B">
      <w:pPr>
        <w:spacing w:line="360" w:lineRule="auto"/>
        <w:jc w:val="both"/>
        <w:rPr>
          <w:rFonts w:ascii="Arial" w:hAnsi="Arial" w:cs="Arial"/>
          <w:b/>
          <w:bCs/>
          <w:sz w:val="24"/>
          <w:szCs w:val="24"/>
        </w:rPr>
      </w:pPr>
    </w:p>
    <w:p w14:paraId="35D3ACDB" w14:textId="77777777" w:rsidR="00804394" w:rsidRDefault="00804394" w:rsidP="00F8653B">
      <w:pPr>
        <w:spacing w:line="360" w:lineRule="auto"/>
        <w:jc w:val="both"/>
        <w:rPr>
          <w:rFonts w:ascii="Arial" w:hAnsi="Arial" w:cs="Arial"/>
          <w:b/>
          <w:bCs/>
          <w:sz w:val="24"/>
          <w:szCs w:val="24"/>
        </w:rPr>
      </w:pPr>
    </w:p>
    <w:p w14:paraId="1ECA8B29" w14:textId="77777777" w:rsidR="00804394" w:rsidRDefault="00804394" w:rsidP="00F8653B">
      <w:pPr>
        <w:spacing w:line="360" w:lineRule="auto"/>
        <w:jc w:val="both"/>
        <w:rPr>
          <w:rFonts w:ascii="Arial" w:hAnsi="Arial" w:cs="Arial"/>
          <w:b/>
          <w:bCs/>
          <w:sz w:val="24"/>
          <w:szCs w:val="24"/>
        </w:rPr>
      </w:pPr>
    </w:p>
    <w:p w14:paraId="0F8695EF" w14:textId="77777777" w:rsidR="003720EA" w:rsidRDefault="003720EA">
      <w:pPr>
        <w:rPr>
          <w:rFonts w:ascii="Arial" w:hAnsi="Arial" w:cs="Arial"/>
          <w:b/>
          <w:bCs/>
          <w:sz w:val="24"/>
          <w:szCs w:val="24"/>
        </w:rPr>
      </w:pPr>
    </w:p>
    <w:p w14:paraId="5627AFF6" w14:textId="733474D2" w:rsidR="00AC7693" w:rsidRPr="00804394" w:rsidRDefault="003F16B4" w:rsidP="00B55E2D">
      <w:pPr>
        <w:jc w:val="center"/>
        <w:rPr>
          <w:rFonts w:ascii="Arial" w:hAnsi="Arial" w:cs="Arial"/>
          <w:b/>
          <w:bCs/>
          <w:sz w:val="44"/>
          <w:szCs w:val="44"/>
        </w:rPr>
      </w:pPr>
      <w:r w:rsidRPr="00804394">
        <w:rPr>
          <w:rFonts w:ascii="Arial" w:hAnsi="Arial" w:cs="Arial"/>
          <w:b/>
          <w:bCs/>
          <w:sz w:val="44"/>
          <w:szCs w:val="44"/>
        </w:rPr>
        <w:t xml:space="preserve">Financial Analysis Of </w:t>
      </w:r>
      <w:r w:rsidR="006164BF" w:rsidRPr="00804394">
        <w:rPr>
          <w:rFonts w:ascii="Arial" w:hAnsi="Arial" w:cs="Arial"/>
          <w:b/>
          <w:bCs/>
          <w:sz w:val="44"/>
          <w:szCs w:val="44"/>
        </w:rPr>
        <w:t xml:space="preserve">Morgan Advanced Material </w:t>
      </w:r>
    </w:p>
    <w:p w14:paraId="65A91BE7" w14:textId="0869032D" w:rsidR="003720EA" w:rsidRPr="00804394" w:rsidRDefault="00AC7693" w:rsidP="00B55E2D">
      <w:pPr>
        <w:jc w:val="center"/>
        <w:rPr>
          <w:rFonts w:ascii="Arial" w:hAnsi="Arial" w:cs="Arial"/>
          <w:b/>
          <w:bCs/>
          <w:sz w:val="28"/>
          <w:szCs w:val="28"/>
        </w:rPr>
      </w:pPr>
      <w:r w:rsidRPr="00804394">
        <w:rPr>
          <w:rFonts w:ascii="Arial" w:hAnsi="Arial" w:cs="Arial"/>
          <w:b/>
          <w:bCs/>
          <w:sz w:val="28"/>
          <w:szCs w:val="28"/>
        </w:rPr>
        <w:t>(</w:t>
      </w:r>
      <w:r w:rsidR="003F16B4" w:rsidRPr="00804394">
        <w:rPr>
          <w:rFonts w:ascii="Arial" w:hAnsi="Arial" w:cs="Arial"/>
          <w:b/>
          <w:bCs/>
          <w:sz w:val="28"/>
          <w:szCs w:val="28"/>
        </w:rPr>
        <w:t>Capital Structure, Financing Strategies</w:t>
      </w:r>
      <w:r w:rsidR="00804394" w:rsidRPr="00804394">
        <w:rPr>
          <w:rFonts w:ascii="Arial" w:hAnsi="Arial" w:cs="Arial"/>
          <w:b/>
          <w:bCs/>
          <w:sz w:val="28"/>
          <w:szCs w:val="28"/>
        </w:rPr>
        <w:t xml:space="preserve"> &amp; Valuation Insights)</w:t>
      </w:r>
      <w:r w:rsidR="003720EA" w:rsidRPr="00804394">
        <w:rPr>
          <w:rFonts w:ascii="Arial" w:hAnsi="Arial" w:cs="Arial"/>
          <w:b/>
          <w:bCs/>
          <w:sz w:val="28"/>
          <w:szCs w:val="28"/>
        </w:rPr>
        <w:br w:type="page"/>
      </w:r>
    </w:p>
    <w:sdt>
      <w:sdtPr>
        <w:rPr>
          <w:rFonts w:asciiTheme="minorHAnsi" w:eastAsiaTheme="minorHAnsi" w:hAnsiTheme="minorHAnsi" w:cstheme="minorBidi"/>
          <w:color w:val="auto"/>
          <w:sz w:val="22"/>
          <w:szCs w:val="22"/>
          <w:lang w:val="en-GB"/>
        </w:rPr>
        <w:id w:val="396401863"/>
        <w:docPartObj>
          <w:docPartGallery w:val="Table of Contents"/>
          <w:docPartUnique/>
        </w:docPartObj>
      </w:sdtPr>
      <w:sdtEndPr>
        <w:rPr>
          <w:b/>
          <w:bCs/>
          <w:noProof/>
        </w:rPr>
      </w:sdtEndPr>
      <w:sdtContent>
        <w:p w14:paraId="678F46B8" w14:textId="740F58D8" w:rsidR="00A70A59" w:rsidRDefault="00A70A59">
          <w:pPr>
            <w:pStyle w:val="TOCHeading"/>
          </w:pPr>
          <w:r>
            <w:t>Contents</w:t>
          </w:r>
        </w:p>
        <w:p w14:paraId="6B75E896" w14:textId="2D590686" w:rsidR="00AC0619" w:rsidRDefault="00A70A5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85149295" w:history="1">
            <w:r w:rsidR="00AC0619" w:rsidRPr="00E535EB">
              <w:rPr>
                <w:rStyle w:val="Hyperlink"/>
                <w:rFonts w:ascii="Arial" w:hAnsi="Arial" w:cs="Arial"/>
                <w:noProof/>
              </w:rPr>
              <w:t>1 Introduction</w:t>
            </w:r>
            <w:r w:rsidR="00AC0619">
              <w:rPr>
                <w:noProof/>
                <w:webHidden/>
              </w:rPr>
              <w:tab/>
            </w:r>
            <w:r w:rsidR="00AC0619">
              <w:rPr>
                <w:noProof/>
                <w:webHidden/>
              </w:rPr>
              <w:fldChar w:fldCharType="begin"/>
            </w:r>
            <w:r w:rsidR="00AC0619">
              <w:rPr>
                <w:noProof/>
                <w:webHidden/>
              </w:rPr>
              <w:instrText xml:space="preserve"> PAGEREF _Toc185149295 \h </w:instrText>
            </w:r>
            <w:r w:rsidR="00AC0619">
              <w:rPr>
                <w:noProof/>
                <w:webHidden/>
              </w:rPr>
            </w:r>
            <w:r w:rsidR="00AC0619">
              <w:rPr>
                <w:noProof/>
                <w:webHidden/>
              </w:rPr>
              <w:fldChar w:fldCharType="separate"/>
            </w:r>
            <w:r w:rsidR="00AC0619">
              <w:rPr>
                <w:noProof/>
                <w:webHidden/>
              </w:rPr>
              <w:t>3</w:t>
            </w:r>
            <w:r w:rsidR="00AC0619">
              <w:rPr>
                <w:noProof/>
                <w:webHidden/>
              </w:rPr>
              <w:fldChar w:fldCharType="end"/>
            </w:r>
          </w:hyperlink>
        </w:p>
        <w:p w14:paraId="2568A4A6" w14:textId="65BC2600" w:rsidR="00AC0619" w:rsidRPr="003760B3" w:rsidRDefault="0059305F">
          <w:pPr>
            <w:pStyle w:val="TOC2"/>
            <w:tabs>
              <w:tab w:val="right" w:leader="dot" w:pos="9016"/>
            </w:tabs>
            <w:rPr>
              <w:noProof/>
            </w:rPr>
          </w:pPr>
          <w:hyperlink w:anchor="_Toc185149296" w:history="1">
            <w:r w:rsidR="00AC0619" w:rsidRPr="003760B3">
              <w:rPr>
                <w:rStyle w:val="Hyperlink"/>
                <w:rFonts w:ascii="Arial" w:hAnsi="Arial" w:cs="Arial"/>
                <w:noProof/>
              </w:rPr>
              <w:t>1.1 Modigliani - Miller Theory</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_Toc185149296 \h </w:instrText>
            </w:r>
            <w:r w:rsidR="00AC0619" w:rsidRPr="003760B3">
              <w:rPr>
                <w:noProof/>
                <w:webHidden/>
              </w:rPr>
            </w:r>
            <w:r w:rsidR="00AC0619" w:rsidRPr="003760B3">
              <w:rPr>
                <w:noProof/>
                <w:webHidden/>
              </w:rPr>
              <w:fldChar w:fldCharType="separate"/>
            </w:r>
            <w:r w:rsidR="00AC0619" w:rsidRPr="003760B3">
              <w:rPr>
                <w:noProof/>
                <w:webHidden/>
              </w:rPr>
              <w:t>3</w:t>
            </w:r>
            <w:r w:rsidR="00AC0619" w:rsidRPr="003760B3">
              <w:rPr>
                <w:noProof/>
                <w:webHidden/>
              </w:rPr>
              <w:fldChar w:fldCharType="end"/>
            </w:r>
          </w:hyperlink>
        </w:p>
        <w:p w14:paraId="3A814C59" w14:textId="79A6EB96" w:rsidR="00AC0619" w:rsidRPr="003760B3" w:rsidRDefault="0059305F">
          <w:pPr>
            <w:pStyle w:val="TOC2"/>
            <w:tabs>
              <w:tab w:val="right" w:leader="dot" w:pos="9016"/>
            </w:tabs>
            <w:rPr>
              <w:noProof/>
            </w:rPr>
          </w:pPr>
          <w:hyperlink w:anchor="_Toc185149297" w:history="1">
            <w:r w:rsidR="00AC0619" w:rsidRPr="003760B3">
              <w:rPr>
                <w:rStyle w:val="Hyperlink"/>
                <w:rFonts w:ascii="Arial" w:hAnsi="Arial" w:cs="Arial"/>
                <w:noProof/>
              </w:rPr>
              <w:t>1.2 Trade-off Theory</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_Toc185149297 \h </w:instrText>
            </w:r>
            <w:r w:rsidR="00AC0619" w:rsidRPr="003760B3">
              <w:rPr>
                <w:noProof/>
                <w:webHidden/>
              </w:rPr>
            </w:r>
            <w:r w:rsidR="00AC0619" w:rsidRPr="003760B3">
              <w:rPr>
                <w:noProof/>
                <w:webHidden/>
              </w:rPr>
              <w:fldChar w:fldCharType="separate"/>
            </w:r>
            <w:r w:rsidR="00AC0619" w:rsidRPr="003760B3">
              <w:rPr>
                <w:noProof/>
                <w:webHidden/>
              </w:rPr>
              <w:t>5</w:t>
            </w:r>
            <w:r w:rsidR="00AC0619" w:rsidRPr="003760B3">
              <w:rPr>
                <w:noProof/>
                <w:webHidden/>
              </w:rPr>
              <w:fldChar w:fldCharType="end"/>
            </w:r>
          </w:hyperlink>
        </w:p>
        <w:p w14:paraId="0D5AB638" w14:textId="512DB1C1" w:rsidR="00AC0619" w:rsidRPr="003760B3" w:rsidRDefault="0059305F">
          <w:pPr>
            <w:pStyle w:val="TOC2"/>
            <w:tabs>
              <w:tab w:val="right" w:leader="dot" w:pos="9016"/>
            </w:tabs>
            <w:rPr>
              <w:noProof/>
            </w:rPr>
          </w:pPr>
          <w:hyperlink w:anchor="_Toc185149298" w:history="1">
            <w:r w:rsidR="00AC0619" w:rsidRPr="003760B3">
              <w:rPr>
                <w:rStyle w:val="Hyperlink"/>
                <w:rFonts w:ascii="Arial" w:hAnsi="Arial" w:cs="Arial"/>
                <w:noProof/>
              </w:rPr>
              <w:t>1.3 Pecking Order Theory</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_Toc185149298 \h </w:instrText>
            </w:r>
            <w:r w:rsidR="00AC0619" w:rsidRPr="003760B3">
              <w:rPr>
                <w:noProof/>
                <w:webHidden/>
              </w:rPr>
            </w:r>
            <w:r w:rsidR="00AC0619" w:rsidRPr="003760B3">
              <w:rPr>
                <w:noProof/>
                <w:webHidden/>
              </w:rPr>
              <w:fldChar w:fldCharType="separate"/>
            </w:r>
            <w:r w:rsidR="00AC0619" w:rsidRPr="003760B3">
              <w:rPr>
                <w:noProof/>
                <w:webHidden/>
              </w:rPr>
              <w:t>5</w:t>
            </w:r>
            <w:r w:rsidR="00AC0619" w:rsidRPr="003760B3">
              <w:rPr>
                <w:noProof/>
                <w:webHidden/>
              </w:rPr>
              <w:fldChar w:fldCharType="end"/>
            </w:r>
          </w:hyperlink>
        </w:p>
        <w:p w14:paraId="6C0D4B8C" w14:textId="246B3933" w:rsidR="00AC0619" w:rsidRPr="003760B3" w:rsidRDefault="0059305F">
          <w:pPr>
            <w:pStyle w:val="TOC2"/>
            <w:tabs>
              <w:tab w:val="right" w:leader="dot" w:pos="9016"/>
            </w:tabs>
            <w:rPr>
              <w:noProof/>
            </w:rPr>
          </w:pPr>
          <w:hyperlink w:anchor="_Toc185149299" w:history="1">
            <w:r w:rsidR="00AC0619" w:rsidRPr="003760B3">
              <w:rPr>
                <w:rStyle w:val="Hyperlink"/>
                <w:rFonts w:ascii="Arial" w:hAnsi="Arial" w:cs="Arial"/>
                <w:noProof/>
              </w:rPr>
              <w:t>1.4 Traditional view</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_Toc185149299 \h </w:instrText>
            </w:r>
            <w:r w:rsidR="00AC0619" w:rsidRPr="003760B3">
              <w:rPr>
                <w:noProof/>
                <w:webHidden/>
              </w:rPr>
            </w:r>
            <w:r w:rsidR="00AC0619" w:rsidRPr="003760B3">
              <w:rPr>
                <w:noProof/>
                <w:webHidden/>
              </w:rPr>
              <w:fldChar w:fldCharType="separate"/>
            </w:r>
            <w:r w:rsidR="00AC0619" w:rsidRPr="003760B3">
              <w:rPr>
                <w:noProof/>
                <w:webHidden/>
              </w:rPr>
              <w:t>6</w:t>
            </w:r>
            <w:r w:rsidR="00AC0619" w:rsidRPr="003760B3">
              <w:rPr>
                <w:noProof/>
                <w:webHidden/>
              </w:rPr>
              <w:fldChar w:fldCharType="end"/>
            </w:r>
          </w:hyperlink>
        </w:p>
        <w:p w14:paraId="55182575" w14:textId="028263F8" w:rsidR="00AC0619" w:rsidRPr="003760B3" w:rsidRDefault="0059305F">
          <w:pPr>
            <w:pStyle w:val="TOC2"/>
            <w:tabs>
              <w:tab w:val="right" w:leader="dot" w:pos="9016"/>
            </w:tabs>
            <w:rPr>
              <w:noProof/>
            </w:rPr>
          </w:pPr>
          <w:hyperlink w:anchor="_Toc185149300" w:history="1">
            <w:r w:rsidR="00AC0619" w:rsidRPr="003760B3">
              <w:rPr>
                <w:rStyle w:val="Hyperlink"/>
                <w:rFonts w:ascii="Arial" w:hAnsi="Arial" w:cs="Arial"/>
                <w:noProof/>
              </w:rPr>
              <w:t>1.5 Funding Strategies of Morgan Advanced Material</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_Toc185149300 \h </w:instrText>
            </w:r>
            <w:r w:rsidR="00AC0619" w:rsidRPr="003760B3">
              <w:rPr>
                <w:noProof/>
                <w:webHidden/>
              </w:rPr>
            </w:r>
            <w:r w:rsidR="00AC0619" w:rsidRPr="003760B3">
              <w:rPr>
                <w:noProof/>
                <w:webHidden/>
              </w:rPr>
              <w:fldChar w:fldCharType="separate"/>
            </w:r>
            <w:r w:rsidR="00AC0619" w:rsidRPr="003760B3">
              <w:rPr>
                <w:noProof/>
                <w:webHidden/>
              </w:rPr>
              <w:t>6</w:t>
            </w:r>
            <w:r w:rsidR="00AC0619" w:rsidRPr="003760B3">
              <w:rPr>
                <w:noProof/>
                <w:webHidden/>
              </w:rPr>
              <w:fldChar w:fldCharType="end"/>
            </w:r>
          </w:hyperlink>
        </w:p>
        <w:p w14:paraId="1A61CD0D" w14:textId="5233C97A" w:rsidR="00AC0619" w:rsidRPr="003760B3" w:rsidRDefault="0059305F">
          <w:pPr>
            <w:pStyle w:val="TOC2"/>
            <w:tabs>
              <w:tab w:val="right" w:leader="dot" w:pos="9016"/>
            </w:tabs>
            <w:rPr>
              <w:noProof/>
            </w:rPr>
          </w:pPr>
          <w:hyperlink w:anchor="_Toc185149301" w:history="1">
            <w:r w:rsidR="00AC0619" w:rsidRPr="003760B3">
              <w:rPr>
                <w:rStyle w:val="Hyperlink"/>
                <w:rFonts w:ascii="Arial" w:hAnsi="Arial" w:cs="Arial"/>
                <w:noProof/>
              </w:rPr>
              <w:t>1.6 Capital structure theories with MAM’s financing strategies (ANALYSIS)</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_Toc185149301 \h </w:instrText>
            </w:r>
            <w:r w:rsidR="00AC0619" w:rsidRPr="003760B3">
              <w:rPr>
                <w:noProof/>
                <w:webHidden/>
              </w:rPr>
            </w:r>
            <w:r w:rsidR="00AC0619" w:rsidRPr="003760B3">
              <w:rPr>
                <w:noProof/>
                <w:webHidden/>
              </w:rPr>
              <w:fldChar w:fldCharType="separate"/>
            </w:r>
            <w:r w:rsidR="00AC0619" w:rsidRPr="003760B3">
              <w:rPr>
                <w:noProof/>
                <w:webHidden/>
              </w:rPr>
              <w:t>7</w:t>
            </w:r>
            <w:r w:rsidR="00AC0619" w:rsidRPr="003760B3">
              <w:rPr>
                <w:noProof/>
                <w:webHidden/>
              </w:rPr>
              <w:fldChar w:fldCharType="end"/>
            </w:r>
          </w:hyperlink>
        </w:p>
        <w:p w14:paraId="35043381" w14:textId="6AC3D35E" w:rsidR="00AC0619" w:rsidRDefault="0059305F">
          <w:pPr>
            <w:pStyle w:val="TOC1"/>
            <w:tabs>
              <w:tab w:val="right" w:leader="dot" w:pos="9016"/>
            </w:tabs>
            <w:rPr>
              <w:rFonts w:eastAsiaTheme="minorEastAsia"/>
              <w:noProof/>
              <w:lang w:eastAsia="en-GB"/>
            </w:rPr>
          </w:pPr>
          <w:hyperlink w:anchor="_Toc185149302" w:history="1">
            <w:r w:rsidR="00AC0619" w:rsidRPr="00E535EB">
              <w:rPr>
                <w:rStyle w:val="Hyperlink"/>
                <w:rFonts w:ascii="Arial" w:hAnsi="Arial" w:cs="Arial"/>
                <w:noProof/>
              </w:rPr>
              <w:t>2 Comparing CAPM and Gordon’s Growth Model for Estimating Cost of Equity</w:t>
            </w:r>
            <w:r w:rsidR="00AC0619">
              <w:rPr>
                <w:noProof/>
                <w:webHidden/>
              </w:rPr>
              <w:tab/>
            </w:r>
            <w:r w:rsidR="00AC0619">
              <w:rPr>
                <w:noProof/>
                <w:webHidden/>
              </w:rPr>
              <w:fldChar w:fldCharType="begin"/>
            </w:r>
            <w:r w:rsidR="00AC0619">
              <w:rPr>
                <w:noProof/>
                <w:webHidden/>
              </w:rPr>
              <w:instrText xml:space="preserve"> PAGEREF _Toc185149302 \h </w:instrText>
            </w:r>
            <w:r w:rsidR="00AC0619">
              <w:rPr>
                <w:noProof/>
                <w:webHidden/>
              </w:rPr>
            </w:r>
            <w:r w:rsidR="00AC0619">
              <w:rPr>
                <w:noProof/>
                <w:webHidden/>
              </w:rPr>
              <w:fldChar w:fldCharType="separate"/>
            </w:r>
            <w:r w:rsidR="00AC0619">
              <w:rPr>
                <w:noProof/>
                <w:webHidden/>
              </w:rPr>
              <w:t>9</w:t>
            </w:r>
            <w:r w:rsidR="00AC0619">
              <w:rPr>
                <w:noProof/>
                <w:webHidden/>
              </w:rPr>
              <w:fldChar w:fldCharType="end"/>
            </w:r>
          </w:hyperlink>
        </w:p>
        <w:p w14:paraId="7D38B626" w14:textId="68F0483D" w:rsidR="00AC0619" w:rsidRDefault="0059305F">
          <w:pPr>
            <w:pStyle w:val="TOC1"/>
            <w:tabs>
              <w:tab w:val="right" w:leader="dot" w:pos="9016"/>
            </w:tabs>
            <w:rPr>
              <w:rFonts w:eastAsiaTheme="minorEastAsia"/>
              <w:noProof/>
              <w:lang w:eastAsia="en-GB"/>
            </w:rPr>
          </w:pPr>
          <w:hyperlink w:anchor="_Toc185149303" w:history="1">
            <w:r w:rsidR="00AC0619" w:rsidRPr="00E535EB">
              <w:rPr>
                <w:rStyle w:val="Hyperlink"/>
                <w:rFonts w:ascii="Arial" w:hAnsi="Arial" w:cs="Arial"/>
                <w:noProof/>
              </w:rPr>
              <w:t>3 Critical Evaluation of P/E and EBITDA Valuation Method</w:t>
            </w:r>
            <w:r w:rsidR="00AC0619">
              <w:rPr>
                <w:noProof/>
                <w:webHidden/>
              </w:rPr>
              <w:tab/>
            </w:r>
            <w:r w:rsidR="00AC0619">
              <w:rPr>
                <w:noProof/>
                <w:webHidden/>
              </w:rPr>
              <w:fldChar w:fldCharType="begin"/>
            </w:r>
            <w:r w:rsidR="00AC0619">
              <w:rPr>
                <w:noProof/>
                <w:webHidden/>
              </w:rPr>
              <w:instrText xml:space="preserve"> PAGEREF _Toc185149303 \h </w:instrText>
            </w:r>
            <w:r w:rsidR="00AC0619">
              <w:rPr>
                <w:noProof/>
                <w:webHidden/>
              </w:rPr>
            </w:r>
            <w:r w:rsidR="00AC0619">
              <w:rPr>
                <w:noProof/>
                <w:webHidden/>
              </w:rPr>
              <w:fldChar w:fldCharType="separate"/>
            </w:r>
            <w:r w:rsidR="00AC0619">
              <w:rPr>
                <w:noProof/>
                <w:webHidden/>
              </w:rPr>
              <w:t>11</w:t>
            </w:r>
            <w:r w:rsidR="00AC0619">
              <w:rPr>
                <w:noProof/>
                <w:webHidden/>
              </w:rPr>
              <w:fldChar w:fldCharType="end"/>
            </w:r>
          </w:hyperlink>
        </w:p>
        <w:p w14:paraId="03B0CB4A" w14:textId="279C199B" w:rsidR="00AC0619" w:rsidRPr="003760B3" w:rsidRDefault="0059305F">
          <w:pPr>
            <w:pStyle w:val="TOC2"/>
            <w:tabs>
              <w:tab w:val="right" w:leader="dot" w:pos="9016"/>
            </w:tabs>
            <w:rPr>
              <w:noProof/>
            </w:rPr>
          </w:pPr>
          <w:hyperlink w:anchor="_Toc185149304" w:history="1">
            <w:r w:rsidR="00AC0619" w:rsidRPr="003760B3">
              <w:rPr>
                <w:rStyle w:val="Hyperlink"/>
                <w:rFonts w:ascii="Arial" w:hAnsi="Arial" w:cs="Arial"/>
                <w:noProof/>
              </w:rPr>
              <w:t>3.1 P/E Ratio Valuation</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_Toc185149304 \h </w:instrText>
            </w:r>
            <w:r w:rsidR="00AC0619" w:rsidRPr="003760B3">
              <w:rPr>
                <w:noProof/>
                <w:webHidden/>
              </w:rPr>
            </w:r>
            <w:r w:rsidR="00AC0619" w:rsidRPr="003760B3">
              <w:rPr>
                <w:noProof/>
                <w:webHidden/>
              </w:rPr>
              <w:fldChar w:fldCharType="separate"/>
            </w:r>
            <w:r w:rsidR="00AC0619" w:rsidRPr="003760B3">
              <w:rPr>
                <w:noProof/>
                <w:webHidden/>
              </w:rPr>
              <w:t>11</w:t>
            </w:r>
            <w:r w:rsidR="00AC0619" w:rsidRPr="003760B3">
              <w:rPr>
                <w:noProof/>
                <w:webHidden/>
              </w:rPr>
              <w:fldChar w:fldCharType="end"/>
            </w:r>
          </w:hyperlink>
        </w:p>
        <w:p w14:paraId="3073968C" w14:textId="24897C06" w:rsidR="00AC0619" w:rsidRPr="003760B3" w:rsidRDefault="0059305F">
          <w:pPr>
            <w:pStyle w:val="TOC2"/>
            <w:tabs>
              <w:tab w:val="right" w:leader="dot" w:pos="9016"/>
            </w:tabs>
            <w:rPr>
              <w:noProof/>
            </w:rPr>
          </w:pPr>
          <w:hyperlink w:anchor="_Toc185149305" w:history="1">
            <w:r w:rsidR="00AC0619" w:rsidRPr="003760B3">
              <w:rPr>
                <w:rStyle w:val="Hyperlink"/>
                <w:rFonts w:ascii="Arial" w:hAnsi="Arial" w:cs="Arial"/>
                <w:noProof/>
              </w:rPr>
              <w:t>3.2 Valuation Using EBITDA Multiple</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_Toc185149305 \h </w:instrText>
            </w:r>
            <w:r w:rsidR="00AC0619" w:rsidRPr="003760B3">
              <w:rPr>
                <w:noProof/>
                <w:webHidden/>
              </w:rPr>
            </w:r>
            <w:r w:rsidR="00AC0619" w:rsidRPr="003760B3">
              <w:rPr>
                <w:noProof/>
                <w:webHidden/>
              </w:rPr>
              <w:fldChar w:fldCharType="separate"/>
            </w:r>
            <w:r w:rsidR="00AC0619" w:rsidRPr="003760B3">
              <w:rPr>
                <w:noProof/>
                <w:webHidden/>
              </w:rPr>
              <w:t>12</w:t>
            </w:r>
            <w:r w:rsidR="00AC0619" w:rsidRPr="003760B3">
              <w:rPr>
                <w:noProof/>
                <w:webHidden/>
              </w:rPr>
              <w:fldChar w:fldCharType="end"/>
            </w:r>
          </w:hyperlink>
        </w:p>
        <w:p w14:paraId="5D634955" w14:textId="567400B4" w:rsidR="00AC0619" w:rsidRPr="003760B3" w:rsidRDefault="0059305F">
          <w:pPr>
            <w:pStyle w:val="TOC2"/>
            <w:tabs>
              <w:tab w:val="right" w:leader="dot" w:pos="9016"/>
            </w:tabs>
            <w:rPr>
              <w:noProof/>
            </w:rPr>
          </w:pPr>
          <w:hyperlink w:anchor="_Toc185149306" w:history="1">
            <w:r w:rsidR="00AC0619" w:rsidRPr="003760B3">
              <w:rPr>
                <w:rStyle w:val="Hyperlink"/>
                <w:rFonts w:ascii="Arial" w:hAnsi="Arial" w:cs="Arial"/>
                <w:noProof/>
              </w:rPr>
              <w:t>3.3 Comparison with Trade Share Price</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_Toc185149306 \h </w:instrText>
            </w:r>
            <w:r w:rsidR="00AC0619" w:rsidRPr="003760B3">
              <w:rPr>
                <w:noProof/>
                <w:webHidden/>
              </w:rPr>
            </w:r>
            <w:r w:rsidR="00AC0619" w:rsidRPr="003760B3">
              <w:rPr>
                <w:noProof/>
                <w:webHidden/>
              </w:rPr>
              <w:fldChar w:fldCharType="separate"/>
            </w:r>
            <w:r w:rsidR="00AC0619" w:rsidRPr="003760B3">
              <w:rPr>
                <w:noProof/>
                <w:webHidden/>
              </w:rPr>
              <w:t>12</w:t>
            </w:r>
            <w:r w:rsidR="00AC0619" w:rsidRPr="003760B3">
              <w:rPr>
                <w:noProof/>
                <w:webHidden/>
              </w:rPr>
              <w:fldChar w:fldCharType="end"/>
            </w:r>
          </w:hyperlink>
        </w:p>
        <w:p w14:paraId="45011EDD" w14:textId="75083B0C" w:rsidR="00AC0619" w:rsidRPr="003760B3" w:rsidRDefault="0059305F">
          <w:pPr>
            <w:pStyle w:val="TOC2"/>
            <w:tabs>
              <w:tab w:val="right" w:leader="dot" w:pos="9016"/>
            </w:tabs>
            <w:rPr>
              <w:noProof/>
            </w:rPr>
          </w:pPr>
          <w:hyperlink w:anchor="_Toc185149307" w:history="1">
            <w:r w:rsidR="00AC0619" w:rsidRPr="003760B3">
              <w:rPr>
                <w:rStyle w:val="Hyperlink"/>
                <w:rFonts w:ascii="Arial" w:hAnsi="Arial" w:cs="Arial"/>
                <w:noProof/>
              </w:rPr>
              <w:t>3.4 Insights and Challenges of P/E and EBITDA Valuation</w:t>
            </w:r>
            <w:r w:rsidR="00AC0619" w:rsidRPr="003760B3">
              <w:rPr>
                <w:noProof/>
                <w:webHidden/>
              </w:rPr>
              <w:tab/>
            </w:r>
            <w:r w:rsidR="00AC0619" w:rsidRPr="003760B3">
              <w:rPr>
                <w:noProof/>
                <w:webHidden/>
              </w:rPr>
              <w:fldChar w:fldCharType="begin"/>
            </w:r>
            <w:r w:rsidR="00AC0619" w:rsidRPr="003760B3">
              <w:rPr>
                <w:noProof/>
                <w:webHidden/>
              </w:rPr>
              <w:instrText xml:space="preserve"> PAGEREF _Toc185149307 \h </w:instrText>
            </w:r>
            <w:r w:rsidR="00AC0619" w:rsidRPr="003760B3">
              <w:rPr>
                <w:noProof/>
                <w:webHidden/>
              </w:rPr>
            </w:r>
            <w:r w:rsidR="00AC0619" w:rsidRPr="003760B3">
              <w:rPr>
                <w:noProof/>
                <w:webHidden/>
              </w:rPr>
              <w:fldChar w:fldCharType="separate"/>
            </w:r>
            <w:r w:rsidR="00AC0619" w:rsidRPr="003760B3">
              <w:rPr>
                <w:noProof/>
                <w:webHidden/>
              </w:rPr>
              <w:t>13</w:t>
            </w:r>
            <w:r w:rsidR="00AC0619" w:rsidRPr="003760B3">
              <w:rPr>
                <w:noProof/>
                <w:webHidden/>
              </w:rPr>
              <w:fldChar w:fldCharType="end"/>
            </w:r>
          </w:hyperlink>
        </w:p>
        <w:p w14:paraId="5709EE15" w14:textId="0BF7CE40" w:rsidR="00AC0619" w:rsidRDefault="0059305F">
          <w:pPr>
            <w:pStyle w:val="TOC1"/>
            <w:tabs>
              <w:tab w:val="right" w:leader="dot" w:pos="9016"/>
            </w:tabs>
            <w:rPr>
              <w:rFonts w:eastAsiaTheme="minorEastAsia"/>
              <w:noProof/>
              <w:lang w:eastAsia="en-GB"/>
            </w:rPr>
          </w:pPr>
          <w:hyperlink w:anchor="_Toc185149308" w:history="1">
            <w:r w:rsidR="00AC0619" w:rsidRPr="00E535EB">
              <w:rPr>
                <w:rStyle w:val="Hyperlink"/>
                <w:rFonts w:ascii="Arial" w:hAnsi="Arial" w:cs="Arial"/>
                <w:noProof/>
              </w:rPr>
              <w:t>4 Conclusion</w:t>
            </w:r>
            <w:r w:rsidR="00AC0619">
              <w:rPr>
                <w:noProof/>
                <w:webHidden/>
              </w:rPr>
              <w:tab/>
            </w:r>
            <w:r w:rsidR="00AC0619">
              <w:rPr>
                <w:noProof/>
                <w:webHidden/>
              </w:rPr>
              <w:fldChar w:fldCharType="begin"/>
            </w:r>
            <w:r w:rsidR="00AC0619">
              <w:rPr>
                <w:noProof/>
                <w:webHidden/>
              </w:rPr>
              <w:instrText xml:space="preserve"> PAGEREF _Toc185149308 \h </w:instrText>
            </w:r>
            <w:r w:rsidR="00AC0619">
              <w:rPr>
                <w:noProof/>
                <w:webHidden/>
              </w:rPr>
            </w:r>
            <w:r w:rsidR="00AC0619">
              <w:rPr>
                <w:noProof/>
                <w:webHidden/>
              </w:rPr>
              <w:fldChar w:fldCharType="separate"/>
            </w:r>
            <w:r w:rsidR="00AC0619">
              <w:rPr>
                <w:noProof/>
                <w:webHidden/>
              </w:rPr>
              <w:t>13</w:t>
            </w:r>
            <w:r w:rsidR="00AC0619">
              <w:rPr>
                <w:noProof/>
                <w:webHidden/>
              </w:rPr>
              <w:fldChar w:fldCharType="end"/>
            </w:r>
          </w:hyperlink>
        </w:p>
        <w:p w14:paraId="32FF87C0" w14:textId="5EF5CB9B" w:rsidR="00AC0619" w:rsidRDefault="0059305F">
          <w:pPr>
            <w:pStyle w:val="TOC1"/>
            <w:tabs>
              <w:tab w:val="right" w:leader="dot" w:pos="9016"/>
            </w:tabs>
            <w:rPr>
              <w:rFonts w:eastAsiaTheme="minorEastAsia"/>
              <w:noProof/>
              <w:lang w:eastAsia="en-GB"/>
            </w:rPr>
          </w:pPr>
          <w:hyperlink w:anchor="_Toc185149309" w:history="1">
            <w:r w:rsidR="00AC0619" w:rsidRPr="00E535EB">
              <w:rPr>
                <w:rStyle w:val="Hyperlink"/>
                <w:rFonts w:ascii="Arial" w:hAnsi="Arial" w:cs="Arial"/>
                <w:noProof/>
              </w:rPr>
              <w:t>5 Reference List</w:t>
            </w:r>
            <w:r w:rsidR="00AC0619">
              <w:rPr>
                <w:noProof/>
                <w:webHidden/>
              </w:rPr>
              <w:tab/>
            </w:r>
            <w:r w:rsidR="00AC0619">
              <w:rPr>
                <w:noProof/>
                <w:webHidden/>
              </w:rPr>
              <w:fldChar w:fldCharType="begin"/>
            </w:r>
            <w:r w:rsidR="00AC0619">
              <w:rPr>
                <w:noProof/>
                <w:webHidden/>
              </w:rPr>
              <w:instrText xml:space="preserve"> PAGEREF _Toc185149309 \h </w:instrText>
            </w:r>
            <w:r w:rsidR="00AC0619">
              <w:rPr>
                <w:noProof/>
                <w:webHidden/>
              </w:rPr>
            </w:r>
            <w:r w:rsidR="00AC0619">
              <w:rPr>
                <w:noProof/>
                <w:webHidden/>
              </w:rPr>
              <w:fldChar w:fldCharType="separate"/>
            </w:r>
            <w:r w:rsidR="00AC0619">
              <w:rPr>
                <w:noProof/>
                <w:webHidden/>
              </w:rPr>
              <w:t>14</w:t>
            </w:r>
            <w:r w:rsidR="00AC0619">
              <w:rPr>
                <w:noProof/>
                <w:webHidden/>
              </w:rPr>
              <w:fldChar w:fldCharType="end"/>
            </w:r>
          </w:hyperlink>
        </w:p>
        <w:p w14:paraId="7E98F607" w14:textId="1007AEB7" w:rsidR="00A70A59" w:rsidRDefault="00A70A59">
          <w:r>
            <w:rPr>
              <w:b/>
              <w:bCs/>
              <w:noProof/>
            </w:rPr>
            <w:fldChar w:fldCharType="end"/>
          </w:r>
        </w:p>
      </w:sdtContent>
    </w:sdt>
    <w:p w14:paraId="753A7149" w14:textId="14AF3729" w:rsidR="00AC78B8" w:rsidRDefault="00AC78B8">
      <w:pPr>
        <w:rPr>
          <w:rFonts w:ascii="Arial" w:hAnsi="Arial" w:cs="Arial"/>
          <w:b/>
          <w:bCs/>
          <w:sz w:val="24"/>
          <w:szCs w:val="24"/>
        </w:rPr>
      </w:pPr>
      <w:r>
        <w:rPr>
          <w:rFonts w:ascii="Arial" w:hAnsi="Arial" w:cs="Arial"/>
          <w:b/>
          <w:bCs/>
          <w:sz w:val="24"/>
          <w:szCs w:val="24"/>
        </w:rPr>
        <w:br w:type="page"/>
      </w:r>
    </w:p>
    <w:p w14:paraId="290F9F56" w14:textId="53FE8053" w:rsidR="00F8653B" w:rsidRPr="005A2C03" w:rsidRDefault="00A70A59" w:rsidP="005A2C03">
      <w:pPr>
        <w:pStyle w:val="Heading1"/>
        <w:rPr>
          <w:rFonts w:ascii="Arial" w:hAnsi="Arial" w:cs="Arial"/>
          <w:sz w:val="24"/>
          <w:szCs w:val="24"/>
        </w:rPr>
      </w:pPr>
      <w:bookmarkStart w:id="0" w:name="_Toc185149295"/>
      <w:r w:rsidRPr="005A2C03">
        <w:rPr>
          <w:rFonts w:ascii="Arial" w:hAnsi="Arial" w:cs="Arial"/>
          <w:sz w:val="24"/>
          <w:szCs w:val="24"/>
        </w:rPr>
        <w:lastRenderedPageBreak/>
        <w:t xml:space="preserve">1 </w:t>
      </w:r>
      <w:r w:rsidR="00F8653B" w:rsidRPr="005A2C03">
        <w:rPr>
          <w:rFonts w:ascii="Arial" w:hAnsi="Arial" w:cs="Arial"/>
          <w:sz w:val="24"/>
          <w:szCs w:val="24"/>
        </w:rPr>
        <w:t>Introduction</w:t>
      </w:r>
      <w:bookmarkEnd w:id="0"/>
    </w:p>
    <w:p w14:paraId="5928B81F" w14:textId="71005781" w:rsidR="00F8653B" w:rsidRDefault="00901352" w:rsidP="00F8653B">
      <w:pPr>
        <w:spacing w:line="360" w:lineRule="auto"/>
        <w:jc w:val="both"/>
        <w:rPr>
          <w:rFonts w:ascii="Arial" w:hAnsi="Arial" w:cs="Arial"/>
        </w:rPr>
      </w:pPr>
      <w:r>
        <w:rPr>
          <w:rFonts w:ascii="Arial" w:hAnsi="Arial" w:cs="Arial"/>
        </w:rPr>
        <w:t>A company's capital structure, the combination of debt and equity used to fund its operation, is a key part of corporate finance</w:t>
      </w:r>
      <w:r w:rsidR="00BD483F">
        <w:rPr>
          <w:rFonts w:ascii="Arial" w:hAnsi="Arial" w:cs="Arial"/>
        </w:rPr>
        <w:t xml:space="preserve"> </w:t>
      </w:r>
      <w:r w:rsidR="00BD483F" w:rsidRPr="00BD483F">
        <w:rPr>
          <w:rFonts w:ascii="Arial" w:hAnsi="Arial" w:cs="Arial"/>
        </w:rPr>
        <w:t>(Myers, 2001)</w:t>
      </w:r>
      <w:r>
        <w:rPr>
          <w:rFonts w:ascii="Arial" w:hAnsi="Arial" w:cs="Arial"/>
        </w:rPr>
        <w:t xml:space="preserve">. The selection of a capital structure can </w:t>
      </w:r>
      <w:r w:rsidR="000861EB">
        <w:rPr>
          <w:rFonts w:ascii="Arial" w:hAnsi="Arial" w:cs="Arial"/>
        </w:rPr>
        <w:t>affect</w:t>
      </w:r>
      <w:r>
        <w:rPr>
          <w:rFonts w:ascii="Arial" w:hAnsi="Arial" w:cs="Arial"/>
        </w:rPr>
        <w:t xml:space="preserve"> the cost of capital, risk profile</w:t>
      </w:r>
      <w:r w:rsidR="00F63277">
        <w:rPr>
          <w:rFonts w:ascii="Arial" w:hAnsi="Arial" w:cs="Arial"/>
        </w:rPr>
        <w:t>, and overall financial performance. Research in corporate finance has focused on acknowledging the factors that affect the decision-making process for a firm’s capital structure</w:t>
      </w:r>
      <w:r>
        <w:rPr>
          <w:rFonts w:ascii="Arial" w:hAnsi="Arial" w:cs="Arial"/>
        </w:rPr>
        <w:t>.</w:t>
      </w:r>
    </w:p>
    <w:p w14:paraId="01DF0F9C" w14:textId="76C38F87" w:rsidR="00980E0A" w:rsidRDefault="00980E0A" w:rsidP="00F8653B">
      <w:pPr>
        <w:spacing w:line="360" w:lineRule="auto"/>
        <w:jc w:val="both"/>
        <w:rPr>
          <w:rFonts w:ascii="Arial" w:hAnsi="Arial" w:cs="Arial"/>
        </w:rPr>
      </w:pPr>
      <w:r>
        <w:rPr>
          <w:rFonts w:ascii="Arial" w:hAnsi="Arial" w:cs="Arial"/>
        </w:rPr>
        <w:t>Agency theory is an additional tool</w:t>
      </w:r>
      <w:r w:rsidR="00B04B70">
        <w:rPr>
          <w:rFonts w:ascii="Arial" w:hAnsi="Arial" w:cs="Arial"/>
        </w:rPr>
        <w:t xml:space="preserve"> that can give a better theoretical perspective to help the decision with capital structuring. </w:t>
      </w:r>
      <w:r w:rsidR="00B04B70" w:rsidRPr="00804394">
        <w:rPr>
          <w:rFonts w:ascii="Arial" w:hAnsi="Arial" w:cs="Arial"/>
        </w:rPr>
        <w:t>Jensen and Meckling (1976)</w:t>
      </w:r>
      <w:r w:rsidR="00B04B70">
        <w:rPr>
          <w:rFonts w:ascii="Arial" w:hAnsi="Arial" w:cs="Arial"/>
        </w:rPr>
        <w:t xml:space="preserve"> </w:t>
      </w:r>
      <w:r w:rsidR="006D7CA6">
        <w:rPr>
          <w:rFonts w:ascii="Arial" w:hAnsi="Arial" w:cs="Arial"/>
        </w:rPr>
        <w:t xml:space="preserve">enlarged on the previous work of </w:t>
      </w:r>
      <w:r w:rsidR="006D7CA6" w:rsidRPr="00804394">
        <w:rPr>
          <w:rFonts w:ascii="Arial" w:hAnsi="Arial" w:cs="Arial"/>
        </w:rPr>
        <w:t>Fama and Miller (</w:t>
      </w:r>
      <w:r w:rsidR="006B4DFE" w:rsidRPr="00804394">
        <w:rPr>
          <w:rFonts w:ascii="Arial" w:hAnsi="Arial" w:cs="Arial"/>
        </w:rPr>
        <w:t>1972)</w:t>
      </w:r>
      <w:r w:rsidR="006B4DFE">
        <w:rPr>
          <w:rFonts w:ascii="Arial" w:hAnsi="Arial" w:cs="Arial"/>
        </w:rPr>
        <w:t xml:space="preserve"> </w:t>
      </w:r>
      <w:r w:rsidR="00B04B70">
        <w:rPr>
          <w:rFonts w:ascii="Arial" w:hAnsi="Arial" w:cs="Arial"/>
        </w:rPr>
        <w:t>stated a theory comprised of conflicts</w:t>
      </w:r>
      <w:r w:rsidR="001E7688">
        <w:rPr>
          <w:rFonts w:ascii="Arial" w:hAnsi="Arial" w:cs="Arial"/>
        </w:rPr>
        <w:t xml:space="preserve"> and disagreements</w:t>
      </w:r>
      <w:r w:rsidR="00B04B70">
        <w:rPr>
          <w:rFonts w:ascii="Arial" w:hAnsi="Arial" w:cs="Arial"/>
        </w:rPr>
        <w:t xml:space="preserve"> between the principles (shareholders) and agents (managers) in corporate finance decision-making.</w:t>
      </w:r>
      <w:r w:rsidR="00E45D4E">
        <w:rPr>
          <w:rFonts w:ascii="Arial" w:hAnsi="Arial" w:cs="Arial"/>
        </w:rPr>
        <w:t xml:space="preserve"> From the perspective of capital structure, agency theory suggests that a combination of debt and equity can be a governance mechanism for bringing the interest of managers with the shareholders</w:t>
      </w:r>
      <w:r w:rsidR="000238D2">
        <w:rPr>
          <w:rFonts w:ascii="Arial" w:hAnsi="Arial" w:cs="Arial"/>
        </w:rPr>
        <w:t xml:space="preserve"> and to reduce the conflicts to arise.</w:t>
      </w:r>
    </w:p>
    <w:p w14:paraId="78FF3389" w14:textId="194014F7" w:rsidR="00901352" w:rsidRDefault="00901352" w:rsidP="00F8653B">
      <w:pPr>
        <w:spacing w:line="360" w:lineRule="auto"/>
        <w:jc w:val="both"/>
        <w:rPr>
          <w:rFonts w:ascii="Arial" w:hAnsi="Arial" w:cs="Arial"/>
        </w:rPr>
      </w:pPr>
      <w:r>
        <w:rPr>
          <w:rFonts w:ascii="Arial" w:hAnsi="Arial" w:cs="Arial"/>
        </w:rPr>
        <w:t xml:space="preserve">This analysis </w:t>
      </w:r>
      <w:r w:rsidR="007505E9">
        <w:rPr>
          <w:rFonts w:ascii="Arial" w:hAnsi="Arial" w:cs="Arial"/>
        </w:rPr>
        <w:t>reviews</w:t>
      </w:r>
      <w:r w:rsidR="008338BB">
        <w:rPr>
          <w:rFonts w:ascii="Arial" w:hAnsi="Arial" w:cs="Arial"/>
        </w:rPr>
        <w:t xml:space="preserve"> Morgan Advanced Material's (MAM) capital structure, a leading manufacturer of advanced ceramics, carbon, composites, and other high-performance materials. The analysis is performed along with studying the main capital structure theories, such as Modigliani-Miller (MM) theory, pecking order theory, traditional view,</w:t>
      </w:r>
      <w:r w:rsidR="003F1369">
        <w:rPr>
          <w:rFonts w:ascii="Arial" w:hAnsi="Arial" w:cs="Arial"/>
        </w:rPr>
        <w:t xml:space="preserve"> and trade-off theory. Furthermore, the analysis includes applicable financial ratios and practitioner insights to provide an in-depth valuation of MAM’s financial choices.</w:t>
      </w:r>
      <w:r w:rsidR="00B04B70">
        <w:rPr>
          <w:rFonts w:ascii="Arial" w:hAnsi="Arial" w:cs="Arial"/>
        </w:rPr>
        <w:t xml:space="preserve"> </w:t>
      </w:r>
    </w:p>
    <w:p w14:paraId="4A9A48A3" w14:textId="77777777" w:rsidR="008C37A0" w:rsidRDefault="008C37A0" w:rsidP="00F8653B">
      <w:pPr>
        <w:spacing w:line="360" w:lineRule="auto"/>
        <w:jc w:val="both"/>
        <w:rPr>
          <w:rFonts w:ascii="Arial" w:hAnsi="Arial" w:cs="Arial"/>
        </w:rPr>
      </w:pPr>
    </w:p>
    <w:p w14:paraId="5051904E" w14:textId="1BE17C8B" w:rsidR="008C37A0" w:rsidRDefault="008C37A0" w:rsidP="00F8653B">
      <w:pPr>
        <w:spacing w:line="360" w:lineRule="auto"/>
        <w:jc w:val="both"/>
        <w:rPr>
          <w:rFonts w:ascii="Arial" w:hAnsi="Arial" w:cs="Arial"/>
          <w:b/>
          <w:bCs/>
          <w:sz w:val="24"/>
          <w:szCs w:val="24"/>
        </w:rPr>
      </w:pPr>
      <w:r w:rsidRPr="008C37A0">
        <w:rPr>
          <w:rFonts w:ascii="Arial" w:hAnsi="Arial" w:cs="Arial"/>
          <w:b/>
          <w:bCs/>
          <w:sz w:val="24"/>
          <w:szCs w:val="24"/>
        </w:rPr>
        <w:t>Key Theories of Capital Structure</w:t>
      </w:r>
    </w:p>
    <w:p w14:paraId="62456FFD" w14:textId="2FA41383" w:rsidR="008B2F47" w:rsidRDefault="00A551C1" w:rsidP="00C41316">
      <w:pPr>
        <w:pStyle w:val="Heading2"/>
        <w:rPr>
          <w:rFonts w:ascii="Arial" w:hAnsi="Arial" w:cs="Arial"/>
          <w:b/>
          <w:bCs/>
          <w:color w:val="auto"/>
          <w:sz w:val="22"/>
          <w:szCs w:val="22"/>
        </w:rPr>
      </w:pPr>
      <w:bookmarkStart w:id="1" w:name="_Toc185149296"/>
      <w:r w:rsidRPr="00C41316">
        <w:rPr>
          <w:rFonts w:ascii="Arial" w:hAnsi="Arial" w:cs="Arial"/>
          <w:b/>
          <w:bCs/>
          <w:color w:val="auto"/>
          <w:sz w:val="22"/>
          <w:szCs w:val="22"/>
        </w:rPr>
        <w:t xml:space="preserve">1.1 </w:t>
      </w:r>
      <w:r w:rsidR="008B2F47" w:rsidRPr="00C41316">
        <w:rPr>
          <w:rFonts w:ascii="Arial" w:hAnsi="Arial" w:cs="Arial"/>
          <w:b/>
          <w:bCs/>
          <w:color w:val="auto"/>
          <w:sz w:val="22"/>
          <w:szCs w:val="22"/>
        </w:rPr>
        <w:t>Modigliani - Miller Theory</w:t>
      </w:r>
      <w:bookmarkEnd w:id="1"/>
    </w:p>
    <w:p w14:paraId="64DCEDBF" w14:textId="77777777" w:rsidR="00C41316" w:rsidRPr="00C41316" w:rsidRDefault="00C41316" w:rsidP="00C41316"/>
    <w:p w14:paraId="74237CC4" w14:textId="7EF4BA70" w:rsidR="009F63B8" w:rsidRDefault="0057207F" w:rsidP="00F8653B">
      <w:pPr>
        <w:spacing w:line="360" w:lineRule="auto"/>
        <w:jc w:val="both"/>
        <w:rPr>
          <w:rFonts w:ascii="Arial" w:hAnsi="Arial" w:cs="Arial"/>
        </w:rPr>
      </w:pPr>
      <w:r>
        <w:rPr>
          <w:rFonts w:ascii="Arial" w:hAnsi="Arial" w:cs="Arial"/>
        </w:rPr>
        <w:t xml:space="preserve">Modigliani-Miller </w:t>
      </w:r>
      <w:r w:rsidR="00A93D06">
        <w:rPr>
          <w:rFonts w:ascii="Arial" w:hAnsi="Arial" w:cs="Arial"/>
        </w:rPr>
        <w:t xml:space="preserve">(MM) </w:t>
      </w:r>
      <w:r>
        <w:rPr>
          <w:rFonts w:ascii="Arial" w:hAnsi="Arial" w:cs="Arial"/>
        </w:rPr>
        <w:t>theor</w:t>
      </w:r>
      <w:r w:rsidR="00A93D06">
        <w:rPr>
          <w:rFonts w:ascii="Arial" w:hAnsi="Arial" w:cs="Arial"/>
        </w:rPr>
        <w:t>y</w:t>
      </w:r>
      <w:r w:rsidR="005A332C">
        <w:rPr>
          <w:rFonts w:ascii="Arial" w:hAnsi="Arial" w:cs="Arial"/>
        </w:rPr>
        <w:t xml:space="preserve"> also known as </w:t>
      </w:r>
      <w:r w:rsidR="006C26A4">
        <w:rPr>
          <w:rFonts w:ascii="Arial" w:hAnsi="Arial" w:cs="Arial"/>
        </w:rPr>
        <w:t xml:space="preserve">the </w:t>
      </w:r>
      <w:r w:rsidR="00A31E69">
        <w:rPr>
          <w:rFonts w:ascii="Arial" w:hAnsi="Arial" w:cs="Arial"/>
        </w:rPr>
        <w:t xml:space="preserve">“No Magic </w:t>
      </w:r>
      <w:r w:rsidR="00E5740A">
        <w:rPr>
          <w:rFonts w:ascii="Arial" w:hAnsi="Arial" w:cs="Arial"/>
        </w:rPr>
        <w:t xml:space="preserve">In </w:t>
      </w:r>
      <w:r w:rsidR="00A31E69">
        <w:rPr>
          <w:rFonts w:ascii="Arial" w:hAnsi="Arial" w:cs="Arial"/>
        </w:rPr>
        <w:t>Leverage Theor</w:t>
      </w:r>
      <w:r w:rsidR="00E5740A">
        <w:rPr>
          <w:rFonts w:ascii="Arial" w:hAnsi="Arial" w:cs="Arial"/>
        </w:rPr>
        <w:t>em</w:t>
      </w:r>
      <w:r w:rsidR="006C26A4">
        <w:rPr>
          <w:rFonts w:ascii="Arial" w:hAnsi="Arial" w:cs="Arial"/>
        </w:rPr>
        <w:t>”</w:t>
      </w:r>
      <w:r>
        <w:rPr>
          <w:rFonts w:ascii="Arial" w:hAnsi="Arial" w:cs="Arial"/>
        </w:rPr>
        <w:t>, was created by</w:t>
      </w:r>
      <w:r w:rsidR="00392A32">
        <w:rPr>
          <w:rFonts w:ascii="Arial" w:hAnsi="Arial" w:cs="Arial"/>
        </w:rPr>
        <w:t xml:space="preserve"> </w:t>
      </w:r>
      <w:r w:rsidR="00392A32" w:rsidRPr="000B5916">
        <w:rPr>
          <w:rFonts w:ascii="Arial" w:hAnsi="Arial" w:cs="Arial"/>
        </w:rPr>
        <w:t xml:space="preserve">Modigliani and Miller (1963), </w:t>
      </w:r>
      <w:r w:rsidR="0030462E" w:rsidRPr="000B5916">
        <w:rPr>
          <w:rFonts w:ascii="Arial" w:hAnsi="Arial" w:cs="Arial"/>
        </w:rPr>
        <w:t>a</w:t>
      </w:r>
      <w:r w:rsidR="0030462E">
        <w:rPr>
          <w:rFonts w:ascii="Arial" w:hAnsi="Arial" w:cs="Arial"/>
        </w:rPr>
        <w:t xml:space="preserve"> new approach was introduced that theory by stating that a company’s value is independent of capital structure if </w:t>
      </w:r>
      <w:r w:rsidR="00AA0A1C">
        <w:rPr>
          <w:rFonts w:ascii="Arial" w:hAnsi="Arial" w:cs="Arial"/>
        </w:rPr>
        <w:t xml:space="preserve">perfect capital markets, no tax, and no bankruptcy expenses are met. </w:t>
      </w:r>
      <w:r w:rsidR="006A2D6F">
        <w:rPr>
          <w:rFonts w:ascii="Arial" w:hAnsi="Arial" w:cs="Arial"/>
        </w:rPr>
        <w:t xml:space="preserve">Modigliani and Miller made up two theorems, which belong to the MM proposition </w:t>
      </w:r>
      <w:r w:rsidR="007313BA">
        <w:rPr>
          <w:rFonts w:ascii="Arial" w:hAnsi="Arial" w:cs="Arial"/>
        </w:rPr>
        <w:t xml:space="preserve">I and proposition II </w:t>
      </w:r>
      <w:r w:rsidR="004751EB">
        <w:rPr>
          <w:rFonts w:ascii="Arial" w:hAnsi="Arial" w:cs="Arial"/>
        </w:rPr>
        <w:t>and initiated another direction to the theories</w:t>
      </w:r>
      <w:r w:rsidR="00701358">
        <w:rPr>
          <w:rFonts w:ascii="Arial" w:hAnsi="Arial" w:cs="Arial"/>
        </w:rPr>
        <w:t xml:space="preserve"> they both assume in the condition of both adding taxes and without taxes</w:t>
      </w:r>
      <w:r w:rsidR="00373B45">
        <w:rPr>
          <w:rFonts w:ascii="Arial" w:hAnsi="Arial" w:cs="Arial"/>
        </w:rPr>
        <w:t>.</w:t>
      </w:r>
    </w:p>
    <w:p w14:paraId="1A66CB09" w14:textId="77777777" w:rsidR="008B2F47" w:rsidRDefault="008B2F47" w:rsidP="00F8653B">
      <w:pPr>
        <w:spacing w:line="360" w:lineRule="auto"/>
        <w:jc w:val="both"/>
        <w:rPr>
          <w:rFonts w:ascii="Arial" w:hAnsi="Arial" w:cs="Arial"/>
          <w:b/>
          <w:bCs/>
        </w:rPr>
      </w:pPr>
    </w:p>
    <w:p w14:paraId="18BA0EE6" w14:textId="77777777" w:rsidR="008B2F47" w:rsidRDefault="008B2F47" w:rsidP="00F8653B">
      <w:pPr>
        <w:spacing w:line="360" w:lineRule="auto"/>
        <w:jc w:val="both"/>
        <w:rPr>
          <w:rFonts w:ascii="Arial" w:hAnsi="Arial" w:cs="Arial"/>
          <w:b/>
          <w:bCs/>
        </w:rPr>
      </w:pPr>
    </w:p>
    <w:p w14:paraId="042CD7F3" w14:textId="77777777" w:rsidR="0078026A" w:rsidRDefault="0078026A" w:rsidP="00F8653B">
      <w:pPr>
        <w:spacing w:line="360" w:lineRule="auto"/>
        <w:jc w:val="both"/>
        <w:rPr>
          <w:rFonts w:ascii="Arial" w:hAnsi="Arial" w:cs="Arial"/>
          <w:b/>
          <w:bCs/>
        </w:rPr>
      </w:pPr>
    </w:p>
    <w:p w14:paraId="243A8BAB" w14:textId="77777777" w:rsidR="005A022C" w:rsidRDefault="005A022C" w:rsidP="004C43EB">
      <w:pPr>
        <w:spacing w:line="360" w:lineRule="auto"/>
        <w:jc w:val="both"/>
        <w:rPr>
          <w:rFonts w:ascii="Arial" w:hAnsi="Arial" w:cs="Arial"/>
          <w:b/>
          <w:bCs/>
        </w:rPr>
      </w:pPr>
    </w:p>
    <w:p w14:paraId="655034FF" w14:textId="3479157F" w:rsidR="004C43EB" w:rsidRDefault="004C43EB" w:rsidP="004C43EB">
      <w:pPr>
        <w:spacing w:line="360" w:lineRule="auto"/>
        <w:jc w:val="both"/>
        <w:rPr>
          <w:rFonts w:ascii="Arial" w:hAnsi="Arial" w:cs="Arial"/>
          <w:b/>
          <w:bCs/>
        </w:rPr>
      </w:pPr>
      <w:r w:rsidRPr="000F7BA7">
        <w:rPr>
          <w:rFonts w:ascii="Arial" w:hAnsi="Arial" w:cs="Arial"/>
          <w:b/>
          <w:bCs/>
        </w:rPr>
        <w:t>Proposition I</w:t>
      </w:r>
      <w:r>
        <w:rPr>
          <w:rFonts w:ascii="Arial" w:hAnsi="Arial" w:cs="Arial"/>
          <w:b/>
          <w:bCs/>
        </w:rPr>
        <w:t xml:space="preserve"> (Without Tax)</w:t>
      </w:r>
    </w:p>
    <w:p w14:paraId="7E33CB87" w14:textId="77777777" w:rsidR="004C43EB" w:rsidRDefault="004C43EB" w:rsidP="00F8653B">
      <w:pPr>
        <w:spacing w:line="360" w:lineRule="auto"/>
        <w:jc w:val="both"/>
        <w:rPr>
          <w:rFonts w:ascii="Arial" w:hAnsi="Arial" w:cs="Arial"/>
          <w:b/>
          <w:bCs/>
        </w:rPr>
      </w:pPr>
    </w:p>
    <w:p w14:paraId="761DC36C" w14:textId="2413F215" w:rsidR="00A00C4D" w:rsidRDefault="00A00C4D" w:rsidP="00F8653B">
      <w:pPr>
        <w:spacing w:line="360" w:lineRule="auto"/>
        <w:jc w:val="both"/>
        <w:rPr>
          <w:rFonts w:ascii="Arial" w:hAnsi="Arial" w:cs="Arial"/>
          <w:b/>
          <w:bCs/>
        </w:rPr>
      </w:pPr>
      <w:r>
        <w:rPr>
          <w:rFonts w:ascii="Arial" w:hAnsi="Arial" w:cs="Arial"/>
          <w:b/>
          <w:bCs/>
          <w:noProof/>
        </w:rPr>
        <w:drawing>
          <wp:anchor distT="0" distB="0" distL="114300" distR="114300" simplePos="0" relativeHeight="251658240" behindDoc="0" locked="0" layoutInCell="1" allowOverlap="1" wp14:anchorId="402C7FE9" wp14:editId="0D9D3AAC">
            <wp:simplePos x="0" y="0"/>
            <wp:positionH relativeFrom="column">
              <wp:posOffset>838200</wp:posOffset>
            </wp:positionH>
            <wp:positionV relativeFrom="paragraph">
              <wp:posOffset>-45720</wp:posOffset>
            </wp:positionV>
            <wp:extent cx="3694829" cy="213360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699024" cy="2136023"/>
                    </a:xfrm>
                    <a:prstGeom prst="rect">
                      <a:avLst/>
                    </a:prstGeom>
                  </pic:spPr>
                </pic:pic>
              </a:graphicData>
            </a:graphic>
            <wp14:sizeRelH relativeFrom="page">
              <wp14:pctWidth>0</wp14:pctWidth>
            </wp14:sizeRelH>
            <wp14:sizeRelV relativeFrom="page">
              <wp14:pctHeight>0</wp14:pctHeight>
            </wp14:sizeRelV>
          </wp:anchor>
        </w:drawing>
      </w:r>
    </w:p>
    <w:p w14:paraId="6DBBA42F" w14:textId="77777777" w:rsidR="004C43EB" w:rsidRDefault="004C43EB" w:rsidP="00F8653B">
      <w:pPr>
        <w:spacing w:line="360" w:lineRule="auto"/>
        <w:jc w:val="both"/>
        <w:rPr>
          <w:rFonts w:ascii="Arial" w:hAnsi="Arial" w:cs="Arial"/>
          <w:b/>
          <w:bCs/>
        </w:rPr>
      </w:pPr>
    </w:p>
    <w:p w14:paraId="65A50572" w14:textId="77777777" w:rsidR="00A00C4D" w:rsidRDefault="00A00C4D" w:rsidP="00F8653B">
      <w:pPr>
        <w:spacing w:line="360" w:lineRule="auto"/>
        <w:jc w:val="both"/>
        <w:rPr>
          <w:rFonts w:ascii="Arial" w:hAnsi="Arial" w:cs="Arial"/>
          <w:b/>
          <w:bCs/>
        </w:rPr>
      </w:pPr>
    </w:p>
    <w:p w14:paraId="47DFCAB0" w14:textId="77777777" w:rsidR="00A00C4D" w:rsidRDefault="00A00C4D" w:rsidP="00F8653B">
      <w:pPr>
        <w:spacing w:line="360" w:lineRule="auto"/>
        <w:jc w:val="both"/>
        <w:rPr>
          <w:rFonts w:ascii="Arial" w:hAnsi="Arial" w:cs="Arial"/>
          <w:b/>
          <w:bCs/>
        </w:rPr>
      </w:pPr>
    </w:p>
    <w:p w14:paraId="64365C03" w14:textId="77777777" w:rsidR="005B52C8" w:rsidRDefault="005B52C8" w:rsidP="00F8653B">
      <w:pPr>
        <w:spacing w:line="360" w:lineRule="auto"/>
        <w:jc w:val="both"/>
        <w:rPr>
          <w:rFonts w:ascii="Arial" w:hAnsi="Arial" w:cs="Arial"/>
          <w:b/>
          <w:bCs/>
        </w:rPr>
      </w:pPr>
    </w:p>
    <w:p w14:paraId="36308393" w14:textId="77777777" w:rsidR="00A00C4D" w:rsidRDefault="00A00C4D" w:rsidP="00F8653B">
      <w:pPr>
        <w:spacing w:line="360" w:lineRule="auto"/>
        <w:jc w:val="both"/>
        <w:rPr>
          <w:rFonts w:ascii="Arial" w:hAnsi="Arial" w:cs="Arial"/>
          <w:b/>
          <w:bCs/>
        </w:rPr>
      </w:pPr>
    </w:p>
    <w:p w14:paraId="3D603AEC" w14:textId="45D901AD" w:rsidR="00A00C4D" w:rsidRDefault="005B52C8" w:rsidP="00F8653B">
      <w:pPr>
        <w:spacing w:line="360" w:lineRule="auto"/>
        <w:jc w:val="both"/>
        <w:rPr>
          <w:rFonts w:ascii="Arial" w:hAnsi="Arial" w:cs="Arial"/>
          <w:b/>
          <w:bCs/>
        </w:rPr>
      </w:pPr>
      <w:r>
        <w:rPr>
          <w:rFonts w:ascii="Arial" w:hAnsi="Arial" w:cs="Arial"/>
          <w:b/>
          <w:bCs/>
        </w:rPr>
        <w:t xml:space="preserve">                                              Source: </w:t>
      </w:r>
      <w:r w:rsidR="00332B0E">
        <w:rPr>
          <w:rFonts w:ascii="Arial" w:hAnsi="Arial" w:cs="Arial"/>
          <w:b/>
          <w:bCs/>
        </w:rPr>
        <w:t>(</w:t>
      </w:r>
      <w:r>
        <w:rPr>
          <w:rFonts w:ascii="Arial" w:hAnsi="Arial" w:cs="Arial"/>
          <w:b/>
          <w:bCs/>
        </w:rPr>
        <w:t>Alifani and Nugroho</w:t>
      </w:r>
      <w:r w:rsidR="00332B0E">
        <w:rPr>
          <w:rFonts w:ascii="Arial" w:hAnsi="Arial" w:cs="Arial"/>
          <w:b/>
          <w:bCs/>
        </w:rPr>
        <w:t>, 2013)</w:t>
      </w:r>
    </w:p>
    <w:p w14:paraId="1FB4D4A5" w14:textId="70D92939" w:rsidR="00C818FD" w:rsidRDefault="000F7BA7" w:rsidP="00F8653B">
      <w:pPr>
        <w:spacing w:line="360" w:lineRule="auto"/>
        <w:jc w:val="both"/>
        <w:rPr>
          <w:rFonts w:ascii="Arial" w:hAnsi="Arial" w:cs="Arial"/>
        </w:rPr>
      </w:pPr>
      <w:r w:rsidRPr="000F7BA7">
        <w:rPr>
          <w:rFonts w:ascii="Arial" w:hAnsi="Arial" w:cs="Arial"/>
        </w:rPr>
        <w:t>The M</w:t>
      </w:r>
      <w:r>
        <w:rPr>
          <w:rFonts w:ascii="Arial" w:hAnsi="Arial" w:cs="Arial"/>
        </w:rPr>
        <w:t>odigliani and Miller (MM</w:t>
      </w:r>
      <w:r w:rsidR="00286EA7">
        <w:rPr>
          <w:rFonts w:ascii="Arial" w:hAnsi="Arial" w:cs="Arial"/>
        </w:rPr>
        <w:t xml:space="preserve">) Theory of proposition </w:t>
      </w:r>
      <w:r w:rsidR="00630851">
        <w:rPr>
          <w:rFonts w:ascii="Arial" w:hAnsi="Arial" w:cs="Arial"/>
        </w:rPr>
        <w:t>I</w:t>
      </w:r>
      <w:r w:rsidR="00286EA7">
        <w:rPr>
          <w:rFonts w:ascii="Arial" w:hAnsi="Arial" w:cs="Arial"/>
        </w:rPr>
        <w:t xml:space="preserve"> </w:t>
      </w:r>
      <w:r w:rsidR="00630851">
        <w:rPr>
          <w:rFonts w:ascii="Arial" w:hAnsi="Arial" w:cs="Arial"/>
        </w:rPr>
        <w:t>assume</w:t>
      </w:r>
      <w:r w:rsidR="00286EA7">
        <w:rPr>
          <w:rFonts w:ascii="Arial" w:hAnsi="Arial" w:cs="Arial"/>
        </w:rPr>
        <w:t xml:space="preserve"> that in a world with no tax, the capital structure is irrelevant </w:t>
      </w:r>
      <w:r w:rsidR="004F11BD">
        <w:rPr>
          <w:rFonts w:ascii="Arial" w:hAnsi="Arial" w:cs="Arial"/>
        </w:rPr>
        <w:t>to</w:t>
      </w:r>
      <w:r w:rsidR="00286EA7">
        <w:rPr>
          <w:rFonts w:ascii="Arial" w:hAnsi="Arial" w:cs="Arial"/>
        </w:rPr>
        <w:t xml:space="preserve"> the firm’s </w:t>
      </w:r>
      <w:r w:rsidR="007169D3">
        <w:rPr>
          <w:rFonts w:ascii="Arial" w:hAnsi="Arial" w:cs="Arial"/>
        </w:rPr>
        <w:t xml:space="preserve">finances. </w:t>
      </w:r>
      <w:r w:rsidR="00AC1313">
        <w:rPr>
          <w:rFonts w:ascii="Arial" w:hAnsi="Arial" w:cs="Arial"/>
        </w:rPr>
        <w:t>T</w:t>
      </w:r>
      <w:r w:rsidR="003B01E3">
        <w:rPr>
          <w:rFonts w:ascii="Arial" w:hAnsi="Arial" w:cs="Arial"/>
        </w:rPr>
        <w:t xml:space="preserve">hrough homemade leverage, </w:t>
      </w:r>
      <w:r w:rsidR="00647D31">
        <w:rPr>
          <w:rFonts w:ascii="Arial" w:hAnsi="Arial" w:cs="Arial"/>
        </w:rPr>
        <w:t xml:space="preserve">an </w:t>
      </w:r>
      <w:r w:rsidR="003B01E3">
        <w:rPr>
          <w:rFonts w:ascii="Arial" w:hAnsi="Arial" w:cs="Arial"/>
        </w:rPr>
        <w:t xml:space="preserve">individual can </w:t>
      </w:r>
      <w:r w:rsidR="00F0747A">
        <w:rPr>
          <w:rFonts w:ascii="Arial" w:hAnsi="Arial" w:cs="Arial"/>
        </w:rPr>
        <w:t>either</w:t>
      </w:r>
      <w:r w:rsidR="00130728">
        <w:rPr>
          <w:rFonts w:ascii="Arial" w:hAnsi="Arial" w:cs="Arial"/>
        </w:rPr>
        <w:t xml:space="preserve"> duplicate</w:t>
      </w:r>
      <w:r w:rsidR="00C44A6E">
        <w:rPr>
          <w:rFonts w:ascii="Arial" w:hAnsi="Arial" w:cs="Arial"/>
        </w:rPr>
        <w:t xml:space="preserve"> or negate the effects of </w:t>
      </w:r>
      <w:r w:rsidR="005E334E">
        <w:rPr>
          <w:rFonts w:ascii="Arial" w:hAnsi="Arial" w:cs="Arial"/>
        </w:rPr>
        <w:t xml:space="preserve">corporate </w:t>
      </w:r>
      <w:r w:rsidR="00C44A6E">
        <w:rPr>
          <w:rFonts w:ascii="Arial" w:hAnsi="Arial" w:cs="Arial"/>
        </w:rPr>
        <w:t>leverage</w:t>
      </w:r>
      <w:r w:rsidR="005556B8">
        <w:rPr>
          <w:rFonts w:ascii="Arial" w:hAnsi="Arial" w:cs="Arial"/>
        </w:rPr>
        <w:t>.</w:t>
      </w:r>
    </w:p>
    <w:p w14:paraId="1B97D70C" w14:textId="366D16E4" w:rsidR="00C818FD" w:rsidRDefault="00C818FD" w:rsidP="00F8653B">
      <w:pPr>
        <w:spacing w:line="360" w:lineRule="auto"/>
        <w:jc w:val="both"/>
        <w:rPr>
          <w:rFonts w:ascii="Arial" w:hAnsi="Arial" w:cs="Arial"/>
          <w:b/>
          <w:bCs/>
        </w:rPr>
      </w:pPr>
      <w:r>
        <w:rPr>
          <w:rFonts w:ascii="Arial" w:hAnsi="Arial" w:cs="Arial"/>
        </w:rPr>
        <w:t xml:space="preserve">                 </w:t>
      </w:r>
      <w:r w:rsidRPr="00EE020E">
        <w:rPr>
          <w:rFonts w:ascii="Arial" w:hAnsi="Arial" w:cs="Arial"/>
          <w:b/>
          <w:bCs/>
        </w:rPr>
        <w:t>V</w:t>
      </w:r>
      <w:r w:rsidR="00EE020E" w:rsidRPr="00EE020E">
        <w:rPr>
          <w:rFonts w:ascii="Arial" w:hAnsi="Arial" w:cs="Arial"/>
          <w:b/>
          <w:bCs/>
        </w:rPr>
        <w:t>L = VU</w:t>
      </w:r>
      <w:r w:rsidR="00EE020E">
        <w:rPr>
          <w:rFonts w:ascii="Arial" w:hAnsi="Arial" w:cs="Arial"/>
          <w:b/>
          <w:bCs/>
        </w:rPr>
        <w:t xml:space="preserve"> ( Value of </w:t>
      </w:r>
      <w:r w:rsidR="004003FB">
        <w:rPr>
          <w:rFonts w:ascii="Arial" w:hAnsi="Arial" w:cs="Arial"/>
          <w:b/>
          <w:bCs/>
        </w:rPr>
        <w:t xml:space="preserve">the </w:t>
      </w:r>
      <w:r w:rsidR="00EE020E">
        <w:rPr>
          <w:rFonts w:ascii="Arial" w:hAnsi="Arial" w:cs="Arial"/>
          <w:b/>
          <w:bCs/>
        </w:rPr>
        <w:t>levered firm equal</w:t>
      </w:r>
      <w:r w:rsidR="004003FB">
        <w:rPr>
          <w:rFonts w:ascii="Arial" w:hAnsi="Arial" w:cs="Arial"/>
          <w:b/>
          <w:bCs/>
        </w:rPr>
        <w:t xml:space="preserve">s </w:t>
      </w:r>
      <w:r w:rsidR="00123D02">
        <w:rPr>
          <w:rFonts w:ascii="Arial" w:hAnsi="Arial" w:cs="Arial"/>
          <w:b/>
          <w:bCs/>
        </w:rPr>
        <w:t xml:space="preserve">the </w:t>
      </w:r>
      <w:r w:rsidR="00EE020E">
        <w:rPr>
          <w:rFonts w:ascii="Arial" w:hAnsi="Arial" w:cs="Arial"/>
          <w:b/>
          <w:bCs/>
        </w:rPr>
        <w:t xml:space="preserve">value of </w:t>
      </w:r>
      <w:r w:rsidR="00123D02">
        <w:rPr>
          <w:rFonts w:ascii="Arial" w:hAnsi="Arial" w:cs="Arial"/>
          <w:b/>
          <w:bCs/>
        </w:rPr>
        <w:t xml:space="preserve">the </w:t>
      </w:r>
      <w:r w:rsidR="00EE020E">
        <w:rPr>
          <w:rFonts w:ascii="Arial" w:hAnsi="Arial" w:cs="Arial"/>
          <w:b/>
          <w:bCs/>
        </w:rPr>
        <w:t>unlevered</w:t>
      </w:r>
      <w:r w:rsidR="004003FB">
        <w:rPr>
          <w:rFonts w:ascii="Arial" w:hAnsi="Arial" w:cs="Arial"/>
          <w:b/>
          <w:bCs/>
        </w:rPr>
        <w:t xml:space="preserve"> firm</w:t>
      </w:r>
      <w:r w:rsidR="00EE020E">
        <w:rPr>
          <w:rFonts w:ascii="Arial" w:hAnsi="Arial" w:cs="Arial"/>
          <w:b/>
          <w:bCs/>
        </w:rPr>
        <w:t>)</w:t>
      </w:r>
    </w:p>
    <w:p w14:paraId="5E137AD7" w14:textId="77777777" w:rsidR="00A703BC" w:rsidRDefault="00A703BC" w:rsidP="00F36367">
      <w:pPr>
        <w:spacing w:line="360" w:lineRule="auto"/>
        <w:jc w:val="both"/>
        <w:rPr>
          <w:rFonts w:ascii="Arial" w:hAnsi="Arial" w:cs="Arial"/>
          <w:b/>
          <w:bCs/>
        </w:rPr>
      </w:pPr>
    </w:p>
    <w:p w14:paraId="26BCD6CC" w14:textId="485E208C" w:rsidR="00F36367" w:rsidRDefault="00F36367" w:rsidP="00F36367">
      <w:pPr>
        <w:spacing w:line="360" w:lineRule="auto"/>
        <w:jc w:val="both"/>
        <w:rPr>
          <w:rFonts w:ascii="Arial" w:hAnsi="Arial" w:cs="Arial"/>
          <w:b/>
          <w:bCs/>
        </w:rPr>
      </w:pPr>
      <w:r w:rsidRPr="00340AA8">
        <w:rPr>
          <w:rFonts w:ascii="Arial" w:hAnsi="Arial" w:cs="Arial"/>
          <w:b/>
          <w:bCs/>
        </w:rPr>
        <w:t>Proposition II</w:t>
      </w:r>
      <w:r>
        <w:rPr>
          <w:rFonts w:ascii="Arial" w:hAnsi="Arial" w:cs="Arial"/>
          <w:b/>
          <w:bCs/>
        </w:rPr>
        <w:t xml:space="preserve"> (Without Tax)</w:t>
      </w:r>
    </w:p>
    <w:p w14:paraId="35890649" w14:textId="3E515B1C" w:rsidR="00F36367" w:rsidRDefault="00F36367" w:rsidP="00F36367">
      <w:pPr>
        <w:spacing w:line="360" w:lineRule="auto"/>
        <w:jc w:val="both"/>
        <w:rPr>
          <w:rFonts w:ascii="Arial" w:hAnsi="Arial" w:cs="Arial"/>
        </w:rPr>
      </w:pPr>
      <w:r w:rsidRPr="00340AA8">
        <w:rPr>
          <w:rFonts w:ascii="Arial" w:hAnsi="Arial" w:cs="Arial"/>
        </w:rPr>
        <w:t>MM</w:t>
      </w:r>
      <w:r>
        <w:rPr>
          <w:rFonts w:ascii="Arial" w:hAnsi="Arial" w:cs="Arial"/>
        </w:rPr>
        <w:t xml:space="preserve"> II no corporate taxes stated the correlation between the expected return on equity and the rise in leverage is positive because the risk to the equity holders increases due to leverage, and thus the high amount of debt reduces the company's total cost of capita</w:t>
      </w:r>
      <w:r w:rsidR="00157C37">
        <w:rPr>
          <w:rFonts w:ascii="Arial" w:hAnsi="Arial" w:cs="Arial"/>
        </w:rPr>
        <w:t>l</w:t>
      </w:r>
      <w:r>
        <w:rPr>
          <w:rFonts w:ascii="Arial" w:hAnsi="Arial" w:cs="Arial"/>
        </w:rPr>
        <w:t>.</w:t>
      </w:r>
    </w:p>
    <w:p w14:paraId="43141F4A" w14:textId="64C2DE82" w:rsidR="00F36367" w:rsidRDefault="00F36367" w:rsidP="00F36367">
      <w:pPr>
        <w:spacing w:line="360" w:lineRule="auto"/>
        <w:jc w:val="both"/>
        <w:rPr>
          <w:rFonts w:ascii="Arial" w:hAnsi="Arial" w:cs="Arial"/>
          <w:b/>
          <w:bCs/>
        </w:rPr>
      </w:pPr>
      <w:r w:rsidRPr="00BD7D67">
        <w:rPr>
          <w:rFonts w:ascii="Arial" w:hAnsi="Arial" w:cs="Arial"/>
          <w:b/>
          <w:bCs/>
        </w:rPr>
        <w:t xml:space="preserve">                                        </w:t>
      </w:r>
      <w:r>
        <w:rPr>
          <w:rFonts w:ascii="Arial" w:hAnsi="Arial" w:cs="Arial"/>
          <w:b/>
          <w:bCs/>
        </w:rPr>
        <w:t xml:space="preserve">             </w:t>
      </w:r>
      <w:r w:rsidRPr="00BD7D67">
        <w:rPr>
          <w:rFonts w:ascii="Arial" w:hAnsi="Arial" w:cs="Arial"/>
          <w:b/>
          <w:bCs/>
        </w:rPr>
        <w:t xml:space="preserve"> Re = R0 + (D/E *(R0-Rd))  </w:t>
      </w:r>
    </w:p>
    <w:p w14:paraId="4B01DFEF" w14:textId="03A5FF9A" w:rsidR="00331ACA" w:rsidRDefault="00331ACA" w:rsidP="00F36367">
      <w:pPr>
        <w:spacing w:line="360" w:lineRule="auto"/>
        <w:jc w:val="both"/>
        <w:rPr>
          <w:rFonts w:ascii="Arial" w:hAnsi="Arial" w:cs="Arial"/>
          <w:b/>
          <w:bCs/>
        </w:rPr>
      </w:pPr>
    </w:p>
    <w:p w14:paraId="6BE27F69" w14:textId="72BDB887" w:rsidR="000F54FF" w:rsidRPr="00EE020E" w:rsidRDefault="00330FCB" w:rsidP="00F8653B">
      <w:pPr>
        <w:spacing w:line="360" w:lineRule="auto"/>
        <w:jc w:val="both"/>
        <w:rPr>
          <w:rFonts w:ascii="Arial" w:hAnsi="Arial" w:cs="Arial"/>
          <w:b/>
          <w:bCs/>
        </w:rPr>
      </w:pPr>
      <w:r>
        <w:rPr>
          <w:rFonts w:ascii="Arial" w:hAnsi="Arial" w:cs="Arial"/>
          <w:noProof/>
        </w:rPr>
        <w:drawing>
          <wp:anchor distT="0" distB="0" distL="114300" distR="114300" simplePos="0" relativeHeight="251659264" behindDoc="0" locked="0" layoutInCell="1" allowOverlap="1" wp14:anchorId="305E8DCC" wp14:editId="5EBD0AEC">
            <wp:simplePos x="0" y="0"/>
            <wp:positionH relativeFrom="column">
              <wp:posOffset>830580</wp:posOffset>
            </wp:positionH>
            <wp:positionV relativeFrom="paragraph">
              <wp:posOffset>276225</wp:posOffset>
            </wp:positionV>
            <wp:extent cx="3657600" cy="15316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657923" cy="1531755"/>
                    </a:xfrm>
                    <a:prstGeom prst="rect">
                      <a:avLst/>
                    </a:prstGeom>
                  </pic:spPr>
                </pic:pic>
              </a:graphicData>
            </a:graphic>
            <wp14:sizeRelH relativeFrom="page">
              <wp14:pctWidth>0</wp14:pctWidth>
            </wp14:sizeRelH>
            <wp14:sizeRelV relativeFrom="page">
              <wp14:pctHeight>0</wp14:pctHeight>
            </wp14:sizeRelV>
          </wp:anchor>
        </w:drawing>
      </w:r>
      <w:r w:rsidR="005A0AF2">
        <w:rPr>
          <w:rFonts w:ascii="Arial" w:hAnsi="Arial" w:cs="Arial"/>
          <w:b/>
          <w:bCs/>
        </w:rPr>
        <w:t xml:space="preserve">MM I </w:t>
      </w:r>
      <w:r w:rsidR="000F54FF">
        <w:rPr>
          <w:rFonts w:ascii="Arial" w:hAnsi="Arial" w:cs="Arial"/>
          <w:b/>
          <w:bCs/>
        </w:rPr>
        <w:t>(With Tax)</w:t>
      </w:r>
    </w:p>
    <w:p w14:paraId="3D9C68C6" w14:textId="29887358" w:rsidR="00330FCB" w:rsidRDefault="009053F5" w:rsidP="00F8653B">
      <w:pPr>
        <w:spacing w:line="360" w:lineRule="auto"/>
        <w:jc w:val="both"/>
        <w:rPr>
          <w:rFonts w:ascii="Arial" w:hAnsi="Arial" w:cs="Arial"/>
        </w:rPr>
      </w:pPr>
      <w:r>
        <w:rPr>
          <w:rFonts w:ascii="Arial" w:hAnsi="Arial" w:cs="Arial"/>
        </w:rPr>
        <w:t xml:space="preserve"> </w:t>
      </w:r>
    </w:p>
    <w:p w14:paraId="386681F5" w14:textId="77777777" w:rsidR="00330FCB" w:rsidRDefault="00330FCB" w:rsidP="00F8653B">
      <w:pPr>
        <w:spacing w:line="360" w:lineRule="auto"/>
        <w:jc w:val="both"/>
        <w:rPr>
          <w:rFonts w:ascii="Arial" w:hAnsi="Arial" w:cs="Arial"/>
        </w:rPr>
      </w:pPr>
    </w:p>
    <w:p w14:paraId="0A94BCAC" w14:textId="77777777" w:rsidR="00330FCB" w:rsidRDefault="00330FCB" w:rsidP="00F8653B">
      <w:pPr>
        <w:spacing w:line="360" w:lineRule="auto"/>
        <w:jc w:val="both"/>
        <w:rPr>
          <w:rFonts w:ascii="Arial" w:hAnsi="Arial" w:cs="Arial"/>
        </w:rPr>
      </w:pPr>
    </w:p>
    <w:p w14:paraId="10E8D234" w14:textId="77777777" w:rsidR="00330FCB" w:rsidRDefault="00330FCB" w:rsidP="00F8653B">
      <w:pPr>
        <w:spacing w:line="360" w:lineRule="auto"/>
        <w:jc w:val="both"/>
        <w:rPr>
          <w:rFonts w:ascii="Arial" w:hAnsi="Arial" w:cs="Arial"/>
        </w:rPr>
      </w:pPr>
    </w:p>
    <w:p w14:paraId="56EECF1A" w14:textId="77777777" w:rsidR="00330FCB" w:rsidRDefault="00330FCB" w:rsidP="00F8653B">
      <w:pPr>
        <w:spacing w:line="360" w:lineRule="auto"/>
        <w:jc w:val="both"/>
        <w:rPr>
          <w:rFonts w:ascii="Arial" w:hAnsi="Arial" w:cs="Arial"/>
        </w:rPr>
      </w:pPr>
    </w:p>
    <w:p w14:paraId="4D51DDC6" w14:textId="452E2D44" w:rsidR="00283B7E" w:rsidRDefault="00460BF0" w:rsidP="00F8653B">
      <w:pPr>
        <w:spacing w:line="360" w:lineRule="auto"/>
        <w:jc w:val="both"/>
        <w:rPr>
          <w:rFonts w:ascii="Arial" w:hAnsi="Arial" w:cs="Arial"/>
        </w:rPr>
      </w:pPr>
      <w:r>
        <w:rPr>
          <w:rFonts w:ascii="Arial" w:hAnsi="Arial" w:cs="Arial"/>
        </w:rPr>
        <w:lastRenderedPageBreak/>
        <w:t xml:space="preserve">                                        </w:t>
      </w:r>
      <w:r>
        <w:rPr>
          <w:rFonts w:ascii="Arial" w:hAnsi="Arial" w:cs="Arial"/>
          <w:b/>
          <w:bCs/>
        </w:rPr>
        <w:t>Source: (Alifani and Nugroho, 2013)</w:t>
      </w:r>
    </w:p>
    <w:p w14:paraId="21592065" w14:textId="4BC6B3A0" w:rsidR="009F487E" w:rsidRDefault="009053F5" w:rsidP="00F8653B">
      <w:pPr>
        <w:spacing w:line="360" w:lineRule="auto"/>
        <w:jc w:val="both"/>
        <w:rPr>
          <w:rFonts w:ascii="Arial" w:hAnsi="Arial" w:cs="Arial"/>
        </w:rPr>
      </w:pPr>
      <w:r>
        <w:rPr>
          <w:rFonts w:ascii="Arial" w:hAnsi="Arial" w:cs="Arial"/>
        </w:rPr>
        <w:t>While in MM I with corporate taxes, debt</w:t>
      </w:r>
      <w:r w:rsidR="000C5DC9">
        <w:rPr>
          <w:rFonts w:ascii="Arial" w:hAnsi="Arial" w:cs="Arial"/>
        </w:rPr>
        <w:t xml:space="preserve"> is a dominating factor in the capital structure</w:t>
      </w:r>
      <w:r w:rsidR="00012345">
        <w:rPr>
          <w:rFonts w:ascii="Arial" w:hAnsi="Arial" w:cs="Arial"/>
        </w:rPr>
        <w:t xml:space="preserve"> of the firm thus borrowing saves taxes and leverage has tax benefits</w:t>
      </w:r>
      <w:r w:rsidR="00C77E94">
        <w:rPr>
          <w:rFonts w:ascii="Arial" w:hAnsi="Arial" w:cs="Arial"/>
        </w:rPr>
        <w:t xml:space="preserve"> (Alifani and Nugroho, 2013).</w:t>
      </w:r>
    </w:p>
    <w:p w14:paraId="2F9262CE" w14:textId="64DA8E36" w:rsidR="007D257A" w:rsidRPr="00AD6492" w:rsidRDefault="009F487E" w:rsidP="00F8653B">
      <w:pPr>
        <w:spacing w:line="360" w:lineRule="auto"/>
        <w:jc w:val="both"/>
        <w:rPr>
          <w:rFonts w:ascii="Arial" w:hAnsi="Arial" w:cs="Arial"/>
          <w:b/>
          <w:bCs/>
        </w:rPr>
      </w:pPr>
      <w:r>
        <w:rPr>
          <w:rFonts w:ascii="Arial" w:hAnsi="Arial" w:cs="Arial"/>
        </w:rPr>
        <w:t xml:space="preserve">                       </w:t>
      </w:r>
      <w:r w:rsidR="00AD6492">
        <w:rPr>
          <w:rFonts w:ascii="Arial" w:hAnsi="Arial" w:cs="Arial"/>
        </w:rPr>
        <w:t xml:space="preserve">  </w:t>
      </w:r>
      <w:r w:rsidR="00AD6492" w:rsidRPr="00AD6492">
        <w:rPr>
          <w:rFonts w:ascii="Arial" w:hAnsi="Arial" w:cs="Arial"/>
          <w:b/>
          <w:bCs/>
        </w:rPr>
        <w:t>VL = VU + T*B (T*B = tax shield for perpetual debt)</w:t>
      </w:r>
    </w:p>
    <w:p w14:paraId="5266D535" w14:textId="06158991" w:rsidR="0091207B" w:rsidRPr="0091207B" w:rsidRDefault="005A0AF2" w:rsidP="00F8653B">
      <w:pPr>
        <w:spacing w:line="360" w:lineRule="auto"/>
        <w:jc w:val="both"/>
        <w:rPr>
          <w:rFonts w:ascii="Arial" w:hAnsi="Arial" w:cs="Arial"/>
          <w:b/>
          <w:bCs/>
        </w:rPr>
      </w:pPr>
      <w:r>
        <w:rPr>
          <w:rFonts w:ascii="Arial" w:hAnsi="Arial" w:cs="Arial"/>
          <w:b/>
          <w:bCs/>
        </w:rPr>
        <w:t xml:space="preserve">MM II </w:t>
      </w:r>
      <w:r w:rsidR="0091207B" w:rsidRPr="0091207B">
        <w:rPr>
          <w:rFonts w:ascii="Arial" w:hAnsi="Arial" w:cs="Arial"/>
          <w:b/>
          <w:bCs/>
        </w:rPr>
        <w:t>(With Tax)</w:t>
      </w:r>
    </w:p>
    <w:p w14:paraId="71CBE7C4" w14:textId="77777777" w:rsidR="009F487E" w:rsidRDefault="000A55E4" w:rsidP="00F8653B">
      <w:pPr>
        <w:spacing w:line="360" w:lineRule="auto"/>
        <w:jc w:val="both"/>
        <w:rPr>
          <w:rFonts w:ascii="Arial" w:hAnsi="Arial" w:cs="Arial"/>
        </w:rPr>
      </w:pPr>
      <w:r>
        <w:rPr>
          <w:rFonts w:ascii="Arial" w:hAnsi="Arial" w:cs="Arial"/>
        </w:rPr>
        <w:t xml:space="preserve">MM II with corporate taxes </w:t>
      </w:r>
      <w:r w:rsidR="007504C8">
        <w:rPr>
          <w:rFonts w:ascii="Arial" w:hAnsi="Arial" w:cs="Arial"/>
        </w:rPr>
        <w:t>recognises</w:t>
      </w:r>
      <w:r w:rsidR="00EE39DE">
        <w:rPr>
          <w:rFonts w:ascii="Arial" w:hAnsi="Arial" w:cs="Arial"/>
        </w:rPr>
        <w:t xml:space="preserve"> savings from the </w:t>
      </w:r>
      <w:r w:rsidR="00047F39">
        <w:rPr>
          <w:rFonts w:ascii="Arial" w:hAnsi="Arial" w:cs="Arial"/>
        </w:rPr>
        <w:t>interest tax deduction</w:t>
      </w:r>
      <w:r w:rsidR="00B131AE">
        <w:rPr>
          <w:rFonts w:ascii="Arial" w:hAnsi="Arial" w:cs="Arial"/>
        </w:rPr>
        <w:t xml:space="preserve"> and thus concludes</w:t>
      </w:r>
      <w:r w:rsidR="00A85DEA">
        <w:rPr>
          <w:rFonts w:ascii="Arial" w:hAnsi="Arial" w:cs="Arial"/>
        </w:rPr>
        <w:t xml:space="preserve"> the difference in </w:t>
      </w:r>
      <w:r w:rsidR="000333EC">
        <w:rPr>
          <w:rFonts w:ascii="Arial" w:hAnsi="Arial" w:cs="Arial"/>
        </w:rPr>
        <w:t>debt-to-equity</w:t>
      </w:r>
      <w:r w:rsidR="00A85DEA">
        <w:rPr>
          <w:rFonts w:ascii="Arial" w:hAnsi="Arial" w:cs="Arial"/>
        </w:rPr>
        <w:t xml:space="preserve"> rati</w:t>
      </w:r>
      <w:r w:rsidR="000333EC">
        <w:rPr>
          <w:rFonts w:ascii="Arial" w:hAnsi="Arial" w:cs="Arial"/>
        </w:rPr>
        <w:t>o affects WACC.</w:t>
      </w:r>
      <w:r w:rsidR="00FC471F">
        <w:rPr>
          <w:rFonts w:ascii="Arial" w:hAnsi="Arial" w:cs="Arial"/>
        </w:rPr>
        <w:t xml:space="preserve"> </w:t>
      </w:r>
    </w:p>
    <w:p w14:paraId="7D04D961" w14:textId="56A0CC56" w:rsidR="00DE4DB6" w:rsidRDefault="00DE4DB6" w:rsidP="00F8653B">
      <w:pPr>
        <w:spacing w:line="360" w:lineRule="auto"/>
        <w:jc w:val="both"/>
        <w:rPr>
          <w:rFonts w:ascii="Arial" w:hAnsi="Arial" w:cs="Arial"/>
          <w:b/>
          <w:bCs/>
        </w:rPr>
      </w:pPr>
      <w:r>
        <w:rPr>
          <w:rFonts w:ascii="Arial" w:hAnsi="Arial" w:cs="Arial"/>
        </w:rPr>
        <w:t xml:space="preserve">                                                      </w:t>
      </w:r>
      <w:r w:rsidRPr="00DE4DB6">
        <w:rPr>
          <w:rFonts w:ascii="Arial" w:hAnsi="Arial" w:cs="Arial"/>
          <w:b/>
          <w:bCs/>
        </w:rPr>
        <w:t xml:space="preserve">Re = R0 + (D/E*(1-T)*(R0-Rd)) </w:t>
      </w:r>
    </w:p>
    <w:p w14:paraId="369A8DF2" w14:textId="502A8DE3" w:rsidR="001D3E4A" w:rsidRDefault="001D3E4A" w:rsidP="00F8653B">
      <w:pPr>
        <w:spacing w:line="360" w:lineRule="auto"/>
        <w:jc w:val="both"/>
        <w:rPr>
          <w:rFonts w:ascii="Arial" w:hAnsi="Arial" w:cs="Arial"/>
        </w:rPr>
      </w:pPr>
      <w:r>
        <w:rPr>
          <w:rFonts w:ascii="Arial" w:hAnsi="Arial" w:cs="Arial"/>
          <w:b/>
          <w:bCs/>
        </w:rPr>
        <w:t xml:space="preserve">Implication: </w:t>
      </w:r>
      <w:r w:rsidR="00333CAB">
        <w:rPr>
          <w:rFonts w:ascii="Arial" w:hAnsi="Arial" w:cs="Arial"/>
        </w:rPr>
        <w:t xml:space="preserve">The more debt a company has, </w:t>
      </w:r>
      <w:r w:rsidR="00F126F8">
        <w:rPr>
          <w:rFonts w:ascii="Arial" w:hAnsi="Arial" w:cs="Arial"/>
        </w:rPr>
        <w:t xml:space="preserve">the </w:t>
      </w:r>
      <w:r w:rsidR="00333CAB">
        <w:rPr>
          <w:rFonts w:ascii="Arial" w:hAnsi="Arial" w:cs="Arial"/>
        </w:rPr>
        <w:t>larger the interest tax shields</w:t>
      </w:r>
      <w:r w:rsidR="009539CF">
        <w:rPr>
          <w:rFonts w:ascii="Arial" w:hAnsi="Arial" w:cs="Arial"/>
        </w:rPr>
        <w:t xml:space="preserve"> and </w:t>
      </w:r>
      <w:r w:rsidR="00380B8D">
        <w:rPr>
          <w:rFonts w:ascii="Arial" w:hAnsi="Arial" w:cs="Arial"/>
        </w:rPr>
        <w:t>the fewer tax payments, which</w:t>
      </w:r>
      <w:r w:rsidR="00F126F8">
        <w:rPr>
          <w:rFonts w:ascii="Arial" w:hAnsi="Arial" w:cs="Arial"/>
        </w:rPr>
        <w:t xml:space="preserve"> leads to larger firm value.</w:t>
      </w:r>
    </w:p>
    <w:p w14:paraId="603234C5" w14:textId="62501B12" w:rsidR="00083310" w:rsidRDefault="00083310" w:rsidP="00F8653B">
      <w:pPr>
        <w:spacing w:line="360" w:lineRule="auto"/>
        <w:jc w:val="both"/>
        <w:rPr>
          <w:rFonts w:ascii="Arial" w:hAnsi="Arial" w:cs="Arial"/>
        </w:rPr>
      </w:pPr>
      <w:r>
        <w:rPr>
          <w:rFonts w:ascii="Arial" w:hAnsi="Arial" w:cs="Arial"/>
        </w:rPr>
        <w:t xml:space="preserve">MM theory </w:t>
      </w:r>
      <w:r w:rsidR="004A3BE9">
        <w:rPr>
          <w:rFonts w:ascii="Arial" w:hAnsi="Arial" w:cs="Arial"/>
        </w:rPr>
        <w:t>is based on ideal</w:t>
      </w:r>
      <w:r w:rsidR="00750940">
        <w:rPr>
          <w:rFonts w:ascii="Arial" w:hAnsi="Arial" w:cs="Arial"/>
        </w:rPr>
        <w:t xml:space="preserve"> </w:t>
      </w:r>
      <w:r w:rsidR="004565DE">
        <w:rPr>
          <w:rFonts w:ascii="Arial" w:hAnsi="Arial" w:cs="Arial"/>
        </w:rPr>
        <w:t xml:space="preserve">capital markets where </w:t>
      </w:r>
      <w:r w:rsidR="009A2218">
        <w:rPr>
          <w:rFonts w:ascii="Arial" w:hAnsi="Arial" w:cs="Arial"/>
        </w:rPr>
        <w:t xml:space="preserve">there are </w:t>
      </w:r>
      <w:r w:rsidR="004565DE">
        <w:rPr>
          <w:rFonts w:ascii="Arial" w:hAnsi="Arial" w:cs="Arial"/>
        </w:rPr>
        <w:t>no taxes</w:t>
      </w:r>
      <w:r w:rsidR="004A3BE9">
        <w:rPr>
          <w:rFonts w:ascii="Arial" w:hAnsi="Arial" w:cs="Arial"/>
        </w:rPr>
        <w:t xml:space="preserve"> or transaction </w:t>
      </w:r>
      <w:r w:rsidR="004F4308">
        <w:rPr>
          <w:rFonts w:ascii="Arial" w:hAnsi="Arial" w:cs="Arial"/>
        </w:rPr>
        <w:t>costs</w:t>
      </w:r>
      <w:r w:rsidR="00EB29E2">
        <w:rPr>
          <w:rFonts w:ascii="Arial" w:hAnsi="Arial" w:cs="Arial"/>
        </w:rPr>
        <w:t>, which are unrealistic for MAM. MAM deals in the actual world market of finance</w:t>
      </w:r>
      <w:r w:rsidR="004F4308">
        <w:rPr>
          <w:rFonts w:ascii="Arial" w:hAnsi="Arial" w:cs="Arial"/>
        </w:rPr>
        <w:t xml:space="preserve"> with corporate taxes</w:t>
      </w:r>
      <w:r w:rsidR="00DC7A33">
        <w:rPr>
          <w:rFonts w:ascii="Arial" w:hAnsi="Arial" w:cs="Arial"/>
        </w:rPr>
        <w:t xml:space="preserve">, </w:t>
      </w:r>
      <w:r w:rsidR="00123D02">
        <w:rPr>
          <w:rFonts w:ascii="Arial" w:hAnsi="Arial" w:cs="Arial"/>
        </w:rPr>
        <w:t xml:space="preserve">and </w:t>
      </w:r>
      <w:r w:rsidR="00DC7A33">
        <w:rPr>
          <w:rFonts w:ascii="Arial" w:hAnsi="Arial" w:cs="Arial"/>
        </w:rPr>
        <w:t>asymmetric information</w:t>
      </w:r>
      <w:r w:rsidR="00885213">
        <w:rPr>
          <w:rFonts w:ascii="Arial" w:hAnsi="Arial" w:cs="Arial"/>
        </w:rPr>
        <w:t xml:space="preserve"> and this theory won’t </w:t>
      </w:r>
      <w:r w:rsidR="00EC0DC4">
        <w:rPr>
          <w:rFonts w:ascii="Arial" w:hAnsi="Arial" w:cs="Arial"/>
        </w:rPr>
        <w:t>apply</w:t>
      </w:r>
      <w:r w:rsidR="00885213">
        <w:rPr>
          <w:rFonts w:ascii="Arial" w:hAnsi="Arial" w:cs="Arial"/>
        </w:rPr>
        <w:t xml:space="preserve"> to MAM.</w:t>
      </w:r>
      <w:r w:rsidR="00EB29E2">
        <w:rPr>
          <w:rFonts w:ascii="Arial" w:hAnsi="Arial" w:cs="Arial"/>
        </w:rPr>
        <w:t xml:space="preserve"> </w:t>
      </w:r>
    </w:p>
    <w:p w14:paraId="06100F26" w14:textId="77777777" w:rsidR="003906A0" w:rsidRDefault="003906A0" w:rsidP="00F8653B">
      <w:pPr>
        <w:spacing w:line="360" w:lineRule="auto"/>
        <w:jc w:val="both"/>
        <w:rPr>
          <w:rFonts w:ascii="Arial" w:hAnsi="Arial" w:cs="Arial"/>
        </w:rPr>
      </w:pPr>
    </w:p>
    <w:p w14:paraId="398A7E34" w14:textId="16F70B88" w:rsidR="00C3597B" w:rsidRDefault="00A551C1" w:rsidP="008631C6">
      <w:pPr>
        <w:pStyle w:val="Heading2"/>
        <w:rPr>
          <w:rFonts w:ascii="Arial" w:hAnsi="Arial" w:cs="Arial"/>
          <w:b/>
          <w:bCs/>
          <w:color w:val="auto"/>
          <w:sz w:val="22"/>
          <w:szCs w:val="22"/>
        </w:rPr>
      </w:pPr>
      <w:bookmarkStart w:id="2" w:name="_Toc185149297"/>
      <w:r w:rsidRPr="008631C6">
        <w:rPr>
          <w:rFonts w:ascii="Arial" w:hAnsi="Arial" w:cs="Arial"/>
          <w:b/>
          <w:bCs/>
          <w:color w:val="auto"/>
          <w:sz w:val="22"/>
          <w:szCs w:val="22"/>
        </w:rPr>
        <w:t xml:space="preserve">1.2 </w:t>
      </w:r>
      <w:r w:rsidR="00E3266D" w:rsidRPr="008631C6">
        <w:rPr>
          <w:rFonts w:ascii="Arial" w:hAnsi="Arial" w:cs="Arial"/>
          <w:b/>
          <w:bCs/>
          <w:color w:val="auto"/>
          <w:sz w:val="22"/>
          <w:szCs w:val="22"/>
        </w:rPr>
        <w:t>Trade-off</w:t>
      </w:r>
      <w:r w:rsidR="00C3597B" w:rsidRPr="008631C6">
        <w:rPr>
          <w:rFonts w:ascii="Arial" w:hAnsi="Arial" w:cs="Arial"/>
          <w:b/>
          <w:bCs/>
          <w:color w:val="auto"/>
          <w:sz w:val="22"/>
          <w:szCs w:val="22"/>
        </w:rPr>
        <w:t xml:space="preserve"> Theory</w:t>
      </w:r>
      <w:bookmarkEnd w:id="2"/>
    </w:p>
    <w:p w14:paraId="64213751" w14:textId="77777777" w:rsidR="008631C6" w:rsidRPr="008631C6" w:rsidRDefault="008631C6" w:rsidP="008631C6"/>
    <w:p w14:paraId="22692A89" w14:textId="158F4F61" w:rsidR="00E15343" w:rsidRPr="00E15343" w:rsidRDefault="00E3266D" w:rsidP="00E15343">
      <w:pPr>
        <w:spacing w:line="360" w:lineRule="auto"/>
        <w:jc w:val="both"/>
        <w:rPr>
          <w:rFonts w:ascii="Arial" w:hAnsi="Arial" w:cs="Arial"/>
        </w:rPr>
      </w:pPr>
      <w:r w:rsidRPr="00E3266D">
        <w:rPr>
          <w:rFonts w:ascii="Arial" w:hAnsi="Arial" w:cs="Arial"/>
        </w:rPr>
        <w:t>Re</w:t>
      </w:r>
      <w:r w:rsidR="009E5299">
        <w:rPr>
          <w:rFonts w:ascii="Arial" w:hAnsi="Arial" w:cs="Arial"/>
        </w:rPr>
        <w:t xml:space="preserve">cognising the tax shield as a factor for the capital structure was a part of </w:t>
      </w:r>
      <w:r w:rsidR="00C30375">
        <w:rPr>
          <w:rFonts w:ascii="Arial" w:hAnsi="Arial" w:cs="Arial"/>
        </w:rPr>
        <w:t>Modigliani and Miller's MM proposition</w:t>
      </w:r>
      <w:r w:rsidR="00A75D39">
        <w:rPr>
          <w:rFonts w:ascii="Arial" w:hAnsi="Arial" w:cs="Arial"/>
        </w:rPr>
        <w:t>.</w:t>
      </w:r>
      <w:r w:rsidR="0071031F">
        <w:rPr>
          <w:rFonts w:ascii="Arial" w:hAnsi="Arial" w:cs="Arial"/>
        </w:rPr>
        <w:t xml:space="preserve"> </w:t>
      </w:r>
      <w:r w:rsidR="004A571B">
        <w:rPr>
          <w:rFonts w:ascii="Arial" w:hAnsi="Arial" w:cs="Arial"/>
        </w:rPr>
        <w:t>Later it was known</w:t>
      </w:r>
      <w:r w:rsidR="00C77144">
        <w:rPr>
          <w:rFonts w:ascii="Arial" w:hAnsi="Arial" w:cs="Arial"/>
        </w:rPr>
        <w:t xml:space="preserve"> that </w:t>
      </w:r>
      <w:r w:rsidR="007505E9">
        <w:rPr>
          <w:rFonts w:ascii="Arial" w:hAnsi="Arial" w:cs="Arial"/>
        </w:rPr>
        <w:t>a financial distress cost offsets the benefits of tax shields to a great extent</w:t>
      </w:r>
      <w:r w:rsidR="00EB3698">
        <w:rPr>
          <w:rFonts w:ascii="Arial" w:hAnsi="Arial" w:cs="Arial"/>
        </w:rPr>
        <w:t>.</w:t>
      </w:r>
      <w:r w:rsidR="00A425B8">
        <w:rPr>
          <w:rFonts w:ascii="Arial" w:hAnsi="Arial" w:cs="Arial"/>
        </w:rPr>
        <w:t xml:space="preserve"> The tax shield is an apparent factor </w:t>
      </w:r>
      <w:r w:rsidR="00BE2919">
        <w:rPr>
          <w:rFonts w:ascii="Arial" w:hAnsi="Arial" w:cs="Arial"/>
        </w:rPr>
        <w:t xml:space="preserve">but the financial distress </w:t>
      </w:r>
      <w:r w:rsidR="00123CF7">
        <w:rPr>
          <w:rFonts w:ascii="Arial" w:hAnsi="Arial" w:cs="Arial"/>
        </w:rPr>
        <w:t>is</w:t>
      </w:r>
      <w:r w:rsidR="00BE2919">
        <w:rPr>
          <w:rFonts w:ascii="Arial" w:hAnsi="Arial" w:cs="Arial"/>
        </w:rPr>
        <w:t xml:space="preserve"> not. </w:t>
      </w:r>
      <w:r w:rsidR="00F10978">
        <w:rPr>
          <w:rFonts w:ascii="Arial" w:hAnsi="Arial" w:cs="Arial"/>
        </w:rPr>
        <w:t>So</w:t>
      </w:r>
      <w:r w:rsidR="005445D8">
        <w:rPr>
          <w:rFonts w:ascii="Arial" w:hAnsi="Arial" w:cs="Arial"/>
        </w:rPr>
        <w:t>,</w:t>
      </w:r>
      <w:r w:rsidR="00F10978">
        <w:rPr>
          <w:rFonts w:ascii="Arial" w:hAnsi="Arial" w:cs="Arial"/>
        </w:rPr>
        <w:t xml:space="preserve"> firms can be </w:t>
      </w:r>
      <w:r w:rsidR="00D00CAA">
        <w:rPr>
          <w:rFonts w:ascii="Arial" w:hAnsi="Arial" w:cs="Arial"/>
        </w:rPr>
        <w:t>safe</w:t>
      </w:r>
      <w:r w:rsidR="00F10978">
        <w:rPr>
          <w:rFonts w:ascii="Arial" w:hAnsi="Arial" w:cs="Arial"/>
        </w:rPr>
        <w:t xml:space="preserve"> when they have </w:t>
      </w:r>
      <w:r w:rsidR="00A703BC">
        <w:rPr>
          <w:rFonts w:ascii="Arial" w:hAnsi="Arial" w:cs="Arial"/>
        </w:rPr>
        <w:t>a</w:t>
      </w:r>
      <w:r w:rsidR="00F10978">
        <w:rPr>
          <w:rFonts w:ascii="Arial" w:hAnsi="Arial" w:cs="Arial"/>
        </w:rPr>
        <w:t xml:space="preserve"> safe margin</w:t>
      </w:r>
      <w:r w:rsidR="00D17F48">
        <w:rPr>
          <w:rFonts w:ascii="Arial" w:hAnsi="Arial" w:cs="Arial"/>
        </w:rPr>
        <w:t xml:space="preserve"> before the tax shield is used up. Hence, tax </w:t>
      </w:r>
      <w:r w:rsidR="00A03C76">
        <w:rPr>
          <w:rFonts w:ascii="Arial" w:hAnsi="Arial" w:cs="Arial"/>
        </w:rPr>
        <w:t>shields</w:t>
      </w:r>
      <w:r w:rsidR="00D17F48">
        <w:rPr>
          <w:rFonts w:ascii="Arial" w:hAnsi="Arial" w:cs="Arial"/>
        </w:rPr>
        <w:t xml:space="preserve"> are taken away by the costs of financial distress</w:t>
      </w:r>
      <w:r w:rsidR="00A03C76">
        <w:rPr>
          <w:rFonts w:ascii="Arial" w:hAnsi="Arial" w:cs="Arial"/>
        </w:rPr>
        <w:t xml:space="preserve"> and this is called </w:t>
      </w:r>
      <w:r w:rsidR="005445D8">
        <w:rPr>
          <w:rFonts w:ascii="Arial" w:hAnsi="Arial" w:cs="Arial"/>
        </w:rPr>
        <w:t>a</w:t>
      </w:r>
      <w:r w:rsidR="00A03C76">
        <w:rPr>
          <w:rFonts w:ascii="Arial" w:hAnsi="Arial" w:cs="Arial"/>
        </w:rPr>
        <w:t xml:space="preserve"> trade-off </w:t>
      </w:r>
      <w:r w:rsidR="00A03C76" w:rsidRPr="000B5916">
        <w:rPr>
          <w:rFonts w:ascii="Arial" w:hAnsi="Arial" w:cs="Arial"/>
        </w:rPr>
        <w:t>theory</w:t>
      </w:r>
      <w:r w:rsidR="00E15343" w:rsidRPr="000B5916">
        <w:rPr>
          <w:rFonts w:ascii="Arial" w:hAnsi="Arial" w:cs="Arial"/>
        </w:rPr>
        <w:t xml:space="preserve"> (Mostafa and Boregowda, 2014).</w:t>
      </w:r>
    </w:p>
    <w:p w14:paraId="308B6B77" w14:textId="77777777" w:rsidR="00123D02" w:rsidRDefault="00123D02" w:rsidP="00F8653B">
      <w:pPr>
        <w:spacing w:line="360" w:lineRule="auto"/>
        <w:jc w:val="both"/>
        <w:rPr>
          <w:rFonts w:ascii="Arial" w:hAnsi="Arial" w:cs="Arial"/>
          <w:b/>
          <w:bCs/>
          <w:sz w:val="24"/>
          <w:szCs w:val="24"/>
        </w:rPr>
      </w:pPr>
    </w:p>
    <w:p w14:paraId="254684FF" w14:textId="41FBDEC7" w:rsidR="00385E4E" w:rsidRDefault="00A551C1" w:rsidP="008631C6">
      <w:pPr>
        <w:pStyle w:val="Heading2"/>
        <w:rPr>
          <w:rFonts w:ascii="Arial" w:hAnsi="Arial" w:cs="Arial"/>
          <w:b/>
          <w:bCs/>
          <w:color w:val="000000" w:themeColor="text1"/>
          <w:sz w:val="22"/>
          <w:szCs w:val="22"/>
        </w:rPr>
      </w:pPr>
      <w:bookmarkStart w:id="3" w:name="_Toc185149298"/>
      <w:r w:rsidRPr="008631C6">
        <w:rPr>
          <w:rFonts w:ascii="Arial" w:hAnsi="Arial" w:cs="Arial"/>
          <w:b/>
          <w:bCs/>
          <w:color w:val="000000" w:themeColor="text1"/>
          <w:sz w:val="22"/>
          <w:szCs w:val="22"/>
        </w:rPr>
        <w:t xml:space="preserve">1.3 </w:t>
      </w:r>
      <w:r w:rsidR="00385E4E" w:rsidRPr="008631C6">
        <w:rPr>
          <w:rFonts w:ascii="Arial" w:hAnsi="Arial" w:cs="Arial"/>
          <w:b/>
          <w:bCs/>
          <w:color w:val="000000" w:themeColor="text1"/>
          <w:sz w:val="22"/>
          <w:szCs w:val="22"/>
        </w:rPr>
        <w:t xml:space="preserve">Pecking Order </w:t>
      </w:r>
      <w:r w:rsidR="008631C6">
        <w:rPr>
          <w:rFonts w:ascii="Arial" w:hAnsi="Arial" w:cs="Arial"/>
          <w:b/>
          <w:bCs/>
          <w:color w:val="000000" w:themeColor="text1"/>
          <w:sz w:val="22"/>
          <w:szCs w:val="22"/>
        </w:rPr>
        <w:t>Theory</w:t>
      </w:r>
      <w:bookmarkEnd w:id="3"/>
    </w:p>
    <w:p w14:paraId="466413E3" w14:textId="77777777" w:rsidR="008631C6" w:rsidRPr="008631C6" w:rsidRDefault="008631C6" w:rsidP="008631C6"/>
    <w:p w14:paraId="6C55D57C" w14:textId="6424CD81" w:rsidR="008220E9" w:rsidRDefault="00313D27" w:rsidP="00990011">
      <w:pPr>
        <w:spacing w:line="360" w:lineRule="auto"/>
        <w:jc w:val="both"/>
        <w:rPr>
          <w:rFonts w:ascii="Arial" w:hAnsi="Arial" w:cs="Arial"/>
        </w:rPr>
      </w:pPr>
      <w:r w:rsidRPr="006D1F2C">
        <w:rPr>
          <w:rFonts w:ascii="Arial" w:hAnsi="Arial" w:cs="Arial"/>
        </w:rPr>
        <w:t>The</w:t>
      </w:r>
      <w:r w:rsidR="00DA4CBD" w:rsidRPr="006D1F2C">
        <w:rPr>
          <w:rFonts w:ascii="Arial" w:hAnsi="Arial" w:cs="Arial"/>
        </w:rPr>
        <w:t xml:space="preserve"> pecking order theory is hardly new.</w:t>
      </w:r>
      <w:r w:rsidR="000C3ED5" w:rsidRPr="006D1F2C">
        <w:rPr>
          <w:rFonts w:ascii="Arial" w:hAnsi="Arial" w:cs="Arial"/>
        </w:rPr>
        <w:t xml:space="preserve"> It gets across very well in Donaldson’s </w:t>
      </w:r>
      <w:r w:rsidR="00BE7628" w:rsidRPr="006D1F2C">
        <w:rPr>
          <w:rFonts w:ascii="Arial" w:hAnsi="Arial" w:cs="Arial"/>
        </w:rPr>
        <w:t>“</w:t>
      </w:r>
      <w:r w:rsidR="000C3ED5" w:rsidRPr="006D1F2C">
        <w:rPr>
          <w:rFonts w:ascii="Arial" w:hAnsi="Arial" w:cs="Arial"/>
        </w:rPr>
        <w:t>1961 study</w:t>
      </w:r>
      <w:r w:rsidR="00BE7628" w:rsidRPr="006D1F2C">
        <w:rPr>
          <w:rFonts w:ascii="Arial" w:hAnsi="Arial" w:cs="Arial"/>
        </w:rPr>
        <w:t xml:space="preserve"> of </w:t>
      </w:r>
      <w:r w:rsidR="00BB7E72" w:rsidRPr="006D1F2C">
        <w:rPr>
          <w:rFonts w:ascii="Arial" w:hAnsi="Arial" w:cs="Arial"/>
        </w:rPr>
        <w:t>finance practices</w:t>
      </w:r>
      <w:r w:rsidR="00A0230B">
        <w:rPr>
          <w:rFonts w:ascii="Arial" w:hAnsi="Arial" w:cs="Arial"/>
        </w:rPr>
        <w:t>”</w:t>
      </w:r>
      <w:r w:rsidR="00744973">
        <w:rPr>
          <w:rFonts w:ascii="Arial" w:hAnsi="Arial" w:cs="Arial"/>
        </w:rPr>
        <w:t xml:space="preserve"> of a sample of a large corporation</w:t>
      </w:r>
      <w:r w:rsidR="00173E8B" w:rsidRPr="000B5916">
        <w:rPr>
          <w:rFonts w:ascii="Arial" w:hAnsi="Arial" w:cs="Arial"/>
        </w:rPr>
        <w:t>, Myers (1984)</w:t>
      </w:r>
      <w:r w:rsidR="001635DB" w:rsidRPr="000B5916">
        <w:rPr>
          <w:rFonts w:ascii="Arial" w:hAnsi="Arial" w:cs="Arial"/>
        </w:rPr>
        <w:t>.</w:t>
      </w:r>
      <w:r w:rsidR="001635DB" w:rsidRPr="006D1F2C">
        <w:rPr>
          <w:rFonts w:ascii="Arial" w:hAnsi="Arial" w:cs="Arial"/>
        </w:rPr>
        <w:t xml:space="preserve"> He noted that Management was in favour of internal raising of new capital</w:t>
      </w:r>
      <w:r w:rsidR="006411AF" w:rsidRPr="006D1F2C">
        <w:rPr>
          <w:rFonts w:ascii="Arial" w:hAnsi="Arial" w:cs="Arial"/>
        </w:rPr>
        <w:t xml:space="preserve">, even to the total exclusion of external capital except for a few </w:t>
      </w:r>
      <w:r w:rsidR="00F35D01" w:rsidRPr="006D1F2C">
        <w:rPr>
          <w:rFonts w:ascii="Arial" w:hAnsi="Arial" w:cs="Arial"/>
        </w:rPr>
        <w:t xml:space="preserve">unavoidable cases of fund </w:t>
      </w:r>
      <w:r w:rsidR="00BE527C" w:rsidRPr="006D1F2C">
        <w:rPr>
          <w:rFonts w:ascii="Arial" w:hAnsi="Arial" w:cs="Arial"/>
        </w:rPr>
        <w:t>requirement</w:t>
      </w:r>
      <w:r w:rsidR="00F35D01" w:rsidRPr="006D1F2C">
        <w:rPr>
          <w:rFonts w:ascii="Arial" w:hAnsi="Arial" w:cs="Arial"/>
        </w:rPr>
        <w:t xml:space="preserve">. </w:t>
      </w:r>
      <w:r w:rsidR="00AD07A1">
        <w:rPr>
          <w:rFonts w:ascii="Arial" w:hAnsi="Arial" w:cs="Arial"/>
        </w:rPr>
        <w:t xml:space="preserve">This theory speaks about </w:t>
      </w:r>
      <w:r w:rsidR="00163748">
        <w:rPr>
          <w:rFonts w:ascii="Arial" w:hAnsi="Arial" w:cs="Arial"/>
        </w:rPr>
        <w:t xml:space="preserve">the asymmetry </w:t>
      </w:r>
      <w:r w:rsidR="004612B5">
        <w:rPr>
          <w:rFonts w:ascii="Arial" w:hAnsi="Arial" w:cs="Arial"/>
        </w:rPr>
        <w:t>related to a firm’s value</w:t>
      </w:r>
      <w:r w:rsidR="00B8657E">
        <w:rPr>
          <w:rFonts w:ascii="Arial" w:hAnsi="Arial" w:cs="Arial"/>
        </w:rPr>
        <w:t xml:space="preserve"> and debt as a result.</w:t>
      </w:r>
    </w:p>
    <w:p w14:paraId="46DCF8F4" w14:textId="77777777" w:rsidR="008631C6" w:rsidRDefault="008631C6" w:rsidP="00990011">
      <w:pPr>
        <w:spacing w:line="360" w:lineRule="auto"/>
        <w:jc w:val="both"/>
        <w:rPr>
          <w:rFonts w:ascii="Arial" w:hAnsi="Arial" w:cs="Arial"/>
          <w:b/>
          <w:bCs/>
          <w:sz w:val="24"/>
          <w:szCs w:val="24"/>
        </w:rPr>
      </w:pPr>
    </w:p>
    <w:p w14:paraId="2553FB38" w14:textId="6D96A24B" w:rsidR="004C6547" w:rsidRDefault="00A551C1" w:rsidP="00ED5074">
      <w:pPr>
        <w:pStyle w:val="Heading2"/>
        <w:rPr>
          <w:rFonts w:ascii="Arial" w:hAnsi="Arial" w:cs="Arial"/>
          <w:b/>
          <w:bCs/>
          <w:color w:val="000000" w:themeColor="text1"/>
          <w:sz w:val="22"/>
          <w:szCs w:val="22"/>
        </w:rPr>
      </w:pPr>
      <w:bookmarkStart w:id="4" w:name="_Toc185149299"/>
      <w:r w:rsidRPr="00ED5074">
        <w:rPr>
          <w:rFonts w:ascii="Arial" w:hAnsi="Arial" w:cs="Arial"/>
          <w:b/>
          <w:bCs/>
          <w:color w:val="000000" w:themeColor="text1"/>
          <w:sz w:val="22"/>
          <w:szCs w:val="22"/>
        </w:rPr>
        <w:lastRenderedPageBreak/>
        <w:t xml:space="preserve">1.4 </w:t>
      </w:r>
      <w:r w:rsidR="004C6547" w:rsidRPr="00ED5074">
        <w:rPr>
          <w:rFonts w:ascii="Arial" w:hAnsi="Arial" w:cs="Arial"/>
          <w:b/>
          <w:bCs/>
          <w:color w:val="000000" w:themeColor="text1"/>
          <w:sz w:val="22"/>
          <w:szCs w:val="22"/>
        </w:rPr>
        <w:t>Traditional view</w:t>
      </w:r>
      <w:bookmarkEnd w:id="4"/>
    </w:p>
    <w:p w14:paraId="04E87C78" w14:textId="77777777" w:rsidR="00ED5074" w:rsidRPr="00ED5074" w:rsidRDefault="00ED5074" w:rsidP="00ED5074"/>
    <w:p w14:paraId="0D8ABE0D" w14:textId="17FC5D39" w:rsidR="00990011" w:rsidRDefault="00990011" w:rsidP="00990011">
      <w:pPr>
        <w:spacing w:line="360" w:lineRule="auto"/>
        <w:jc w:val="both"/>
        <w:rPr>
          <w:rFonts w:ascii="Arial" w:hAnsi="Arial" w:cs="Arial"/>
        </w:rPr>
      </w:pPr>
      <w:r>
        <w:rPr>
          <w:rFonts w:ascii="Arial" w:hAnsi="Arial" w:cs="Arial"/>
        </w:rPr>
        <w:t xml:space="preserve">The traditional view of capital structure suggests that a firm should use a low-priced financing strategy, which is debt </w:t>
      </w:r>
      <w:r w:rsidRPr="000B5916">
        <w:rPr>
          <w:rFonts w:ascii="Arial" w:hAnsi="Arial" w:cs="Arial"/>
        </w:rPr>
        <w:t>(Durand, 1952).</w:t>
      </w:r>
      <w:r>
        <w:rPr>
          <w:rFonts w:ascii="Arial" w:hAnsi="Arial" w:cs="Arial"/>
        </w:rPr>
        <w:t xml:space="preserve"> The reason for this assumption is that the cost of financial debt is generally lower than the cost of equity owing to the fact interest payments are tax-deductible and debt financing is less risky.</w:t>
      </w:r>
      <w:r w:rsidR="00516F7B">
        <w:rPr>
          <w:rFonts w:ascii="Arial" w:hAnsi="Arial" w:cs="Arial"/>
        </w:rPr>
        <w:t xml:space="preserve"> </w:t>
      </w:r>
      <w:r w:rsidR="00254CE1">
        <w:rPr>
          <w:rFonts w:ascii="Arial" w:hAnsi="Arial" w:cs="Arial"/>
        </w:rPr>
        <w:t xml:space="preserve">This theory is not fully applicable </w:t>
      </w:r>
      <w:r w:rsidR="00271E59">
        <w:rPr>
          <w:rFonts w:ascii="Arial" w:hAnsi="Arial" w:cs="Arial"/>
        </w:rPr>
        <w:t>to</w:t>
      </w:r>
      <w:r w:rsidR="00371221">
        <w:rPr>
          <w:rFonts w:ascii="Arial" w:hAnsi="Arial" w:cs="Arial"/>
        </w:rPr>
        <w:t xml:space="preserve"> MAM because</w:t>
      </w:r>
      <w:r w:rsidR="00271E59">
        <w:rPr>
          <w:rFonts w:ascii="Arial" w:hAnsi="Arial" w:cs="Arial"/>
        </w:rPr>
        <w:t xml:space="preserve"> </w:t>
      </w:r>
      <w:r w:rsidR="005772E3">
        <w:rPr>
          <w:rFonts w:ascii="Arial" w:hAnsi="Arial" w:cs="Arial"/>
        </w:rPr>
        <w:t>its</w:t>
      </w:r>
      <w:r w:rsidR="00271E59">
        <w:rPr>
          <w:rFonts w:ascii="Arial" w:hAnsi="Arial" w:cs="Arial"/>
        </w:rPr>
        <w:t xml:space="preserve"> capital structure </w:t>
      </w:r>
      <w:r w:rsidR="00EE6ED9">
        <w:rPr>
          <w:rFonts w:ascii="Arial" w:hAnsi="Arial" w:cs="Arial"/>
        </w:rPr>
        <w:t xml:space="preserve">is </w:t>
      </w:r>
      <w:r w:rsidR="00271E59">
        <w:rPr>
          <w:rFonts w:ascii="Arial" w:hAnsi="Arial" w:cs="Arial"/>
        </w:rPr>
        <w:t xml:space="preserve">dynamic </w:t>
      </w:r>
      <w:r w:rsidR="00371221">
        <w:rPr>
          <w:rFonts w:ascii="Arial" w:hAnsi="Arial" w:cs="Arial"/>
        </w:rPr>
        <w:t xml:space="preserve">and </w:t>
      </w:r>
      <w:r w:rsidR="00EE6ED9">
        <w:rPr>
          <w:rFonts w:ascii="Arial" w:hAnsi="Arial" w:cs="Arial"/>
        </w:rPr>
        <w:t>based on market conditions</w:t>
      </w:r>
      <w:r w:rsidR="005772E3">
        <w:rPr>
          <w:rFonts w:ascii="Arial" w:hAnsi="Arial" w:cs="Arial"/>
        </w:rPr>
        <w:t xml:space="preserve"> rather than following a fixed optimal ratio.</w:t>
      </w:r>
    </w:p>
    <w:p w14:paraId="02E1B5B1" w14:textId="77777777" w:rsidR="00ED5074" w:rsidRDefault="00ED5074" w:rsidP="00990011">
      <w:pPr>
        <w:spacing w:line="360" w:lineRule="auto"/>
        <w:jc w:val="both"/>
        <w:rPr>
          <w:rFonts w:ascii="Arial" w:hAnsi="Arial" w:cs="Arial"/>
        </w:rPr>
      </w:pPr>
    </w:p>
    <w:p w14:paraId="53C07354" w14:textId="221825A4" w:rsidR="003C5AC0" w:rsidRPr="00DD07F4" w:rsidRDefault="003C5AC0" w:rsidP="003C5AC0">
      <w:pPr>
        <w:pStyle w:val="Heading2"/>
        <w:rPr>
          <w:rFonts w:ascii="Arial" w:hAnsi="Arial" w:cs="Arial"/>
          <w:b/>
          <w:bCs/>
          <w:color w:val="000000" w:themeColor="text1"/>
          <w:sz w:val="22"/>
          <w:szCs w:val="22"/>
        </w:rPr>
      </w:pPr>
      <w:bookmarkStart w:id="5" w:name="_Toc185149300"/>
      <w:r w:rsidRPr="00DD07F4">
        <w:rPr>
          <w:rFonts w:ascii="Arial" w:hAnsi="Arial" w:cs="Arial"/>
          <w:b/>
          <w:bCs/>
          <w:color w:val="000000" w:themeColor="text1"/>
          <w:sz w:val="22"/>
          <w:szCs w:val="22"/>
        </w:rPr>
        <w:t xml:space="preserve">1.5 Funding </w:t>
      </w:r>
      <w:r w:rsidR="00DD07F4" w:rsidRPr="00DD07F4">
        <w:rPr>
          <w:rFonts w:ascii="Arial" w:hAnsi="Arial" w:cs="Arial"/>
          <w:b/>
          <w:bCs/>
          <w:color w:val="000000" w:themeColor="text1"/>
          <w:sz w:val="22"/>
          <w:szCs w:val="22"/>
        </w:rPr>
        <w:t>Strategies</w:t>
      </w:r>
      <w:r w:rsidRPr="00DD07F4">
        <w:rPr>
          <w:rFonts w:ascii="Arial" w:hAnsi="Arial" w:cs="Arial"/>
          <w:b/>
          <w:bCs/>
          <w:color w:val="000000" w:themeColor="text1"/>
          <w:sz w:val="22"/>
          <w:szCs w:val="22"/>
        </w:rPr>
        <w:t xml:space="preserve"> of Morgan Advanced Material</w:t>
      </w:r>
      <w:bookmarkEnd w:id="5"/>
    </w:p>
    <w:p w14:paraId="79C40C32" w14:textId="77777777" w:rsidR="00C33C75" w:rsidRDefault="00C33C75" w:rsidP="00990011">
      <w:pPr>
        <w:spacing w:line="360" w:lineRule="auto"/>
        <w:jc w:val="both"/>
        <w:rPr>
          <w:rFonts w:ascii="Arial" w:hAnsi="Arial" w:cs="Arial"/>
        </w:rPr>
      </w:pPr>
    </w:p>
    <w:p w14:paraId="7D750697" w14:textId="77777777" w:rsidR="00990011" w:rsidRDefault="00990011" w:rsidP="00F8653B">
      <w:pPr>
        <w:spacing w:line="360" w:lineRule="auto"/>
        <w:jc w:val="both"/>
        <w:rPr>
          <w:rFonts w:ascii="Arial" w:hAnsi="Arial" w:cs="Arial"/>
        </w:rPr>
      </w:pPr>
    </w:p>
    <w:p w14:paraId="4989730C" w14:textId="44E43306" w:rsidR="00BC0F89" w:rsidRDefault="00BC0F89" w:rsidP="00F8653B">
      <w:pPr>
        <w:spacing w:line="360" w:lineRule="auto"/>
        <w:jc w:val="both"/>
        <w:rPr>
          <w:rFonts w:ascii="Arial" w:hAnsi="Arial" w:cs="Arial"/>
        </w:rPr>
      </w:pPr>
    </w:p>
    <w:p w14:paraId="665C022C" w14:textId="42B8D3F8" w:rsidR="009454EC" w:rsidRDefault="00CC0361" w:rsidP="00F8653B">
      <w:pPr>
        <w:spacing w:line="360" w:lineRule="auto"/>
        <w:jc w:val="both"/>
        <w:rPr>
          <w:rFonts w:ascii="Arial" w:hAnsi="Arial" w:cs="Arial"/>
        </w:rPr>
      </w:pPr>
      <w:r>
        <w:rPr>
          <w:noProof/>
        </w:rPr>
        <w:drawing>
          <wp:anchor distT="0" distB="0" distL="114300" distR="114300" simplePos="0" relativeHeight="251660288" behindDoc="0" locked="0" layoutInCell="1" allowOverlap="1" wp14:anchorId="47A8A17E" wp14:editId="383F4E34">
            <wp:simplePos x="0" y="0"/>
            <wp:positionH relativeFrom="column">
              <wp:posOffset>647700</wp:posOffset>
            </wp:positionH>
            <wp:positionV relativeFrom="paragraph">
              <wp:posOffset>0</wp:posOffset>
            </wp:positionV>
            <wp:extent cx="4290060" cy="2590800"/>
            <wp:effectExtent l="0" t="0" r="15240" b="0"/>
            <wp:wrapNone/>
            <wp:docPr id="4" name="Chart 4">
              <a:extLst xmlns:a="http://schemas.openxmlformats.org/drawingml/2006/main">
                <a:ext uri="{FF2B5EF4-FFF2-40B4-BE49-F238E27FC236}">
                  <a16:creationId xmlns:a16="http://schemas.microsoft.com/office/drawing/2014/main" id="{9C2AD6FE-75C5-443E-8EAD-F1A1B2B56D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50081587" w14:textId="77777777" w:rsidR="00F477F9" w:rsidRPr="00F477F9" w:rsidRDefault="00F477F9" w:rsidP="00F477F9">
      <w:pPr>
        <w:rPr>
          <w:rFonts w:ascii="Arial" w:hAnsi="Arial" w:cs="Arial"/>
        </w:rPr>
      </w:pPr>
    </w:p>
    <w:p w14:paraId="57FEB108" w14:textId="77777777" w:rsidR="00F477F9" w:rsidRPr="00F477F9" w:rsidRDefault="00F477F9" w:rsidP="00F477F9">
      <w:pPr>
        <w:rPr>
          <w:rFonts w:ascii="Arial" w:hAnsi="Arial" w:cs="Arial"/>
        </w:rPr>
      </w:pPr>
    </w:p>
    <w:p w14:paraId="34DCB89C" w14:textId="77777777" w:rsidR="00F477F9" w:rsidRPr="00F477F9" w:rsidRDefault="00F477F9" w:rsidP="00F477F9">
      <w:pPr>
        <w:rPr>
          <w:rFonts w:ascii="Arial" w:hAnsi="Arial" w:cs="Arial"/>
        </w:rPr>
      </w:pPr>
    </w:p>
    <w:p w14:paraId="13FBC96C" w14:textId="77777777" w:rsidR="00F477F9" w:rsidRPr="00F477F9" w:rsidRDefault="00F477F9" w:rsidP="00F477F9">
      <w:pPr>
        <w:rPr>
          <w:rFonts w:ascii="Arial" w:hAnsi="Arial" w:cs="Arial"/>
        </w:rPr>
      </w:pPr>
    </w:p>
    <w:p w14:paraId="49C67D19" w14:textId="77777777" w:rsidR="00F477F9" w:rsidRPr="00F477F9" w:rsidRDefault="00F477F9" w:rsidP="00F477F9">
      <w:pPr>
        <w:rPr>
          <w:rFonts w:ascii="Arial" w:hAnsi="Arial" w:cs="Arial"/>
        </w:rPr>
      </w:pPr>
    </w:p>
    <w:p w14:paraId="2269BB14" w14:textId="77777777" w:rsidR="00F477F9" w:rsidRPr="00F477F9" w:rsidRDefault="00F477F9" w:rsidP="00F477F9">
      <w:pPr>
        <w:rPr>
          <w:rFonts w:ascii="Arial" w:hAnsi="Arial" w:cs="Arial"/>
        </w:rPr>
      </w:pPr>
    </w:p>
    <w:p w14:paraId="60C5A061" w14:textId="77777777" w:rsidR="00F477F9" w:rsidRDefault="00F477F9" w:rsidP="00F477F9">
      <w:pPr>
        <w:rPr>
          <w:rFonts w:ascii="Arial" w:hAnsi="Arial" w:cs="Arial"/>
        </w:rPr>
      </w:pPr>
    </w:p>
    <w:p w14:paraId="48E811F4" w14:textId="77777777" w:rsidR="00F477F9" w:rsidRDefault="00F477F9" w:rsidP="00F477F9">
      <w:pPr>
        <w:jc w:val="right"/>
        <w:rPr>
          <w:rFonts w:ascii="Arial" w:hAnsi="Arial" w:cs="Arial"/>
        </w:rPr>
      </w:pPr>
    </w:p>
    <w:p w14:paraId="11FEAD77" w14:textId="77777777" w:rsidR="00F477F9" w:rsidRDefault="00F477F9" w:rsidP="00F477F9">
      <w:pPr>
        <w:jc w:val="right"/>
        <w:rPr>
          <w:rFonts w:ascii="Arial" w:hAnsi="Arial" w:cs="Arial"/>
        </w:rPr>
      </w:pPr>
    </w:p>
    <w:p w14:paraId="37466C9E" w14:textId="77777777" w:rsidR="00F477F9" w:rsidRDefault="00F477F9" w:rsidP="00F477F9">
      <w:pPr>
        <w:jc w:val="right"/>
        <w:rPr>
          <w:rFonts w:ascii="Arial" w:hAnsi="Arial" w:cs="Arial"/>
        </w:rPr>
      </w:pPr>
    </w:p>
    <w:p w14:paraId="4A11FE43" w14:textId="77777777" w:rsidR="00F477F9" w:rsidRDefault="00F477F9" w:rsidP="00F477F9">
      <w:pPr>
        <w:jc w:val="right"/>
        <w:rPr>
          <w:rFonts w:ascii="Arial" w:hAnsi="Arial" w:cs="Arial"/>
        </w:rPr>
      </w:pPr>
    </w:p>
    <w:p w14:paraId="023A65BD" w14:textId="77777777" w:rsidR="00846F14" w:rsidRDefault="007158EA" w:rsidP="008C05EA">
      <w:pPr>
        <w:tabs>
          <w:tab w:val="left" w:pos="636"/>
        </w:tabs>
        <w:spacing w:line="360" w:lineRule="auto"/>
        <w:jc w:val="both"/>
        <w:rPr>
          <w:rFonts w:ascii="Arial" w:hAnsi="Arial" w:cs="Arial"/>
        </w:rPr>
      </w:pPr>
      <w:r>
        <w:rPr>
          <w:rFonts w:ascii="Arial" w:hAnsi="Arial" w:cs="Arial"/>
        </w:rPr>
        <w:t xml:space="preserve">In determining which financing firms choose, one should take into account the effect of tax policies, agency relations, and legal institutions on finance decisions (Wald, 1999). “High profits mean low debt and vice versa” (Myers, 2001). The higher debt levels detected for MAM in earlier years, for example, reached a peak of (£364.9M) in 2016, with a debt-to-equity ratio of 2.22 and a gearing ratio of 68.90. This indicates that MAM incurred more debt during periods of lower profits to finance its operations and growth, hence relying on the tax benefits of debt as per the trade-off perspective. However, MAM's reliance on debt in 2017 decreased drastically to (£231.7M), with a 0.99 debt-to-equity ratio and a gearing ratio of 49.72. The </w:t>
      </w:r>
      <w:r>
        <w:rPr>
          <w:rFonts w:ascii="Arial" w:hAnsi="Arial" w:cs="Arial"/>
        </w:rPr>
        <w:lastRenderedPageBreak/>
        <w:t>subsequent reduction of debt and increase in equity financing in later years resulted in the company gaining steady profits, leading to a conservative capital structure.</w:t>
      </w:r>
      <w:r w:rsidR="007924BE">
        <w:rPr>
          <w:rFonts w:ascii="Arial" w:hAnsi="Arial" w:cs="Arial"/>
        </w:rPr>
        <w:t xml:space="preserve"> </w:t>
      </w:r>
      <w:r w:rsidR="00C11E78">
        <w:rPr>
          <w:rFonts w:ascii="Arial" w:hAnsi="Arial" w:cs="Arial"/>
        </w:rPr>
        <w:t xml:space="preserve">Decreasing debt </w:t>
      </w:r>
      <w:r w:rsidR="00241852">
        <w:rPr>
          <w:rFonts w:ascii="Arial" w:hAnsi="Arial" w:cs="Arial"/>
        </w:rPr>
        <w:t>diminishes</w:t>
      </w:r>
      <w:r w:rsidR="00C11E78">
        <w:rPr>
          <w:rFonts w:ascii="Arial" w:hAnsi="Arial" w:cs="Arial"/>
        </w:rPr>
        <w:t xml:space="preserve"> </w:t>
      </w:r>
      <w:r w:rsidR="00241852">
        <w:rPr>
          <w:rFonts w:ascii="Arial" w:hAnsi="Arial" w:cs="Arial"/>
        </w:rPr>
        <w:t>the possibility of creditor inv</w:t>
      </w:r>
      <w:r w:rsidR="004E1D36">
        <w:rPr>
          <w:rFonts w:ascii="Arial" w:hAnsi="Arial" w:cs="Arial"/>
        </w:rPr>
        <w:t xml:space="preserve">olvement while also aligning </w:t>
      </w:r>
      <w:r w:rsidR="00875185">
        <w:rPr>
          <w:rFonts w:ascii="Arial" w:hAnsi="Arial" w:cs="Arial"/>
        </w:rPr>
        <w:t>management</w:t>
      </w:r>
      <w:r w:rsidR="004E1D36">
        <w:rPr>
          <w:rFonts w:ascii="Arial" w:hAnsi="Arial" w:cs="Arial"/>
        </w:rPr>
        <w:t xml:space="preserve"> decisions with </w:t>
      </w:r>
      <w:r w:rsidR="00D525BB">
        <w:rPr>
          <w:rFonts w:ascii="Arial" w:hAnsi="Arial" w:cs="Arial"/>
        </w:rPr>
        <w:t>shareholder</w:t>
      </w:r>
      <w:r w:rsidR="004E1D36">
        <w:rPr>
          <w:rFonts w:ascii="Arial" w:hAnsi="Arial" w:cs="Arial"/>
        </w:rPr>
        <w:t xml:space="preserve"> interest</w:t>
      </w:r>
      <w:r w:rsidR="00D525BB">
        <w:rPr>
          <w:rFonts w:ascii="Arial" w:hAnsi="Arial" w:cs="Arial"/>
        </w:rPr>
        <w:t xml:space="preserve">s, </w:t>
      </w:r>
      <w:r w:rsidR="00875185">
        <w:rPr>
          <w:rFonts w:ascii="Arial" w:hAnsi="Arial" w:cs="Arial"/>
        </w:rPr>
        <w:t>boosting financial flexibility and minimising conflict.</w:t>
      </w:r>
    </w:p>
    <w:p w14:paraId="6F28E69C" w14:textId="463F3754" w:rsidR="009A036C" w:rsidRDefault="009A036C" w:rsidP="008C05EA">
      <w:pPr>
        <w:tabs>
          <w:tab w:val="left" w:pos="636"/>
        </w:tabs>
        <w:spacing w:line="360" w:lineRule="auto"/>
        <w:jc w:val="both"/>
        <w:rPr>
          <w:rFonts w:ascii="Arial" w:hAnsi="Arial" w:cs="Arial"/>
        </w:rPr>
      </w:pPr>
      <w:r>
        <w:rPr>
          <w:rFonts w:ascii="Arial" w:hAnsi="Arial" w:cs="Arial"/>
        </w:rPr>
        <w:t xml:space="preserve">MAM’s </w:t>
      </w:r>
      <w:r w:rsidR="00370E84">
        <w:rPr>
          <w:rFonts w:ascii="Arial" w:hAnsi="Arial" w:cs="Arial"/>
        </w:rPr>
        <w:t>structure of capital</w:t>
      </w:r>
      <w:r w:rsidR="00A6109F">
        <w:rPr>
          <w:rFonts w:ascii="Arial" w:hAnsi="Arial" w:cs="Arial"/>
        </w:rPr>
        <w:t xml:space="preserve"> and </w:t>
      </w:r>
      <w:r w:rsidR="00BA1273">
        <w:rPr>
          <w:rFonts w:ascii="Arial" w:hAnsi="Arial" w:cs="Arial"/>
        </w:rPr>
        <w:t xml:space="preserve">way of financing money </w:t>
      </w:r>
      <w:r w:rsidR="00C11B09">
        <w:rPr>
          <w:rFonts w:ascii="Arial" w:hAnsi="Arial" w:cs="Arial"/>
        </w:rPr>
        <w:t>is</w:t>
      </w:r>
      <w:r w:rsidR="00BA1273">
        <w:rPr>
          <w:rFonts w:ascii="Arial" w:hAnsi="Arial" w:cs="Arial"/>
        </w:rPr>
        <w:t xml:space="preserve"> perfectly in line with the </w:t>
      </w:r>
      <w:r w:rsidR="00C11B09">
        <w:rPr>
          <w:rFonts w:ascii="Arial" w:hAnsi="Arial" w:cs="Arial"/>
        </w:rPr>
        <w:t>concept of Trade-off and pecking order theories</w:t>
      </w:r>
      <w:r w:rsidR="00CC4071">
        <w:rPr>
          <w:rFonts w:ascii="Arial" w:hAnsi="Arial" w:cs="Arial"/>
        </w:rPr>
        <w:t xml:space="preserve">, as demonstrated by </w:t>
      </w:r>
      <w:r w:rsidR="00FE69DA">
        <w:rPr>
          <w:rFonts w:ascii="Arial" w:hAnsi="Arial" w:cs="Arial"/>
        </w:rPr>
        <w:t xml:space="preserve">its strategic use of debt during less profit period </w:t>
      </w:r>
      <w:r w:rsidR="008F00AC">
        <w:rPr>
          <w:rFonts w:ascii="Arial" w:hAnsi="Arial" w:cs="Arial"/>
        </w:rPr>
        <w:t>and gradual shift towards equity financing as profitability increases.</w:t>
      </w:r>
    </w:p>
    <w:p w14:paraId="3754265B" w14:textId="77777777" w:rsidR="009F5EB1" w:rsidRDefault="009F5EB1" w:rsidP="008C05EA">
      <w:pPr>
        <w:tabs>
          <w:tab w:val="left" w:pos="636"/>
        </w:tabs>
        <w:spacing w:line="360" w:lineRule="auto"/>
        <w:jc w:val="both"/>
        <w:rPr>
          <w:rFonts w:ascii="Arial" w:hAnsi="Arial" w:cs="Arial"/>
        </w:rPr>
      </w:pPr>
    </w:p>
    <w:p w14:paraId="763B5BB7" w14:textId="0BA5E182" w:rsidR="000E1BF0" w:rsidRDefault="00633554" w:rsidP="009E7412">
      <w:pPr>
        <w:pStyle w:val="Heading2"/>
        <w:rPr>
          <w:rFonts w:ascii="Arial" w:hAnsi="Arial" w:cs="Arial"/>
          <w:b/>
          <w:bCs/>
          <w:color w:val="000000" w:themeColor="text1"/>
          <w:sz w:val="22"/>
          <w:szCs w:val="22"/>
        </w:rPr>
      </w:pPr>
      <w:bookmarkStart w:id="6" w:name="_Toc185149301"/>
      <w:r w:rsidRPr="009E7412">
        <w:rPr>
          <w:rFonts w:ascii="Arial" w:hAnsi="Arial" w:cs="Arial"/>
          <w:b/>
          <w:bCs/>
          <w:color w:val="000000" w:themeColor="text1"/>
          <w:sz w:val="22"/>
          <w:szCs w:val="22"/>
        </w:rPr>
        <w:t>1.</w:t>
      </w:r>
      <w:r w:rsidR="009E7412" w:rsidRPr="009E7412">
        <w:rPr>
          <w:rFonts w:ascii="Arial" w:hAnsi="Arial" w:cs="Arial"/>
          <w:b/>
          <w:bCs/>
          <w:color w:val="000000" w:themeColor="text1"/>
          <w:sz w:val="22"/>
          <w:szCs w:val="22"/>
        </w:rPr>
        <w:t>6</w:t>
      </w:r>
      <w:r w:rsidRPr="009E7412">
        <w:rPr>
          <w:rFonts w:ascii="Arial" w:hAnsi="Arial" w:cs="Arial"/>
          <w:b/>
          <w:bCs/>
          <w:color w:val="000000" w:themeColor="text1"/>
          <w:sz w:val="22"/>
          <w:szCs w:val="22"/>
        </w:rPr>
        <w:t xml:space="preserve"> </w:t>
      </w:r>
      <w:r w:rsidR="000E1BF0" w:rsidRPr="009E7412">
        <w:rPr>
          <w:rFonts w:ascii="Arial" w:hAnsi="Arial" w:cs="Arial"/>
          <w:b/>
          <w:bCs/>
          <w:color w:val="000000" w:themeColor="text1"/>
          <w:sz w:val="22"/>
          <w:szCs w:val="22"/>
        </w:rPr>
        <w:t>Capital structure theories with MAM’s financing strategies</w:t>
      </w:r>
      <w:r w:rsidR="009E7412" w:rsidRPr="009E7412">
        <w:rPr>
          <w:rFonts w:ascii="Arial" w:hAnsi="Arial" w:cs="Arial"/>
          <w:b/>
          <w:bCs/>
          <w:color w:val="000000" w:themeColor="text1"/>
          <w:sz w:val="22"/>
          <w:szCs w:val="22"/>
        </w:rPr>
        <w:t xml:space="preserve"> (ANALYSIS)</w:t>
      </w:r>
      <w:bookmarkEnd w:id="6"/>
    </w:p>
    <w:p w14:paraId="48CBDB6E" w14:textId="77777777" w:rsidR="009E7412" w:rsidRPr="009E7412" w:rsidRDefault="009E7412" w:rsidP="009E7412"/>
    <w:p w14:paraId="2B794730" w14:textId="77777777" w:rsidR="009E7412" w:rsidRDefault="001C0DEF" w:rsidP="008C05EA">
      <w:pPr>
        <w:tabs>
          <w:tab w:val="left" w:pos="636"/>
        </w:tabs>
        <w:spacing w:line="360" w:lineRule="auto"/>
        <w:jc w:val="both"/>
        <w:rPr>
          <w:rFonts w:ascii="Arial" w:hAnsi="Arial" w:cs="Arial"/>
        </w:rPr>
      </w:pPr>
      <w:r w:rsidRPr="00140133">
        <w:rPr>
          <w:rFonts w:ascii="Arial" w:hAnsi="Arial" w:cs="Arial"/>
        </w:rPr>
        <w:t xml:space="preserve">The trade-off </w:t>
      </w:r>
      <w:r w:rsidR="00AC2F46">
        <w:rPr>
          <w:rFonts w:ascii="Arial" w:hAnsi="Arial" w:cs="Arial"/>
        </w:rPr>
        <w:t>and pecking order theories</w:t>
      </w:r>
      <w:r w:rsidRPr="00140133">
        <w:rPr>
          <w:rFonts w:ascii="Arial" w:hAnsi="Arial" w:cs="Arial"/>
        </w:rPr>
        <w:t xml:space="preserve"> are the most accepted theories of capital structure</w:t>
      </w:r>
      <w:r w:rsidR="00140133">
        <w:rPr>
          <w:rFonts w:ascii="Arial" w:hAnsi="Arial" w:cs="Arial"/>
        </w:rPr>
        <w:t xml:space="preserve">. </w:t>
      </w:r>
      <w:r w:rsidR="00335BD5">
        <w:rPr>
          <w:rFonts w:ascii="Arial" w:hAnsi="Arial" w:cs="Arial"/>
        </w:rPr>
        <w:t xml:space="preserve">The trade-off theory states that </w:t>
      </w:r>
      <w:r w:rsidR="00637594">
        <w:rPr>
          <w:rFonts w:ascii="Arial" w:hAnsi="Arial" w:cs="Arial"/>
        </w:rPr>
        <w:t>companies have one optimal leverage (target leverage)</w:t>
      </w:r>
      <w:r w:rsidR="001E2894">
        <w:rPr>
          <w:rFonts w:ascii="Arial" w:hAnsi="Arial" w:cs="Arial"/>
        </w:rPr>
        <w:t xml:space="preserve">. </w:t>
      </w:r>
      <w:r w:rsidR="006B2EAE">
        <w:rPr>
          <w:rFonts w:ascii="Arial" w:hAnsi="Arial" w:cs="Arial"/>
        </w:rPr>
        <w:t xml:space="preserve">Firms always plan to keep the debt ratio close to the </w:t>
      </w:r>
      <w:r w:rsidR="00153325">
        <w:rPr>
          <w:rFonts w:ascii="Arial" w:hAnsi="Arial" w:cs="Arial"/>
        </w:rPr>
        <w:t>ideal leverage ratio, and any deviations will gradually return to it</w:t>
      </w:r>
      <w:r w:rsidR="001D010E">
        <w:rPr>
          <w:rFonts w:ascii="Arial" w:hAnsi="Arial" w:cs="Arial"/>
        </w:rPr>
        <w:t xml:space="preserve">. To achieve the </w:t>
      </w:r>
      <w:r w:rsidR="009A0AB6">
        <w:rPr>
          <w:rFonts w:ascii="Arial" w:hAnsi="Arial" w:cs="Arial"/>
        </w:rPr>
        <w:t xml:space="preserve">appropriate level, </w:t>
      </w:r>
      <w:r w:rsidR="000557FE">
        <w:rPr>
          <w:rFonts w:ascii="Arial" w:hAnsi="Arial" w:cs="Arial"/>
        </w:rPr>
        <w:t xml:space="preserve">the benefits of debt or equity should be traded against </w:t>
      </w:r>
      <w:r w:rsidR="009A0AB6">
        <w:rPr>
          <w:rFonts w:ascii="Arial" w:hAnsi="Arial" w:cs="Arial"/>
        </w:rPr>
        <w:t xml:space="preserve">potential </w:t>
      </w:r>
      <w:r w:rsidR="009A0AB6" w:rsidRPr="000B5916">
        <w:rPr>
          <w:rFonts w:ascii="Arial" w:hAnsi="Arial" w:cs="Arial"/>
        </w:rPr>
        <w:t>losses</w:t>
      </w:r>
      <w:r w:rsidR="0067174E" w:rsidRPr="000B5916">
        <w:rPr>
          <w:rFonts w:ascii="Arial" w:hAnsi="Arial" w:cs="Arial"/>
        </w:rPr>
        <w:t xml:space="preserve"> (Mostafa and Boregowda, 2014).</w:t>
      </w:r>
      <w:r w:rsidR="00E212C9">
        <w:rPr>
          <w:rFonts w:ascii="Arial" w:hAnsi="Arial" w:cs="Arial"/>
        </w:rPr>
        <w:t xml:space="preserve"> The decisions MAM makes in its capital structure </w:t>
      </w:r>
      <w:r w:rsidR="00967739">
        <w:rPr>
          <w:rFonts w:ascii="Arial" w:hAnsi="Arial" w:cs="Arial"/>
        </w:rPr>
        <w:t>correspond</w:t>
      </w:r>
      <w:r w:rsidR="00CE063D">
        <w:rPr>
          <w:rFonts w:ascii="Arial" w:hAnsi="Arial" w:cs="Arial"/>
        </w:rPr>
        <w:t xml:space="preserve"> to the principle of the traditional </w:t>
      </w:r>
      <w:r w:rsidR="00967739">
        <w:rPr>
          <w:rFonts w:ascii="Arial" w:hAnsi="Arial" w:cs="Arial"/>
        </w:rPr>
        <w:t>trade-off</w:t>
      </w:r>
      <w:r w:rsidR="00CE063D">
        <w:rPr>
          <w:rFonts w:ascii="Arial" w:hAnsi="Arial" w:cs="Arial"/>
        </w:rPr>
        <w:t xml:space="preserve"> theory</w:t>
      </w:r>
      <w:r w:rsidR="00967739">
        <w:rPr>
          <w:rFonts w:ascii="Arial" w:hAnsi="Arial" w:cs="Arial"/>
        </w:rPr>
        <w:t xml:space="preserve">, which Is evident in </w:t>
      </w:r>
      <w:r w:rsidR="006C3BED">
        <w:rPr>
          <w:rFonts w:ascii="Arial" w:hAnsi="Arial" w:cs="Arial"/>
        </w:rPr>
        <w:t xml:space="preserve">the </w:t>
      </w:r>
      <w:r w:rsidR="00844669">
        <w:rPr>
          <w:rFonts w:ascii="Arial" w:hAnsi="Arial" w:cs="Arial"/>
        </w:rPr>
        <w:t xml:space="preserve">company’s </w:t>
      </w:r>
      <w:r w:rsidR="001B31FF">
        <w:rPr>
          <w:rFonts w:ascii="Arial" w:hAnsi="Arial" w:cs="Arial"/>
        </w:rPr>
        <w:t>elevation</w:t>
      </w:r>
      <w:r w:rsidR="006C3BED">
        <w:rPr>
          <w:rFonts w:ascii="Arial" w:hAnsi="Arial" w:cs="Arial"/>
        </w:rPr>
        <w:t xml:space="preserve"> of leverage levels</w:t>
      </w:r>
      <w:r w:rsidR="001B31FF">
        <w:rPr>
          <w:rFonts w:ascii="Arial" w:hAnsi="Arial" w:cs="Arial"/>
        </w:rPr>
        <w:t xml:space="preserve">. </w:t>
      </w:r>
      <w:r w:rsidR="00D42F70">
        <w:rPr>
          <w:rFonts w:ascii="Arial" w:hAnsi="Arial" w:cs="Arial"/>
        </w:rPr>
        <w:t>F</w:t>
      </w:r>
      <w:r w:rsidR="00C03306">
        <w:rPr>
          <w:rFonts w:ascii="Arial" w:hAnsi="Arial" w:cs="Arial"/>
        </w:rPr>
        <w:t>irms</w:t>
      </w:r>
      <w:r w:rsidR="00DB3EEF">
        <w:rPr>
          <w:rFonts w:ascii="Arial" w:hAnsi="Arial" w:cs="Arial"/>
        </w:rPr>
        <w:t xml:space="preserve"> aim for an optimal debt ratio</w:t>
      </w:r>
      <w:r w:rsidR="00C03306">
        <w:rPr>
          <w:rFonts w:ascii="Arial" w:hAnsi="Arial" w:cs="Arial"/>
        </w:rPr>
        <w:t xml:space="preserve"> by balancing </w:t>
      </w:r>
      <w:r w:rsidR="00B1794B">
        <w:rPr>
          <w:rFonts w:ascii="Arial" w:hAnsi="Arial" w:cs="Arial"/>
        </w:rPr>
        <w:t>the benefits</w:t>
      </w:r>
      <w:r w:rsidR="00D53221">
        <w:rPr>
          <w:rFonts w:ascii="Arial" w:hAnsi="Arial" w:cs="Arial"/>
        </w:rPr>
        <w:t xml:space="preserve"> of debt</w:t>
      </w:r>
      <w:r w:rsidR="00755A23">
        <w:rPr>
          <w:rFonts w:ascii="Arial" w:hAnsi="Arial" w:cs="Arial"/>
        </w:rPr>
        <w:t xml:space="preserve"> </w:t>
      </w:r>
      <w:r w:rsidR="00912F7F">
        <w:rPr>
          <w:rFonts w:ascii="Arial" w:hAnsi="Arial" w:cs="Arial"/>
        </w:rPr>
        <w:t xml:space="preserve">such as possible losses like bankruptcy, </w:t>
      </w:r>
      <w:r w:rsidR="00A409E8">
        <w:rPr>
          <w:rFonts w:ascii="Arial" w:hAnsi="Arial" w:cs="Arial"/>
        </w:rPr>
        <w:t xml:space="preserve">and </w:t>
      </w:r>
      <w:r w:rsidR="00075790">
        <w:rPr>
          <w:rFonts w:ascii="Arial" w:hAnsi="Arial" w:cs="Arial"/>
        </w:rPr>
        <w:t>interest tax shield</w:t>
      </w:r>
      <w:r w:rsidR="005548E4">
        <w:rPr>
          <w:rFonts w:ascii="Arial" w:hAnsi="Arial" w:cs="Arial"/>
        </w:rPr>
        <w:t>.</w:t>
      </w:r>
      <w:r w:rsidR="00004B51">
        <w:rPr>
          <w:rFonts w:ascii="Arial" w:hAnsi="Arial" w:cs="Arial"/>
        </w:rPr>
        <w:t xml:space="preserve"> </w:t>
      </w:r>
      <w:r w:rsidR="008B4814">
        <w:rPr>
          <w:rFonts w:ascii="Arial" w:hAnsi="Arial" w:cs="Arial"/>
        </w:rPr>
        <w:t>MAM</w:t>
      </w:r>
      <w:r w:rsidR="00BA6B21">
        <w:rPr>
          <w:rFonts w:ascii="Arial" w:hAnsi="Arial" w:cs="Arial"/>
        </w:rPr>
        <w:t xml:space="preserve">’s debt usage was higher </w:t>
      </w:r>
      <w:r w:rsidR="00CB5E09">
        <w:rPr>
          <w:rFonts w:ascii="Arial" w:hAnsi="Arial" w:cs="Arial"/>
        </w:rPr>
        <w:t xml:space="preserve">in </w:t>
      </w:r>
      <w:r w:rsidR="00CF6F0E">
        <w:rPr>
          <w:rFonts w:ascii="Arial" w:hAnsi="Arial" w:cs="Arial"/>
        </w:rPr>
        <w:t xml:space="preserve">the </w:t>
      </w:r>
      <w:r w:rsidR="00CB5E09">
        <w:rPr>
          <w:rFonts w:ascii="Arial" w:hAnsi="Arial" w:cs="Arial"/>
        </w:rPr>
        <w:t>initial stage</w:t>
      </w:r>
      <w:r w:rsidR="0037282E">
        <w:rPr>
          <w:rFonts w:ascii="Arial" w:hAnsi="Arial" w:cs="Arial"/>
        </w:rPr>
        <w:t>. It peaked in 2016 with (364.9M) with a debt-to-equity ratio of 2.22 showing a strategic dependence on debt for expansion and was able to benefit from tax advantage. However,</w:t>
      </w:r>
      <w:r w:rsidR="00FD0A1C">
        <w:rPr>
          <w:rFonts w:ascii="Arial" w:hAnsi="Arial" w:cs="Arial"/>
        </w:rPr>
        <w:t xml:space="preserve"> the downside was an increased financial risk</w:t>
      </w:r>
      <w:r w:rsidR="0037282E">
        <w:rPr>
          <w:rFonts w:ascii="Arial" w:hAnsi="Arial" w:cs="Arial"/>
        </w:rPr>
        <w:t>.</w:t>
      </w:r>
      <w:r w:rsidR="008141A2">
        <w:rPr>
          <w:rFonts w:ascii="Arial" w:hAnsi="Arial" w:cs="Arial"/>
        </w:rPr>
        <w:t xml:space="preserve"> </w:t>
      </w:r>
      <w:r w:rsidR="00004B51">
        <w:rPr>
          <w:rFonts w:ascii="Arial" w:hAnsi="Arial" w:cs="Arial"/>
        </w:rPr>
        <w:t>According to</w:t>
      </w:r>
      <w:r w:rsidR="007311C9">
        <w:rPr>
          <w:rFonts w:ascii="Arial" w:hAnsi="Arial" w:cs="Arial"/>
        </w:rPr>
        <w:t xml:space="preserve"> </w:t>
      </w:r>
      <w:r w:rsidR="00004B51">
        <w:rPr>
          <w:rFonts w:ascii="Arial" w:hAnsi="Arial" w:cs="Arial"/>
        </w:rPr>
        <w:t>Mac-Kie-Mason (1990</w:t>
      </w:r>
      <w:r w:rsidR="00175C31">
        <w:rPr>
          <w:rFonts w:ascii="Arial" w:hAnsi="Arial" w:cs="Arial"/>
        </w:rPr>
        <w:t xml:space="preserve">) demonstrates that tax-paying </w:t>
      </w:r>
      <w:r w:rsidR="0051718E">
        <w:rPr>
          <w:rFonts w:ascii="Arial" w:hAnsi="Arial" w:cs="Arial"/>
        </w:rPr>
        <w:t>firms</w:t>
      </w:r>
      <w:r w:rsidR="00CD32C5">
        <w:rPr>
          <w:rFonts w:ascii="Arial" w:hAnsi="Arial" w:cs="Arial"/>
        </w:rPr>
        <w:t xml:space="preserve"> prefer debt. Long-term debt is heavily reliant on the firm’s efficient marginal tax.</w:t>
      </w:r>
      <w:r w:rsidR="006D79D7">
        <w:rPr>
          <w:rFonts w:ascii="Arial" w:hAnsi="Arial" w:cs="Arial"/>
        </w:rPr>
        <w:t xml:space="preserve"> </w:t>
      </w:r>
    </w:p>
    <w:p w14:paraId="4A0F50C9" w14:textId="5AEC0499" w:rsidR="00534B1B" w:rsidRPr="009E7412" w:rsidRDefault="00633554" w:rsidP="008C05EA">
      <w:pPr>
        <w:tabs>
          <w:tab w:val="left" w:pos="636"/>
        </w:tabs>
        <w:spacing w:line="360" w:lineRule="auto"/>
        <w:jc w:val="both"/>
        <w:rPr>
          <w:rFonts w:ascii="Arial" w:hAnsi="Arial" w:cs="Arial"/>
        </w:rPr>
      </w:pPr>
      <w:r>
        <w:rPr>
          <w:rFonts w:ascii="Arial" w:hAnsi="Arial" w:cs="Arial"/>
          <w:b/>
          <w:bCs/>
        </w:rPr>
        <w:t xml:space="preserve"> </w:t>
      </w:r>
      <w:r w:rsidR="00534B1B" w:rsidRPr="009E65E5">
        <w:rPr>
          <w:rFonts w:ascii="Arial" w:hAnsi="Arial" w:cs="Arial"/>
          <w:b/>
          <w:bCs/>
        </w:rPr>
        <w:t>MAM’s Strategic Implication</w:t>
      </w:r>
      <w:r w:rsidR="002034FA" w:rsidRPr="009E65E5">
        <w:rPr>
          <w:rFonts w:ascii="Arial" w:hAnsi="Arial" w:cs="Arial"/>
          <w:b/>
          <w:bCs/>
        </w:rPr>
        <w:t xml:space="preserve"> of Debt in Competitive Interaction</w:t>
      </w:r>
      <w:r w:rsidR="006678B7">
        <w:rPr>
          <w:rFonts w:ascii="Arial" w:hAnsi="Arial" w:cs="Arial"/>
          <w:b/>
          <w:bCs/>
        </w:rPr>
        <w:t xml:space="preserve"> </w:t>
      </w:r>
    </w:p>
    <w:p w14:paraId="3DA9BF7F" w14:textId="5BD8FFE7" w:rsidR="00471CCA" w:rsidRDefault="007A7DAF" w:rsidP="008C05EA">
      <w:pPr>
        <w:tabs>
          <w:tab w:val="left" w:pos="636"/>
        </w:tabs>
        <w:spacing w:line="360" w:lineRule="auto"/>
        <w:jc w:val="both"/>
        <w:rPr>
          <w:rFonts w:ascii="Arial" w:hAnsi="Arial" w:cs="Arial"/>
        </w:rPr>
      </w:pPr>
      <w:r w:rsidRPr="007A7DAF">
        <w:rPr>
          <w:rFonts w:ascii="Arial" w:hAnsi="Arial" w:cs="Arial"/>
        </w:rPr>
        <w:t xml:space="preserve">Morgan Advanced Material </w:t>
      </w:r>
      <w:r w:rsidR="00436A0F">
        <w:rPr>
          <w:rFonts w:ascii="Arial" w:hAnsi="Arial" w:cs="Arial"/>
        </w:rPr>
        <w:t xml:space="preserve">displayed </w:t>
      </w:r>
      <w:r w:rsidR="007227EE">
        <w:rPr>
          <w:rFonts w:ascii="Arial" w:hAnsi="Arial" w:cs="Arial"/>
        </w:rPr>
        <w:t xml:space="preserve">oligopolistic </w:t>
      </w:r>
      <w:r w:rsidR="00481286">
        <w:rPr>
          <w:rFonts w:ascii="Arial" w:hAnsi="Arial" w:cs="Arial"/>
        </w:rPr>
        <w:t>characteristics</w:t>
      </w:r>
      <w:r w:rsidR="0047085D">
        <w:rPr>
          <w:rFonts w:ascii="Arial" w:hAnsi="Arial" w:cs="Arial"/>
        </w:rPr>
        <w:t xml:space="preserve"> in its early stages</w:t>
      </w:r>
      <w:r w:rsidR="00D15206">
        <w:rPr>
          <w:rFonts w:ascii="Arial" w:hAnsi="Arial" w:cs="Arial"/>
        </w:rPr>
        <w:t xml:space="preserve">, which can be analysed using the Brander and Lewis </w:t>
      </w:r>
      <w:r w:rsidR="0081638D">
        <w:rPr>
          <w:rFonts w:ascii="Arial" w:hAnsi="Arial" w:cs="Arial"/>
        </w:rPr>
        <w:t>(</w:t>
      </w:r>
      <w:r w:rsidR="00D15206">
        <w:rPr>
          <w:rFonts w:ascii="Arial" w:hAnsi="Arial" w:cs="Arial"/>
        </w:rPr>
        <w:t>1986</w:t>
      </w:r>
      <w:r w:rsidR="0081638D">
        <w:rPr>
          <w:rFonts w:ascii="Arial" w:hAnsi="Arial" w:cs="Arial"/>
        </w:rPr>
        <w:t>)</w:t>
      </w:r>
      <w:r w:rsidR="00BB298F">
        <w:rPr>
          <w:rFonts w:ascii="Arial" w:hAnsi="Arial" w:cs="Arial"/>
        </w:rPr>
        <w:t xml:space="preserve"> model</w:t>
      </w:r>
      <w:r w:rsidR="00E20039">
        <w:rPr>
          <w:rFonts w:ascii="Arial" w:hAnsi="Arial" w:cs="Arial"/>
        </w:rPr>
        <w:t xml:space="preserve">. This model </w:t>
      </w:r>
      <w:r w:rsidR="00A70159">
        <w:rPr>
          <w:rFonts w:ascii="Arial" w:hAnsi="Arial" w:cs="Arial"/>
        </w:rPr>
        <w:t>indicates that debt encoura</w:t>
      </w:r>
      <w:r w:rsidR="000F1319">
        <w:rPr>
          <w:rFonts w:ascii="Arial" w:hAnsi="Arial" w:cs="Arial"/>
        </w:rPr>
        <w:t xml:space="preserve">ges firms in </w:t>
      </w:r>
      <w:r w:rsidR="00085092">
        <w:rPr>
          <w:rFonts w:ascii="Arial" w:hAnsi="Arial" w:cs="Arial"/>
        </w:rPr>
        <w:t>a</w:t>
      </w:r>
      <w:r w:rsidR="000F1319">
        <w:rPr>
          <w:rFonts w:ascii="Arial" w:hAnsi="Arial" w:cs="Arial"/>
        </w:rPr>
        <w:t xml:space="preserve"> competitive market </w:t>
      </w:r>
      <w:r w:rsidR="0088681F">
        <w:rPr>
          <w:rFonts w:ascii="Arial" w:hAnsi="Arial" w:cs="Arial"/>
        </w:rPr>
        <w:t xml:space="preserve">with limited </w:t>
      </w:r>
      <w:r w:rsidR="00E509F3">
        <w:rPr>
          <w:rFonts w:ascii="Arial" w:hAnsi="Arial" w:cs="Arial"/>
        </w:rPr>
        <w:t>companies to adopt aggressive strategies.</w:t>
      </w:r>
      <w:r w:rsidR="00085092">
        <w:rPr>
          <w:rFonts w:ascii="Arial" w:hAnsi="Arial" w:cs="Arial"/>
        </w:rPr>
        <w:t xml:space="preserve"> MAM </w:t>
      </w:r>
      <w:r w:rsidR="00620B5E">
        <w:rPr>
          <w:rFonts w:ascii="Arial" w:hAnsi="Arial" w:cs="Arial"/>
        </w:rPr>
        <w:t>operates</w:t>
      </w:r>
      <w:r w:rsidR="00931777">
        <w:rPr>
          <w:rFonts w:ascii="Arial" w:hAnsi="Arial" w:cs="Arial"/>
        </w:rPr>
        <w:t xml:space="preserve"> in a niche advanced material market</w:t>
      </w:r>
      <w:r w:rsidR="006653E5">
        <w:rPr>
          <w:rFonts w:ascii="Arial" w:hAnsi="Arial" w:cs="Arial"/>
        </w:rPr>
        <w:t>, where t</w:t>
      </w:r>
      <w:r w:rsidR="00445233">
        <w:rPr>
          <w:rFonts w:ascii="Arial" w:hAnsi="Arial" w:cs="Arial"/>
        </w:rPr>
        <w:t xml:space="preserve">he barriers </w:t>
      </w:r>
      <w:r w:rsidR="0044190C">
        <w:rPr>
          <w:rFonts w:ascii="Arial" w:hAnsi="Arial" w:cs="Arial"/>
        </w:rPr>
        <w:t>to</w:t>
      </w:r>
      <w:r w:rsidR="00445233">
        <w:rPr>
          <w:rFonts w:ascii="Arial" w:hAnsi="Arial" w:cs="Arial"/>
        </w:rPr>
        <w:t xml:space="preserve"> entrance are high</w:t>
      </w:r>
      <w:r w:rsidR="00B17674">
        <w:rPr>
          <w:rFonts w:ascii="Arial" w:hAnsi="Arial" w:cs="Arial"/>
        </w:rPr>
        <w:t xml:space="preserve"> and specialised skills</w:t>
      </w:r>
      <w:r w:rsidR="00726D32">
        <w:rPr>
          <w:rFonts w:ascii="Arial" w:hAnsi="Arial" w:cs="Arial"/>
        </w:rPr>
        <w:t xml:space="preserve"> which may limit the competition. MAM </w:t>
      </w:r>
      <w:r w:rsidR="00335907">
        <w:rPr>
          <w:rFonts w:ascii="Arial" w:hAnsi="Arial" w:cs="Arial"/>
        </w:rPr>
        <w:t xml:space="preserve">has shown these positive debt levels </w:t>
      </w:r>
      <w:r w:rsidR="006377E3">
        <w:rPr>
          <w:rFonts w:ascii="Arial" w:hAnsi="Arial" w:cs="Arial"/>
        </w:rPr>
        <w:t xml:space="preserve">dedicated to strategies </w:t>
      </w:r>
      <w:r w:rsidR="0044190C">
        <w:rPr>
          <w:rFonts w:ascii="Arial" w:hAnsi="Arial" w:cs="Arial"/>
        </w:rPr>
        <w:t>for</w:t>
      </w:r>
      <w:r w:rsidR="006377E3">
        <w:rPr>
          <w:rFonts w:ascii="Arial" w:hAnsi="Arial" w:cs="Arial"/>
        </w:rPr>
        <w:t xml:space="preserve"> growing </w:t>
      </w:r>
      <w:r w:rsidR="0044190C">
        <w:rPr>
          <w:rFonts w:ascii="Arial" w:hAnsi="Arial" w:cs="Arial"/>
        </w:rPr>
        <w:t xml:space="preserve">the capacity of production, expanding R&amp;D </w:t>
      </w:r>
      <w:r w:rsidR="0072778E">
        <w:rPr>
          <w:rFonts w:ascii="Arial" w:hAnsi="Arial" w:cs="Arial"/>
        </w:rPr>
        <w:t xml:space="preserve">and competitive pricing </w:t>
      </w:r>
      <w:r w:rsidR="00211F2E">
        <w:rPr>
          <w:rFonts w:ascii="Arial" w:hAnsi="Arial" w:cs="Arial"/>
        </w:rPr>
        <w:t>enhancing</w:t>
      </w:r>
      <w:r w:rsidR="0056078A">
        <w:rPr>
          <w:rFonts w:ascii="Arial" w:hAnsi="Arial" w:cs="Arial"/>
        </w:rPr>
        <w:t xml:space="preserve"> its market position</w:t>
      </w:r>
      <w:r w:rsidR="00211F2E">
        <w:rPr>
          <w:rFonts w:ascii="Arial" w:hAnsi="Arial" w:cs="Arial"/>
        </w:rPr>
        <w:t xml:space="preserve"> and preventin</w:t>
      </w:r>
      <w:r w:rsidR="00DA34F8">
        <w:rPr>
          <w:rFonts w:ascii="Arial" w:hAnsi="Arial" w:cs="Arial"/>
        </w:rPr>
        <w:t>g</w:t>
      </w:r>
      <w:r w:rsidR="00211F2E">
        <w:rPr>
          <w:rFonts w:ascii="Arial" w:hAnsi="Arial" w:cs="Arial"/>
        </w:rPr>
        <w:t xml:space="preserve"> rivals</w:t>
      </w:r>
      <w:r w:rsidR="00DA34F8">
        <w:rPr>
          <w:rFonts w:ascii="Arial" w:hAnsi="Arial" w:cs="Arial"/>
        </w:rPr>
        <w:t>.</w:t>
      </w:r>
      <w:r w:rsidR="003E79B5">
        <w:rPr>
          <w:rFonts w:ascii="Arial" w:hAnsi="Arial" w:cs="Arial"/>
        </w:rPr>
        <w:t xml:space="preserve"> These actions </w:t>
      </w:r>
      <w:r w:rsidR="00120009">
        <w:rPr>
          <w:rFonts w:ascii="Arial" w:hAnsi="Arial" w:cs="Arial"/>
        </w:rPr>
        <w:t>align with the Cournot competition framework,</w:t>
      </w:r>
      <w:r w:rsidR="00DF4655">
        <w:rPr>
          <w:rFonts w:ascii="Arial" w:hAnsi="Arial" w:cs="Arial"/>
        </w:rPr>
        <w:t xml:space="preserve"> </w:t>
      </w:r>
      <w:r w:rsidR="009C0B32">
        <w:rPr>
          <w:rFonts w:ascii="Arial" w:hAnsi="Arial" w:cs="Arial"/>
        </w:rPr>
        <w:t xml:space="preserve">in </w:t>
      </w:r>
      <w:r w:rsidR="00DF4655">
        <w:rPr>
          <w:rFonts w:ascii="Arial" w:hAnsi="Arial" w:cs="Arial"/>
        </w:rPr>
        <w:t xml:space="preserve">which companies </w:t>
      </w:r>
      <w:r w:rsidR="00720BD5">
        <w:rPr>
          <w:rFonts w:ascii="Arial" w:hAnsi="Arial" w:cs="Arial"/>
        </w:rPr>
        <w:t>make</w:t>
      </w:r>
      <w:r w:rsidR="00DF4655">
        <w:rPr>
          <w:rFonts w:ascii="Arial" w:hAnsi="Arial" w:cs="Arial"/>
        </w:rPr>
        <w:t xml:space="preserve"> changes in output </w:t>
      </w:r>
      <w:r w:rsidR="00720BD5">
        <w:rPr>
          <w:rFonts w:ascii="Arial" w:hAnsi="Arial" w:cs="Arial"/>
        </w:rPr>
        <w:t xml:space="preserve">and investments regarding the moves of the competitors. </w:t>
      </w:r>
      <w:r w:rsidR="009C0B32">
        <w:rPr>
          <w:rFonts w:ascii="Arial" w:hAnsi="Arial" w:cs="Arial"/>
        </w:rPr>
        <w:t xml:space="preserve">These strategies </w:t>
      </w:r>
      <w:r w:rsidR="008920A8">
        <w:rPr>
          <w:rFonts w:ascii="Arial" w:hAnsi="Arial" w:cs="Arial"/>
        </w:rPr>
        <w:t>not only make use of the advantages of debt</w:t>
      </w:r>
      <w:r w:rsidR="00091CA4">
        <w:rPr>
          <w:rFonts w:ascii="Arial" w:hAnsi="Arial" w:cs="Arial"/>
        </w:rPr>
        <w:t xml:space="preserve"> such as tax shields</w:t>
      </w:r>
      <w:r w:rsidR="006E5060">
        <w:rPr>
          <w:rFonts w:ascii="Arial" w:hAnsi="Arial" w:cs="Arial"/>
        </w:rPr>
        <w:t>, but they also introduce the risks of financial distress</w:t>
      </w:r>
      <w:r w:rsidR="000B342F">
        <w:rPr>
          <w:rFonts w:ascii="Arial" w:hAnsi="Arial" w:cs="Arial"/>
        </w:rPr>
        <w:t xml:space="preserve"> </w:t>
      </w:r>
      <w:r w:rsidR="001310B8">
        <w:rPr>
          <w:rFonts w:ascii="Arial" w:hAnsi="Arial" w:cs="Arial"/>
        </w:rPr>
        <w:t xml:space="preserve">especially if market conditions weaken </w:t>
      </w:r>
      <w:r w:rsidR="00713BF9">
        <w:rPr>
          <w:rFonts w:ascii="Arial" w:hAnsi="Arial" w:cs="Arial"/>
        </w:rPr>
        <w:t>or the competitors become stronger.</w:t>
      </w:r>
    </w:p>
    <w:p w14:paraId="716A9E65" w14:textId="23B37F88" w:rsidR="001C2016" w:rsidRDefault="001C2016" w:rsidP="008C05EA">
      <w:pPr>
        <w:tabs>
          <w:tab w:val="left" w:pos="636"/>
        </w:tabs>
        <w:spacing w:line="360" w:lineRule="auto"/>
        <w:jc w:val="both"/>
        <w:rPr>
          <w:rFonts w:ascii="Arial" w:hAnsi="Arial" w:cs="Arial"/>
        </w:rPr>
      </w:pPr>
      <w:r>
        <w:rPr>
          <w:rFonts w:ascii="Arial" w:hAnsi="Arial" w:cs="Arial"/>
        </w:rPr>
        <w:lastRenderedPageBreak/>
        <w:t>According to</w:t>
      </w:r>
      <w:r w:rsidR="000A0039">
        <w:rPr>
          <w:rFonts w:ascii="Arial" w:hAnsi="Arial" w:cs="Arial"/>
        </w:rPr>
        <w:t xml:space="preserve"> </w:t>
      </w:r>
      <w:r w:rsidR="00D60611" w:rsidRPr="00D60611">
        <w:rPr>
          <w:rFonts w:ascii="Arial" w:hAnsi="Arial" w:cs="Arial"/>
        </w:rPr>
        <w:t>H</w:t>
      </w:r>
      <w:r w:rsidR="00F5552B">
        <w:rPr>
          <w:rFonts w:ascii="Arial" w:hAnsi="Arial" w:cs="Arial"/>
        </w:rPr>
        <w:t>arris</w:t>
      </w:r>
      <w:r w:rsidR="00D60611" w:rsidRPr="00D60611">
        <w:rPr>
          <w:rFonts w:ascii="Arial" w:hAnsi="Arial" w:cs="Arial"/>
        </w:rPr>
        <w:t xml:space="preserve"> and R</w:t>
      </w:r>
      <w:r w:rsidR="00F5552B">
        <w:rPr>
          <w:rFonts w:ascii="Arial" w:hAnsi="Arial" w:cs="Arial"/>
        </w:rPr>
        <w:t>aviv</w:t>
      </w:r>
      <w:r w:rsidR="00D60611" w:rsidRPr="00D60611">
        <w:rPr>
          <w:rFonts w:ascii="Arial" w:hAnsi="Arial" w:cs="Arial"/>
        </w:rPr>
        <w:t xml:space="preserve"> (1991)</w:t>
      </w:r>
      <w:r w:rsidR="00A9078D">
        <w:rPr>
          <w:rFonts w:ascii="Arial" w:hAnsi="Arial" w:cs="Arial"/>
        </w:rPr>
        <w:t xml:space="preserve">, </w:t>
      </w:r>
      <w:r w:rsidR="001E3F80">
        <w:rPr>
          <w:rFonts w:ascii="Arial" w:hAnsi="Arial" w:cs="Arial"/>
        </w:rPr>
        <w:t xml:space="preserve">MAM’s debt reliance </w:t>
      </w:r>
      <w:r w:rsidR="00972FEA">
        <w:rPr>
          <w:rFonts w:ascii="Arial" w:hAnsi="Arial" w:cs="Arial"/>
        </w:rPr>
        <w:t xml:space="preserve">enabled strong negotiations with suppliers and thus ensured favourable terms despite negotiation challenges. Moreover, MAM’s concentration on high-value sectors such as aerospace and healthcare </w:t>
      </w:r>
      <w:proofErr w:type="gramStart"/>
      <w:r w:rsidR="00972FEA">
        <w:rPr>
          <w:rFonts w:ascii="Arial" w:hAnsi="Arial" w:cs="Arial"/>
        </w:rPr>
        <w:t>includes</w:t>
      </w:r>
      <w:proofErr w:type="gramEnd"/>
      <w:r w:rsidR="00972FEA">
        <w:rPr>
          <w:rFonts w:ascii="Arial" w:hAnsi="Arial" w:cs="Arial"/>
        </w:rPr>
        <w:t xml:space="preserve"> working with highly skilled suppliers and workers,</w:t>
      </w:r>
      <w:r w:rsidR="00E2205C">
        <w:rPr>
          <w:rFonts w:ascii="Arial" w:hAnsi="Arial" w:cs="Arial"/>
        </w:rPr>
        <w:t xml:space="preserve"> which is the reason for the higher reliance on debt.</w:t>
      </w:r>
    </w:p>
    <w:p w14:paraId="14F86CED" w14:textId="64C22C51" w:rsidR="00FF2F91" w:rsidRDefault="00BB769E" w:rsidP="008C05EA">
      <w:pPr>
        <w:tabs>
          <w:tab w:val="left" w:pos="636"/>
        </w:tabs>
        <w:spacing w:line="360" w:lineRule="auto"/>
        <w:jc w:val="both"/>
        <w:rPr>
          <w:rFonts w:ascii="Arial" w:hAnsi="Arial" w:cs="Arial"/>
        </w:rPr>
      </w:pPr>
      <w:r>
        <w:rPr>
          <w:rFonts w:ascii="Arial" w:hAnsi="Arial" w:cs="Arial"/>
        </w:rPr>
        <w:t xml:space="preserve">MAM tactically </w:t>
      </w:r>
      <w:r w:rsidR="005D23DD">
        <w:rPr>
          <w:rFonts w:ascii="Arial" w:hAnsi="Arial" w:cs="Arial"/>
        </w:rPr>
        <w:t xml:space="preserve">increased its use of debt </w:t>
      </w:r>
      <w:r w:rsidR="00966DF1">
        <w:rPr>
          <w:rFonts w:ascii="Arial" w:hAnsi="Arial" w:cs="Arial"/>
        </w:rPr>
        <w:t xml:space="preserve">to take advantage of </w:t>
      </w:r>
      <w:r w:rsidR="00CF5FBE">
        <w:rPr>
          <w:rFonts w:ascii="Arial" w:hAnsi="Arial" w:cs="Arial"/>
        </w:rPr>
        <w:t>the interest tax shield, which is the core principle of the trade-off theory. However, the subsequent debt reduction and more equity-based organisational structure</w:t>
      </w:r>
      <w:r w:rsidR="00096164">
        <w:rPr>
          <w:rFonts w:ascii="Arial" w:hAnsi="Arial" w:cs="Arial"/>
        </w:rPr>
        <w:t xml:space="preserve"> in later years</w:t>
      </w:r>
      <w:r w:rsidR="00CF5FBE">
        <w:rPr>
          <w:rFonts w:ascii="Arial" w:hAnsi="Arial" w:cs="Arial"/>
        </w:rPr>
        <w:t xml:space="preserve"> indicate that the company has been aware of the potential risks and financial distress caused by high debt levels</w:t>
      </w:r>
      <w:r w:rsidR="00251A93">
        <w:rPr>
          <w:rFonts w:ascii="Arial" w:hAnsi="Arial" w:cs="Arial"/>
        </w:rPr>
        <w:t>.</w:t>
      </w:r>
    </w:p>
    <w:p w14:paraId="572F50F9" w14:textId="022048E3" w:rsidR="0075175B" w:rsidRDefault="0075175B" w:rsidP="008C05EA">
      <w:pPr>
        <w:tabs>
          <w:tab w:val="left" w:pos="636"/>
        </w:tabs>
        <w:spacing w:line="360" w:lineRule="auto"/>
        <w:jc w:val="both"/>
        <w:rPr>
          <w:rFonts w:ascii="Arial" w:hAnsi="Arial" w:cs="Arial"/>
          <w:b/>
          <w:bCs/>
        </w:rPr>
      </w:pPr>
      <w:r w:rsidRPr="001D2873">
        <w:rPr>
          <w:rFonts w:ascii="Arial" w:hAnsi="Arial" w:cs="Arial"/>
          <w:b/>
          <w:bCs/>
        </w:rPr>
        <w:t>Timi</w:t>
      </w:r>
      <w:r w:rsidR="001D2873" w:rsidRPr="001D2873">
        <w:rPr>
          <w:rFonts w:ascii="Arial" w:hAnsi="Arial" w:cs="Arial"/>
          <w:b/>
          <w:bCs/>
        </w:rPr>
        <w:t>ng of security issues</w:t>
      </w:r>
    </w:p>
    <w:p w14:paraId="232080CE" w14:textId="5EFAC68B" w:rsidR="00C94290" w:rsidRDefault="00932926" w:rsidP="00C94290">
      <w:pPr>
        <w:tabs>
          <w:tab w:val="left" w:pos="636"/>
        </w:tabs>
        <w:spacing w:line="360" w:lineRule="auto"/>
        <w:jc w:val="both"/>
        <w:rPr>
          <w:rFonts w:ascii="Arial" w:hAnsi="Arial" w:cs="Arial"/>
        </w:rPr>
      </w:pPr>
      <w:r w:rsidRPr="00932926">
        <w:rPr>
          <w:rFonts w:ascii="Arial" w:hAnsi="Arial" w:cs="Arial"/>
        </w:rPr>
        <w:t>The</w:t>
      </w:r>
      <w:r w:rsidR="00311EEE">
        <w:rPr>
          <w:rFonts w:ascii="Arial" w:hAnsi="Arial" w:cs="Arial"/>
        </w:rPr>
        <w:t xml:space="preserve"> change in</w:t>
      </w:r>
      <w:r w:rsidRPr="00932926">
        <w:rPr>
          <w:rFonts w:ascii="Arial" w:hAnsi="Arial" w:cs="Arial"/>
        </w:rPr>
        <w:t xml:space="preserve"> </w:t>
      </w:r>
      <w:r w:rsidR="002A3716">
        <w:rPr>
          <w:rFonts w:ascii="Arial" w:hAnsi="Arial" w:cs="Arial"/>
        </w:rPr>
        <w:t xml:space="preserve">the </w:t>
      </w:r>
      <w:r w:rsidRPr="00932926">
        <w:rPr>
          <w:rFonts w:ascii="Arial" w:hAnsi="Arial" w:cs="Arial"/>
        </w:rPr>
        <w:t xml:space="preserve">financing </w:t>
      </w:r>
      <w:r>
        <w:rPr>
          <w:rFonts w:ascii="Arial" w:hAnsi="Arial" w:cs="Arial"/>
        </w:rPr>
        <w:t>behaviour</w:t>
      </w:r>
      <w:r w:rsidR="009C2AE4">
        <w:rPr>
          <w:rFonts w:ascii="Arial" w:hAnsi="Arial" w:cs="Arial"/>
        </w:rPr>
        <w:t xml:space="preserve"> of Morgan Advanced Material can be </w:t>
      </w:r>
      <w:r w:rsidR="00C236FF">
        <w:rPr>
          <w:rFonts w:ascii="Arial" w:hAnsi="Arial" w:cs="Arial"/>
        </w:rPr>
        <w:t xml:space="preserve">observed </w:t>
      </w:r>
      <w:r w:rsidR="00504F77">
        <w:rPr>
          <w:rFonts w:ascii="Arial" w:hAnsi="Arial" w:cs="Arial"/>
        </w:rPr>
        <w:t>in</w:t>
      </w:r>
      <w:r w:rsidR="00C236FF">
        <w:rPr>
          <w:rFonts w:ascii="Arial" w:hAnsi="Arial" w:cs="Arial"/>
        </w:rPr>
        <w:t xml:space="preserve"> </w:t>
      </w:r>
      <w:r w:rsidR="008C2B54">
        <w:rPr>
          <w:rFonts w:ascii="Arial" w:hAnsi="Arial" w:cs="Arial"/>
        </w:rPr>
        <w:t xml:space="preserve">terms </w:t>
      </w:r>
      <w:r w:rsidR="00C236FF">
        <w:rPr>
          <w:rFonts w:ascii="Arial" w:hAnsi="Arial" w:cs="Arial"/>
        </w:rPr>
        <w:t xml:space="preserve">of market timing and the </w:t>
      </w:r>
      <w:r w:rsidR="008C2B54">
        <w:rPr>
          <w:rFonts w:ascii="Arial" w:hAnsi="Arial" w:cs="Arial"/>
        </w:rPr>
        <w:t>pecking order theory</w:t>
      </w:r>
      <w:r w:rsidR="009551EF">
        <w:rPr>
          <w:rFonts w:ascii="Arial" w:hAnsi="Arial" w:cs="Arial"/>
        </w:rPr>
        <w:t>.</w:t>
      </w:r>
      <w:r w:rsidR="006D2E76">
        <w:rPr>
          <w:rFonts w:ascii="Arial" w:hAnsi="Arial" w:cs="Arial"/>
        </w:rPr>
        <w:t xml:space="preserve"> Firms including MAM issue equity </w:t>
      </w:r>
      <w:r w:rsidR="00236492">
        <w:rPr>
          <w:rFonts w:ascii="Arial" w:hAnsi="Arial" w:cs="Arial"/>
        </w:rPr>
        <w:t>when the stock prices are high</w:t>
      </w:r>
      <w:r w:rsidR="003B74D2">
        <w:rPr>
          <w:rFonts w:ascii="Arial" w:hAnsi="Arial" w:cs="Arial"/>
        </w:rPr>
        <w:t xml:space="preserve"> taking the benefit </w:t>
      </w:r>
      <w:r w:rsidR="00D763E7">
        <w:rPr>
          <w:rFonts w:ascii="Arial" w:hAnsi="Arial" w:cs="Arial"/>
        </w:rPr>
        <w:t xml:space="preserve">and </w:t>
      </w:r>
      <w:r w:rsidR="0098168B">
        <w:rPr>
          <w:rFonts w:ascii="Arial" w:hAnsi="Arial" w:cs="Arial"/>
        </w:rPr>
        <w:t>receiving</w:t>
      </w:r>
      <w:r w:rsidR="00D763E7">
        <w:rPr>
          <w:rFonts w:ascii="Arial" w:hAnsi="Arial" w:cs="Arial"/>
        </w:rPr>
        <w:t xml:space="preserve"> the best valuation </w:t>
      </w:r>
      <w:r w:rsidR="00797F5C">
        <w:rPr>
          <w:rFonts w:ascii="Arial" w:hAnsi="Arial" w:cs="Arial"/>
        </w:rPr>
        <w:t xml:space="preserve">as explained by </w:t>
      </w:r>
      <w:r w:rsidR="00C1020A">
        <w:rPr>
          <w:rFonts w:ascii="Arial" w:hAnsi="Arial" w:cs="Arial"/>
        </w:rPr>
        <w:t xml:space="preserve">studies </w:t>
      </w:r>
      <w:r w:rsidR="00CB62EC">
        <w:rPr>
          <w:rFonts w:ascii="Arial" w:hAnsi="Arial" w:cs="Arial"/>
        </w:rPr>
        <w:t xml:space="preserve">by </w:t>
      </w:r>
      <w:r w:rsidR="00CB62EC" w:rsidRPr="00024AC7">
        <w:rPr>
          <w:rFonts w:ascii="Arial" w:hAnsi="Arial" w:cs="Arial"/>
        </w:rPr>
        <w:t>Taggart (1977),</w:t>
      </w:r>
      <w:r w:rsidR="00CB62EC">
        <w:rPr>
          <w:rFonts w:ascii="Arial" w:hAnsi="Arial" w:cs="Arial"/>
        </w:rPr>
        <w:t xml:space="preserve"> this allows companies to be less diluted and gain more funds</w:t>
      </w:r>
      <w:r w:rsidR="00A01014">
        <w:rPr>
          <w:rFonts w:ascii="Arial" w:hAnsi="Arial" w:cs="Arial"/>
        </w:rPr>
        <w:t>. This performance aligns</w:t>
      </w:r>
      <w:r w:rsidR="008F50C6">
        <w:rPr>
          <w:rFonts w:ascii="Arial" w:hAnsi="Arial" w:cs="Arial"/>
        </w:rPr>
        <w:t xml:space="preserve"> with the past stock price movements </w:t>
      </w:r>
      <w:r w:rsidR="007D628D">
        <w:rPr>
          <w:rFonts w:ascii="Arial" w:hAnsi="Arial" w:cs="Arial"/>
        </w:rPr>
        <w:t>that influenced</w:t>
      </w:r>
      <w:r w:rsidR="008F50C6">
        <w:rPr>
          <w:rFonts w:ascii="Arial" w:hAnsi="Arial" w:cs="Arial"/>
        </w:rPr>
        <w:t xml:space="preserve"> the choice between debt and equity</w:t>
      </w:r>
      <w:r w:rsidR="007D628D">
        <w:rPr>
          <w:rFonts w:ascii="Arial" w:hAnsi="Arial" w:cs="Arial"/>
        </w:rPr>
        <w:t xml:space="preserve">, which means MAM wisely raises capital when the market does well. </w:t>
      </w:r>
      <w:r w:rsidR="002F5FA0">
        <w:rPr>
          <w:rFonts w:ascii="Arial" w:hAnsi="Arial" w:cs="Arial"/>
        </w:rPr>
        <w:t xml:space="preserve">Although </w:t>
      </w:r>
      <w:r w:rsidR="00E22EEC">
        <w:rPr>
          <w:rFonts w:ascii="Arial" w:hAnsi="Arial" w:cs="Arial"/>
        </w:rPr>
        <w:t xml:space="preserve">the </w:t>
      </w:r>
      <w:r w:rsidR="00A552B8">
        <w:rPr>
          <w:rFonts w:ascii="Arial" w:hAnsi="Arial" w:cs="Arial"/>
        </w:rPr>
        <w:t xml:space="preserve">pecking order theory is based on </w:t>
      </w:r>
      <w:r w:rsidR="00C93B9A">
        <w:rPr>
          <w:rFonts w:ascii="Arial" w:hAnsi="Arial" w:cs="Arial"/>
        </w:rPr>
        <w:t xml:space="preserve">the </w:t>
      </w:r>
      <w:r w:rsidR="00E22EEC">
        <w:rPr>
          <w:rFonts w:ascii="Arial" w:hAnsi="Arial" w:cs="Arial"/>
        </w:rPr>
        <w:t xml:space="preserve">use of </w:t>
      </w:r>
      <w:r w:rsidR="00A552B8">
        <w:rPr>
          <w:rFonts w:ascii="Arial" w:hAnsi="Arial" w:cs="Arial"/>
        </w:rPr>
        <w:t>internal funds and debt</w:t>
      </w:r>
      <w:r w:rsidR="00E22EEC">
        <w:rPr>
          <w:rFonts w:ascii="Arial" w:hAnsi="Arial" w:cs="Arial"/>
        </w:rPr>
        <w:t xml:space="preserve"> and equity</w:t>
      </w:r>
      <w:r w:rsidR="009108BC">
        <w:rPr>
          <w:rFonts w:ascii="Arial" w:hAnsi="Arial" w:cs="Arial"/>
        </w:rPr>
        <w:t xml:space="preserve">, MAM’s </w:t>
      </w:r>
      <w:r w:rsidR="00947B10">
        <w:rPr>
          <w:rFonts w:ascii="Arial" w:hAnsi="Arial" w:cs="Arial"/>
        </w:rPr>
        <w:t>activities determine the practical flexibility</w:t>
      </w:r>
      <w:r w:rsidR="0060084F">
        <w:rPr>
          <w:rFonts w:ascii="Arial" w:hAnsi="Arial" w:cs="Arial"/>
        </w:rPr>
        <w:t>, in which market situations</w:t>
      </w:r>
      <w:r w:rsidR="00E84887">
        <w:rPr>
          <w:rFonts w:ascii="Arial" w:hAnsi="Arial" w:cs="Arial"/>
        </w:rPr>
        <w:t xml:space="preserve"> and stock </w:t>
      </w:r>
      <w:r w:rsidR="007D1433">
        <w:rPr>
          <w:rFonts w:ascii="Arial" w:hAnsi="Arial" w:cs="Arial"/>
        </w:rPr>
        <w:t>prices</w:t>
      </w:r>
      <w:r w:rsidR="00E84887">
        <w:rPr>
          <w:rFonts w:ascii="Arial" w:hAnsi="Arial" w:cs="Arial"/>
        </w:rPr>
        <w:t xml:space="preserve"> </w:t>
      </w:r>
      <w:r w:rsidR="00C94290">
        <w:rPr>
          <w:rFonts w:ascii="Arial" w:hAnsi="Arial" w:cs="Arial"/>
        </w:rPr>
        <w:t>guide</w:t>
      </w:r>
      <w:r w:rsidR="00E84887">
        <w:rPr>
          <w:rFonts w:ascii="Arial" w:hAnsi="Arial" w:cs="Arial"/>
        </w:rPr>
        <w:t xml:space="preserve"> the financing decisions</w:t>
      </w:r>
      <w:r w:rsidR="00C94290">
        <w:rPr>
          <w:rFonts w:ascii="Arial" w:hAnsi="Arial" w:cs="Arial"/>
        </w:rPr>
        <w:t xml:space="preserve"> </w:t>
      </w:r>
      <w:r w:rsidR="00C94290" w:rsidRPr="00024AC7">
        <w:rPr>
          <w:rFonts w:ascii="Arial" w:hAnsi="Arial" w:cs="Arial"/>
        </w:rPr>
        <w:t>(Myers, 1984).</w:t>
      </w:r>
    </w:p>
    <w:p w14:paraId="30158EE6" w14:textId="3268829D" w:rsidR="00C21936" w:rsidRPr="00C21936" w:rsidRDefault="00583DA7" w:rsidP="00C21936">
      <w:pPr>
        <w:tabs>
          <w:tab w:val="left" w:pos="636"/>
        </w:tabs>
        <w:spacing w:line="360" w:lineRule="auto"/>
        <w:jc w:val="both"/>
        <w:rPr>
          <w:rFonts w:ascii="Arial" w:hAnsi="Arial" w:cs="Arial"/>
        </w:rPr>
      </w:pPr>
      <w:r>
        <w:rPr>
          <w:rFonts w:ascii="Arial" w:hAnsi="Arial" w:cs="Arial"/>
        </w:rPr>
        <w:t>The exchange offer theory by</w:t>
      </w:r>
      <w:r w:rsidR="00C21936">
        <w:rPr>
          <w:rFonts w:ascii="Arial" w:hAnsi="Arial" w:cs="Arial"/>
        </w:rPr>
        <w:t xml:space="preserve"> </w:t>
      </w:r>
      <w:r w:rsidR="00C21936" w:rsidRPr="00024AC7">
        <w:rPr>
          <w:rFonts w:ascii="Arial" w:hAnsi="Arial" w:cs="Arial"/>
        </w:rPr>
        <w:t>Masulis (1980)</w:t>
      </w:r>
      <w:r w:rsidR="001D1593">
        <w:rPr>
          <w:rFonts w:ascii="Arial" w:hAnsi="Arial" w:cs="Arial"/>
        </w:rPr>
        <w:t xml:space="preserve"> </w:t>
      </w:r>
      <w:r w:rsidR="004462F4">
        <w:rPr>
          <w:rFonts w:ascii="Arial" w:hAnsi="Arial" w:cs="Arial"/>
        </w:rPr>
        <w:t>has shown</w:t>
      </w:r>
      <w:r w:rsidR="004035E1">
        <w:rPr>
          <w:rFonts w:ascii="Arial" w:hAnsi="Arial" w:cs="Arial"/>
        </w:rPr>
        <w:t xml:space="preserve"> that stock prices usually increase </w:t>
      </w:r>
      <w:r w:rsidR="005C6777">
        <w:rPr>
          <w:rFonts w:ascii="Arial" w:hAnsi="Arial" w:cs="Arial"/>
        </w:rPr>
        <w:t xml:space="preserve">during debt-for-equity </w:t>
      </w:r>
      <w:r w:rsidR="003E5849">
        <w:rPr>
          <w:rFonts w:ascii="Arial" w:hAnsi="Arial" w:cs="Arial"/>
        </w:rPr>
        <w:t xml:space="preserve">exchanges and decrease during </w:t>
      </w:r>
      <w:r w:rsidR="00B55DD6">
        <w:rPr>
          <w:rFonts w:ascii="Arial" w:hAnsi="Arial" w:cs="Arial"/>
        </w:rPr>
        <w:t>equity-for-debt</w:t>
      </w:r>
      <w:r w:rsidR="00AA1E81">
        <w:rPr>
          <w:rFonts w:ascii="Arial" w:hAnsi="Arial" w:cs="Arial"/>
        </w:rPr>
        <w:t xml:space="preserve"> swaps </w:t>
      </w:r>
      <w:r w:rsidR="0019691C">
        <w:rPr>
          <w:rFonts w:ascii="Arial" w:hAnsi="Arial" w:cs="Arial"/>
        </w:rPr>
        <w:t>indicating</w:t>
      </w:r>
      <w:r w:rsidR="00AA1E81">
        <w:rPr>
          <w:rFonts w:ascii="Arial" w:hAnsi="Arial" w:cs="Arial"/>
        </w:rPr>
        <w:t xml:space="preserve"> </w:t>
      </w:r>
      <w:r w:rsidR="0019691C">
        <w:rPr>
          <w:rFonts w:ascii="Arial" w:hAnsi="Arial" w:cs="Arial"/>
        </w:rPr>
        <w:t xml:space="preserve">that market </w:t>
      </w:r>
      <w:r w:rsidR="00800AAE">
        <w:rPr>
          <w:rFonts w:ascii="Arial" w:hAnsi="Arial" w:cs="Arial"/>
        </w:rPr>
        <w:t>participants' valuation shifts towards an optimal capital structure.</w:t>
      </w:r>
      <w:r w:rsidR="00B412A1">
        <w:rPr>
          <w:rFonts w:ascii="Arial" w:hAnsi="Arial" w:cs="Arial"/>
        </w:rPr>
        <w:t xml:space="preserve"> </w:t>
      </w:r>
      <w:r w:rsidR="000C2D4A">
        <w:rPr>
          <w:rFonts w:ascii="Arial" w:hAnsi="Arial" w:cs="Arial"/>
        </w:rPr>
        <w:t>The same dynamics consider MAM’s financial growth from 2013 to 2023</w:t>
      </w:r>
      <w:r w:rsidR="00392E04">
        <w:rPr>
          <w:rFonts w:ascii="Arial" w:hAnsi="Arial" w:cs="Arial"/>
        </w:rPr>
        <w:t>.</w:t>
      </w:r>
      <w:r w:rsidR="00AF0505">
        <w:rPr>
          <w:rFonts w:ascii="Arial" w:hAnsi="Arial" w:cs="Arial"/>
        </w:rPr>
        <w:t xml:space="preserve"> In </w:t>
      </w:r>
      <w:r w:rsidR="00D506C6">
        <w:rPr>
          <w:rFonts w:ascii="Arial" w:hAnsi="Arial" w:cs="Arial"/>
        </w:rPr>
        <w:t>periods</w:t>
      </w:r>
      <w:r w:rsidR="00AF0505">
        <w:rPr>
          <w:rFonts w:ascii="Arial" w:hAnsi="Arial" w:cs="Arial"/>
        </w:rPr>
        <w:t xml:space="preserve"> of high leverage</w:t>
      </w:r>
      <w:r w:rsidR="001C46C5">
        <w:rPr>
          <w:rFonts w:ascii="Arial" w:hAnsi="Arial" w:cs="Arial"/>
        </w:rPr>
        <w:t>, such as in 2016</w:t>
      </w:r>
      <w:r w:rsidR="00504F77">
        <w:rPr>
          <w:rFonts w:ascii="Arial" w:hAnsi="Arial" w:cs="Arial"/>
        </w:rPr>
        <w:t xml:space="preserve">, MAM made use of </w:t>
      </w:r>
      <w:r w:rsidR="00D506C6">
        <w:rPr>
          <w:rFonts w:ascii="Arial" w:hAnsi="Arial" w:cs="Arial"/>
        </w:rPr>
        <w:t xml:space="preserve">the </w:t>
      </w:r>
      <w:r w:rsidR="00504F77">
        <w:rPr>
          <w:rFonts w:ascii="Arial" w:hAnsi="Arial" w:cs="Arial"/>
        </w:rPr>
        <w:t>optimal structure</w:t>
      </w:r>
      <w:r w:rsidR="001C46C5">
        <w:rPr>
          <w:rFonts w:ascii="Arial" w:hAnsi="Arial" w:cs="Arial"/>
        </w:rPr>
        <w:t xml:space="preserve"> provided by tax shields. </w:t>
      </w:r>
      <w:r w:rsidR="00FC6C50">
        <w:rPr>
          <w:rFonts w:ascii="Arial" w:hAnsi="Arial" w:cs="Arial"/>
        </w:rPr>
        <w:t xml:space="preserve">The company’s </w:t>
      </w:r>
      <w:r w:rsidR="0017589B">
        <w:rPr>
          <w:rFonts w:ascii="Arial" w:hAnsi="Arial" w:cs="Arial"/>
        </w:rPr>
        <w:t>steady</w:t>
      </w:r>
      <w:r w:rsidR="00FC6C50">
        <w:rPr>
          <w:rFonts w:ascii="Arial" w:hAnsi="Arial" w:cs="Arial"/>
        </w:rPr>
        <w:t xml:space="preserve"> shift </w:t>
      </w:r>
      <w:r w:rsidR="0017589B">
        <w:rPr>
          <w:rFonts w:ascii="Arial" w:hAnsi="Arial" w:cs="Arial"/>
        </w:rPr>
        <w:t xml:space="preserve">towards equity </w:t>
      </w:r>
      <w:r w:rsidR="001968B3">
        <w:rPr>
          <w:rFonts w:ascii="Arial" w:hAnsi="Arial" w:cs="Arial"/>
        </w:rPr>
        <w:t xml:space="preserve">financing shows </w:t>
      </w:r>
      <w:r w:rsidR="00E44F03">
        <w:rPr>
          <w:rFonts w:ascii="Arial" w:hAnsi="Arial" w:cs="Arial"/>
        </w:rPr>
        <w:t xml:space="preserve">the </w:t>
      </w:r>
      <w:r w:rsidR="004C5C75">
        <w:rPr>
          <w:rFonts w:ascii="Arial" w:hAnsi="Arial" w:cs="Arial"/>
        </w:rPr>
        <w:t xml:space="preserve">strategic response to market conditions and not </w:t>
      </w:r>
      <w:r w:rsidR="00E44F03">
        <w:rPr>
          <w:rFonts w:ascii="Arial" w:hAnsi="Arial" w:cs="Arial"/>
        </w:rPr>
        <w:t xml:space="preserve">being fixed on </w:t>
      </w:r>
      <w:r w:rsidR="0083335E">
        <w:rPr>
          <w:rFonts w:ascii="Arial" w:hAnsi="Arial" w:cs="Arial"/>
        </w:rPr>
        <w:t xml:space="preserve">a set target. </w:t>
      </w:r>
      <w:r w:rsidR="00F42907" w:rsidRPr="00F05C46">
        <w:rPr>
          <w:rFonts w:ascii="Arial" w:hAnsi="Arial" w:cs="Arial"/>
        </w:rPr>
        <w:t xml:space="preserve">This shows MAM’s flexibility </w:t>
      </w:r>
      <w:r w:rsidR="00DF30BD" w:rsidRPr="00F05C46">
        <w:rPr>
          <w:rFonts w:ascii="Arial" w:hAnsi="Arial" w:cs="Arial"/>
        </w:rPr>
        <w:t xml:space="preserve">in </w:t>
      </w:r>
      <w:r w:rsidR="00146C98" w:rsidRPr="00F05C46">
        <w:rPr>
          <w:rFonts w:ascii="Arial" w:hAnsi="Arial" w:cs="Arial"/>
        </w:rPr>
        <w:t>its</w:t>
      </w:r>
      <w:r w:rsidR="00DF30BD" w:rsidRPr="00F05C46">
        <w:rPr>
          <w:rFonts w:ascii="Arial" w:hAnsi="Arial" w:cs="Arial"/>
        </w:rPr>
        <w:t xml:space="preserve"> capital structure </w:t>
      </w:r>
      <w:r w:rsidR="00146C98" w:rsidRPr="00F05C46">
        <w:rPr>
          <w:rFonts w:ascii="Arial" w:hAnsi="Arial" w:cs="Arial"/>
        </w:rPr>
        <w:t>as Masulis’s study shows</w:t>
      </w:r>
      <w:r w:rsidR="000C7DD0">
        <w:rPr>
          <w:rFonts w:ascii="Arial" w:hAnsi="Arial" w:cs="Arial"/>
        </w:rPr>
        <w:t xml:space="preserve">. </w:t>
      </w:r>
      <w:r w:rsidR="00EB7FB7">
        <w:rPr>
          <w:rFonts w:ascii="Arial" w:hAnsi="Arial" w:cs="Arial"/>
        </w:rPr>
        <w:t>Masulis</w:t>
      </w:r>
      <w:r w:rsidR="00597DE3">
        <w:rPr>
          <w:rFonts w:ascii="Arial" w:hAnsi="Arial" w:cs="Arial"/>
        </w:rPr>
        <w:t xml:space="preserve"> </w:t>
      </w:r>
      <w:r w:rsidR="000C2D4A">
        <w:rPr>
          <w:rFonts w:ascii="Arial" w:hAnsi="Arial" w:cs="Arial"/>
        </w:rPr>
        <w:t>argues</w:t>
      </w:r>
      <w:r w:rsidR="00EB7FB7">
        <w:rPr>
          <w:rFonts w:ascii="Arial" w:hAnsi="Arial" w:cs="Arial"/>
        </w:rPr>
        <w:t xml:space="preserve"> </w:t>
      </w:r>
      <w:r w:rsidR="00597DE3">
        <w:rPr>
          <w:rFonts w:ascii="Arial" w:hAnsi="Arial" w:cs="Arial"/>
        </w:rPr>
        <w:t xml:space="preserve">that </w:t>
      </w:r>
      <w:r w:rsidR="00841CC8">
        <w:rPr>
          <w:rFonts w:ascii="Arial" w:hAnsi="Arial" w:cs="Arial"/>
        </w:rPr>
        <w:t xml:space="preserve">a </w:t>
      </w:r>
      <w:r w:rsidR="00597DE3">
        <w:rPr>
          <w:rFonts w:ascii="Arial" w:hAnsi="Arial" w:cs="Arial"/>
        </w:rPr>
        <w:t xml:space="preserve">firm’s willingness to exchange </w:t>
      </w:r>
      <w:r w:rsidR="007E672D">
        <w:rPr>
          <w:rFonts w:ascii="Arial" w:hAnsi="Arial" w:cs="Arial"/>
        </w:rPr>
        <w:t xml:space="preserve">debt for equity </w:t>
      </w:r>
      <w:r w:rsidR="00AD69E2">
        <w:rPr>
          <w:rFonts w:ascii="Arial" w:hAnsi="Arial" w:cs="Arial"/>
        </w:rPr>
        <w:t xml:space="preserve">indicates that </w:t>
      </w:r>
      <w:r w:rsidR="00DD45F4">
        <w:rPr>
          <w:rFonts w:ascii="Arial" w:hAnsi="Arial" w:cs="Arial"/>
        </w:rPr>
        <w:t>the management believes its debt capacity has increased.</w:t>
      </w:r>
      <w:r w:rsidR="008D71D1">
        <w:rPr>
          <w:rFonts w:ascii="Arial" w:hAnsi="Arial" w:cs="Arial"/>
        </w:rPr>
        <w:t xml:space="preserve"> </w:t>
      </w:r>
      <w:r w:rsidR="00A05D8F">
        <w:rPr>
          <w:rFonts w:ascii="Arial" w:hAnsi="Arial" w:cs="Arial"/>
        </w:rPr>
        <w:t>In other words</w:t>
      </w:r>
      <w:r w:rsidR="00E639EC">
        <w:rPr>
          <w:rFonts w:ascii="Arial" w:hAnsi="Arial" w:cs="Arial"/>
        </w:rPr>
        <w:t xml:space="preserve">, this could indicate an increase in business value or a decrease in risk. </w:t>
      </w:r>
      <w:r w:rsidR="006C6C5C">
        <w:rPr>
          <w:rFonts w:ascii="Arial" w:hAnsi="Arial" w:cs="Arial"/>
        </w:rPr>
        <w:t xml:space="preserve">Therefore, a debt-to-equity exchange </w:t>
      </w:r>
      <w:r w:rsidR="00CD7009">
        <w:rPr>
          <w:rFonts w:ascii="Arial" w:hAnsi="Arial" w:cs="Arial"/>
        </w:rPr>
        <w:t xml:space="preserve">would be </w:t>
      </w:r>
      <w:r w:rsidR="00D353C3">
        <w:rPr>
          <w:rFonts w:ascii="Arial" w:hAnsi="Arial" w:cs="Arial"/>
        </w:rPr>
        <w:t>good</w:t>
      </w:r>
      <w:r w:rsidR="00CD7009">
        <w:rPr>
          <w:rFonts w:ascii="Arial" w:hAnsi="Arial" w:cs="Arial"/>
        </w:rPr>
        <w:t xml:space="preserve"> news, while its opposite would be a negative change of state.</w:t>
      </w:r>
    </w:p>
    <w:p w14:paraId="4D0744D4" w14:textId="76C8D664" w:rsidR="00DE24BE" w:rsidRDefault="00002600" w:rsidP="00C94290">
      <w:pPr>
        <w:tabs>
          <w:tab w:val="left" w:pos="636"/>
        </w:tabs>
        <w:spacing w:line="360" w:lineRule="auto"/>
        <w:jc w:val="both"/>
        <w:rPr>
          <w:rFonts w:ascii="Arial" w:hAnsi="Arial" w:cs="Arial"/>
        </w:rPr>
      </w:pPr>
      <w:r>
        <w:rPr>
          <w:rFonts w:ascii="Arial" w:hAnsi="Arial" w:cs="Arial"/>
        </w:rPr>
        <w:t xml:space="preserve">MAM’s target leverage </w:t>
      </w:r>
      <w:r w:rsidR="00677322">
        <w:rPr>
          <w:rFonts w:ascii="Arial" w:hAnsi="Arial" w:cs="Arial"/>
        </w:rPr>
        <w:t>balanced its capital growth needs</w:t>
      </w:r>
      <w:r w:rsidR="002C4386">
        <w:rPr>
          <w:rFonts w:ascii="Arial" w:hAnsi="Arial" w:cs="Arial"/>
        </w:rPr>
        <w:t xml:space="preserve"> </w:t>
      </w:r>
      <w:r w:rsidR="00A813EE">
        <w:rPr>
          <w:rFonts w:ascii="Arial" w:hAnsi="Arial" w:cs="Arial"/>
        </w:rPr>
        <w:t xml:space="preserve">with </w:t>
      </w:r>
      <w:r w:rsidR="00E631D3">
        <w:rPr>
          <w:rFonts w:ascii="Arial" w:hAnsi="Arial" w:cs="Arial"/>
        </w:rPr>
        <w:t>sustaining financial stability</w:t>
      </w:r>
      <w:r w:rsidR="008A3ACE">
        <w:rPr>
          <w:rFonts w:ascii="Arial" w:hAnsi="Arial" w:cs="Arial"/>
        </w:rPr>
        <w:t>, indicating a change from heav</w:t>
      </w:r>
      <w:r w:rsidR="00D97D5C">
        <w:rPr>
          <w:rFonts w:ascii="Arial" w:hAnsi="Arial" w:cs="Arial"/>
        </w:rPr>
        <w:t>ier reliance on debt in previous years</w:t>
      </w:r>
      <w:r w:rsidR="00B65ADF">
        <w:rPr>
          <w:rFonts w:ascii="Arial" w:hAnsi="Arial" w:cs="Arial"/>
        </w:rPr>
        <w:t xml:space="preserve">, which has changed to a more conservative approach to the debt and equity mix as </w:t>
      </w:r>
      <w:r w:rsidR="00E0390E">
        <w:rPr>
          <w:rFonts w:ascii="Arial" w:hAnsi="Arial" w:cs="Arial"/>
        </w:rPr>
        <w:t>profitability increases.</w:t>
      </w:r>
      <w:r w:rsidR="00EB399F">
        <w:rPr>
          <w:rFonts w:ascii="Arial" w:hAnsi="Arial" w:cs="Arial"/>
        </w:rPr>
        <w:t xml:space="preserve"> The debt level in 2016</w:t>
      </w:r>
      <w:r w:rsidR="009E5536">
        <w:rPr>
          <w:rFonts w:ascii="Arial" w:hAnsi="Arial" w:cs="Arial"/>
        </w:rPr>
        <w:t xml:space="preserve"> (£364.9M) wa</w:t>
      </w:r>
      <w:r w:rsidR="00420A92">
        <w:rPr>
          <w:rFonts w:ascii="Arial" w:hAnsi="Arial" w:cs="Arial"/>
        </w:rPr>
        <w:t xml:space="preserve">s at its peak </w:t>
      </w:r>
      <w:r w:rsidR="00B66DF8">
        <w:rPr>
          <w:rFonts w:ascii="Arial" w:hAnsi="Arial" w:cs="Arial"/>
        </w:rPr>
        <w:t xml:space="preserve">and later </w:t>
      </w:r>
      <w:r w:rsidR="00745533">
        <w:rPr>
          <w:rFonts w:ascii="Arial" w:hAnsi="Arial" w:cs="Arial"/>
        </w:rPr>
        <w:t xml:space="preserve">years came with </w:t>
      </w:r>
      <w:r w:rsidR="0086481F">
        <w:rPr>
          <w:rFonts w:ascii="Arial" w:hAnsi="Arial" w:cs="Arial"/>
        </w:rPr>
        <w:t>a</w:t>
      </w:r>
      <w:r w:rsidR="00745533">
        <w:rPr>
          <w:rFonts w:ascii="Arial" w:hAnsi="Arial" w:cs="Arial"/>
        </w:rPr>
        <w:t xml:space="preserve"> </w:t>
      </w:r>
      <w:r w:rsidR="0086481F">
        <w:rPr>
          <w:rFonts w:ascii="Arial" w:hAnsi="Arial" w:cs="Arial"/>
        </w:rPr>
        <w:t xml:space="preserve">focus on equity </w:t>
      </w:r>
      <w:r w:rsidR="00E27505">
        <w:rPr>
          <w:rFonts w:ascii="Arial" w:hAnsi="Arial" w:cs="Arial"/>
        </w:rPr>
        <w:t xml:space="preserve">which led to </w:t>
      </w:r>
      <w:r w:rsidR="00D6209A">
        <w:rPr>
          <w:rFonts w:ascii="Arial" w:hAnsi="Arial" w:cs="Arial"/>
        </w:rPr>
        <w:t xml:space="preserve">a </w:t>
      </w:r>
      <w:r w:rsidR="00E27505">
        <w:rPr>
          <w:rFonts w:ascii="Arial" w:hAnsi="Arial" w:cs="Arial"/>
        </w:rPr>
        <w:t xml:space="preserve">massive </w:t>
      </w:r>
      <w:r w:rsidR="003A3D70">
        <w:rPr>
          <w:rFonts w:ascii="Arial" w:hAnsi="Arial" w:cs="Arial"/>
        </w:rPr>
        <w:t>amount</w:t>
      </w:r>
      <w:r w:rsidR="00E27505">
        <w:rPr>
          <w:rFonts w:ascii="Arial" w:hAnsi="Arial" w:cs="Arial"/>
        </w:rPr>
        <w:t xml:space="preserve"> of (£398.6M)</w:t>
      </w:r>
      <w:r w:rsidR="00614BF0">
        <w:rPr>
          <w:rFonts w:ascii="Arial" w:hAnsi="Arial" w:cs="Arial"/>
        </w:rPr>
        <w:t xml:space="preserve"> as MAM </w:t>
      </w:r>
      <w:r w:rsidR="003A2844">
        <w:rPr>
          <w:rFonts w:ascii="Arial" w:hAnsi="Arial" w:cs="Arial"/>
        </w:rPr>
        <w:t>hadn’t</w:t>
      </w:r>
      <w:r w:rsidR="00661AD4">
        <w:rPr>
          <w:rFonts w:ascii="Arial" w:hAnsi="Arial" w:cs="Arial"/>
        </w:rPr>
        <w:t xml:space="preserve"> relied much on equity before</w:t>
      </w:r>
      <w:r w:rsidR="003A508E">
        <w:rPr>
          <w:rFonts w:ascii="Arial" w:hAnsi="Arial" w:cs="Arial"/>
        </w:rPr>
        <w:t>.</w:t>
      </w:r>
      <w:r w:rsidR="00890199">
        <w:rPr>
          <w:rFonts w:ascii="Arial" w:hAnsi="Arial" w:cs="Arial"/>
        </w:rPr>
        <w:t xml:space="preserve"> </w:t>
      </w:r>
      <w:r w:rsidR="00845D7D">
        <w:rPr>
          <w:rFonts w:ascii="Arial" w:hAnsi="Arial" w:cs="Arial"/>
        </w:rPr>
        <w:t>Further</w:t>
      </w:r>
      <w:r w:rsidR="00ED554C">
        <w:rPr>
          <w:rFonts w:ascii="Arial" w:hAnsi="Arial" w:cs="Arial"/>
        </w:rPr>
        <w:t xml:space="preserve">more, </w:t>
      </w:r>
      <w:r w:rsidR="00ED554C">
        <w:rPr>
          <w:rFonts w:ascii="Arial" w:hAnsi="Arial" w:cs="Arial"/>
        </w:rPr>
        <w:lastRenderedPageBreak/>
        <w:t xml:space="preserve">the adoption of equity </w:t>
      </w:r>
      <w:r w:rsidR="009B297D">
        <w:rPr>
          <w:rFonts w:ascii="Arial" w:hAnsi="Arial" w:cs="Arial"/>
        </w:rPr>
        <w:t xml:space="preserve">financing </w:t>
      </w:r>
      <w:r w:rsidR="00440853">
        <w:rPr>
          <w:rFonts w:ascii="Arial" w:hAnsi="Arial" w:cs="Arial"/>
        </w:rPr>
        <w:t>also means that the company is generating more funds internally which was evident</w:t>
      </w:r>
      <w:r w:rsidR="004C4B44">
        <w:rPr>
          <w:rFonts w:ascii="Arial" w:hAnsi="Arial" w:cs="Arial"/>
        </w:rPr>
        <w:t xml:space="preserve"> </w:t>
      </w:r>
      <w:r w:rsidR="006D43EF">
        <w:rPr>
          <w:rFonts w:ascii="Arial" w:hAnsi="Arial" w:cs="Arial"/>
        </w:rPr>
        <w:t>(</w:t>
      </w:r>
      <w:r w:rsidR="00ED18E4">
        <w:rPr>
          <w:rFonts w:ascii="Arial" w:hAnsi="Arial" w:cs="Arial"/>
        </w:rPr>
        <w:t xml:space="preserve">£109.5M) in 2016 and improved to </w:t>
      </w:r>
      <w:r w:rsidR="00FB4CDE">
        <w:rPr>
          <w:rFonts w:ascii="Arial" w:hAnsi="Arial" w:cs="Arial"/>
        </w:rPr>
        <w:t xml:space="preserve">(£170.9M) in 2022 </w:t>
      </w:r>
      <w:r w:rsidR="00D403A9">
        <w:rPr>
          <w:rFonts w:ascii="Arial" w:hAnsi="Arial" w:cs="Arial"/>
        </w:rPr>
        <w:t>and (£170.8M) in 2023</w:t>
      </w:r>
      <w:r w:rsidR="00895366">
        <w:rPr>
          <w:rFonts w:ascii="Arial" w:hAnsi="Arial" w:cs="Arial"/>
        </w:rPr>
        <w:t xml:space="preserve">, (MAM Annual Report, </w:t>
      </w:r>
      <w:r w:rsidR="00CE73F6">
        <w:rPr>
          <w:rFonts w:ascii="Arial" w:hAnsi="Arial" w:cs="Arial"/>
        </w:rPr>
        <w:t xml:space="preserve">2016 - </w:t>
      </w:r>
      <w:r w:rsidR="00895366">
        <w:rPr>
          <w:rFonts w:ascii="Arial" w:hAnsi="Arial" w:cs="Arial"/>
        </w:rPr>
        <w:t>2023)</w:t>
      </w:r>
      <w:r w:rsidR="001568DE">
        <w:rPr>
          <w:rFonts w:ascii="Arial" w:hAnsi="Arial" w:cs="Arial"/>
        </w:rPr>
        <w:t xml:space="preserve">. </w:t>
      </w:r>
      <w:r w:rsidR="00A85977">
        <w:rPr>
          <w:rFonts w:ascii="Arial" w:hAnsi="Arial" w:cs="Arial"/>
        </w:rPr>
        <w:t xml:space="preserve">The </w:t>
      </w:r>
      <w:r w:rsidR="00223A43">
        <w:rPr>
          <w:rFonts w:ascii="Arial" w:hAnsi="Arial" w:cs="Arial"/>
        </w:rPr>
        <w:t>adaptability</w:t>
      </w:r>
      <w:r w:rsidR="00A85977">
        <w:rPr>
          <w:rFonts w:ascii="Arial" w:hAnsi="Arial" w:cs="Arial"/>
        </w:rPr>
        <w:t xml:space="preserve"> </w:t>
      </w:r>
      <w:r w:rsidR="00983106">
        <w:rPr>
          <w:rFonts w:ascii="Arial" w:hAnsi="Arial" w:cs="Arial"/>
        </w:rPr>
        <w:t xml:space="preserve">of MAM in capital strategy management </w:t>
      </w:r>
      <w:r w:rsidR="00EF6FC7">
        <w:rPr>
          <w:rFonts w:ascii="Arial" w:hAnsi="Arial" w:cs="Arial"/>
        </w:rPr>
        <w:t>shows</w:t>
      </w:r>
      <w:r w:rsidR="00983106">
        <w:rPr>
          <w:rFonts w:ascii="Arial" w:hAnsi="Arial" w:cs="Arial"/>
        </w:rPr>
        <w:t xml:space="preserve"> a refined and flexible method of </w:t>
      </w:r>
      <w:r w:rsidR="00EF6FC7">
        <w:rPr>
          <w:rFonts w:ascii="Arial" w:hAnsi="Arial" w:cs="Arial"/>
        </w:rPr>
        <w:t xml:space="preserve">handling capital </w:t>
      </w:r>
      <w:r w:rsidR="00920528">
        <w:rPr>
          <w:rFonts w:ascii="Arial" w:hAnsi="Arial" w:cs="Arial"/>
        </w:rPr>
        <w:t xml:space="preserve">structure </w:t>
      </w:r>
      <w:r w:rsidR="006311DC">
        <w:rPr>
          <w:rFonts w:ascii="Arial" w:hAnsi="Arial" w:cs="Arial"/>
        </w:rPr>
        <w:t>according to the market conditions.</w:t>
      </w:r>
    </w:p>
    <w:p w14:paraId="435A1E2C" w14:textId="77777777" w:rsidR="00EA257E" w:rsidRPr="007F1DEA" w:rsidRDefault="00EA257E" w:rsidP="00C94290">
      <w:pPr>
        <w:tabs>
          <w:tab w:val="left" w:pos="636"/>
        </w:tabs>
        <w:spacing w:line="360" w:lineRule="auto"/>
        <w:jc w:val="both"/>
        <w:rPr>
          <w:rFonts w:ascii="Arial" w:hAnsi="Arial" w:cs="Arial"/>
          <w:sz w:val="24"/>
          <w:szCs w:val="24"/>
        </w:rPr>
      </w:pPr>
    </w:p>
    <w:p w14:paraId="58C18745" w14:textId="38825393" w:rsidR="00CB7B8A" w:rsidRPr="009E7412" w:rsidRDefault="00140151" w:rsidP="009E7412">
      <w:pPr>
        <w:pStyle w:val="Heading1"/>
        <w:rPr>
          <w:rFonts w:ascii="Arial" w:hAnsi="Arial" w:cs="Arial"/>
          <w:sz w:val="24"/>
          <w:szCs w:val="24"/>
        </w:rPr>
      </w:pPr>
      <w:r w:rsidRPr="009E7412">
        <w:rPr>
          <w:rFonts w:ascii="Arial" w:hAnsi="Arial" w:cs="Arial"/>
          <w:sz w:val="24"/>
          <w:szCs w:val="24"/>
        </w:rPr>
        <w:t xml:space="preserve"> </w:t>
      </w:r>
      <w:bookmarkStart w:id="7" w:name="_Toc185149302"/>
      <w:r w:rsidR="006678B7" w:rsidRPr="009E7412">
        <w:rPr>
          <w:rFonts w:ascii="Arial" w:hAnsi="Arial" w:cs="Arial"/>
          <w:sz w:val="24"/>
          <w:szCs w:val="24"/>
        </w:rPr>
        <w:t xml:space="preserve">2 </w:t>
      </w:r>
      <w:r w:rsidR="00EF14FB" w:rsidRPr="009E7412">
        <w:rPr>
          <w:rFonts w:ascii="Arial" w:hAnsi="Arial" w:cs="Arial"/>
          <w:sz w:val="24"/>
          <w:szCs w:val="24"/>
        </w:rPr>
        <w:t>Comparing CAPM and Gordon’s Growth Model</w:t>
      </w:r>
      <w:r w:rsidR="00566BB9" w:rsidRPr="009E7412">
        <w:rPr>
          <w:rFonts w:ascii="Arial" w:hAnsi="Arial" w:cs="Arial"/>
          <w:sz w:val="24"/>
          <w:szCs w:val="24"/>
        </w:rPr>
        <w:t xml:space="preserve"> for Estimating Cost of Equity</w:t>
      </w:r>
      <w:bookmarkEnd w:id="7"/>
    </w:p>
    <w:p w14:paraId="43668427" w14:textId="7B0BFAEC" w:rsidR="005515D3" w:rsidRDefault="002D4541" w:rsidP="00C94290">
      <w:pPr>
        <w:tabs>
          <w:tab w:val="left" w:pos="636"/>
        </w:tabs>
        <w:spacing w:line="360" w:lineRule="auto"/>
        <w:jc w:val="both"/>
        <w:rPr>
          <w:rFonts w:ascii="Arial" w:hAnsi="Arial" w:cs="Arial"/>
        </w:rPr>
      </w:pPr>
      <w:r w:rsidRPr="00E40631">
        <w:rPr>
          <w:rFonts w:ascii="Arial" w:hAnsi="Arial" w:cs="Arial"/>
        </w:rPr>
        <w:t xml:space="preserve">The weight of </w:t>
      </w:r>
      <w:r w:rsidR="00E40631">
        <w:rPr>
          <w:rFonts w:ascii="Arial" w:hAnsi="Arial" w:cs="Arial"/>
        </w:rPr>
        <w:t xml:space="preserve">each financing source in MAM’s capital structure is measured based on </w:t>
      </w:r>
      <w:proofErr w:type="gramStart"/>
      <w:r w:rsidR="0030385B">
        <w:rPr>
          <w:rFonts w:ascii="Arial" w:hAnsi="Arial" w:cs="Arial"/>
        </w:rPr>
        <w:t>its</w:t>
      </w:r>
      <w:proofErr w:type="gramEnd"/>
      <w:r w:rsidR="00E40631">
        <w:rPr>
          <w:rFonts w:ascii="Arial" w:hAnsi="Arial" w:cs="Arial"/>
        </w:rPr>
        <w:t xml:space="preserve"> carrying amount, which </w:t>
      </w:r>
      <w:r w:rsidR="00353A29">
        <w:rPr>
          <w:rFonts w:ascii="Arial" w:hAnsi="Arial" w:cs="Arial"/>
        </w:rPr>
        <w:t>is in terms of total funds in the proportion of £744.3 million. However,</w:t>
      </w:r>
      <w:r w:rsidR="00C25A26">
        <w:rPr>
          <w:rFonts w:ascii="Arial" w:hAnsi="Arial" w:cs="Arial"/>
        </w:rPr>
        <w:t xml:space="preserve"> </w:t>
      </w:r>
      <w:r w:rsidR="002A5703">
        <w:rPr>
          <w:rFonts w:ascii="Arial" w:hAnsi="Arial" w:cs="Arial"/>
        </w:rPr>
        <w:t>the company has a stable capital structure with equity containing 53.55% and debt covering the rest 46.45%</w:t>
      </w:r>
      <w:r w:rsidR="00791980">
        <w:rPr>
          <w:rFonts w:ascii="Arial" w:hAnsi="Arial" w:cs="Arial"/>
        </w:rPr>
        <w:t xml:space="preserve">. </w:t>
      </w:r>
      <w:r w:rsidR="00A337D3">
        <w:rPr>
          <w:rFonts w:ascii="Arial" w:hAnsi="Arial" w:cs="Arial"/>
        </w:rPr>
        <w:t xml:space="preserve">The </w:t>
      </w:r>
      <w:r w:rsidR="00F51A60">
        <w:rPr>
          <w:rFonts w:ascii="Arial" w:hAnsi="Arial" w:cs="Arial"/>
        </w:rPr>
        <w:t>majority</w:t>
      </w:r>
      <w:r w:rsidR="00636739">
        <w:rPr>
          <w:rFonts w:ascii="Arial" w:hAnsi="Arial" w:cs="Arial"/>
        </w:rPr>
        <w:t xml:space="preserve"> weight </w:t>
      </w:r>
      <w:r w:rsidR="002F4EDC">
        <w:rPr>
          <w:rFonts w:ascii="Arial" w:hAnsi="Arial" w:cs="Arial"/>
        </w:rPr>
        <w:t xml:space="preserve">of equity suggests a company’s </w:t>
      </w:r>
      <w:r w:rsidR="00E92897">
        <w:rPr>
          <w:rFonts w:ascii="Arial" w:hAnsi="Arial" w:cs="Arial"/>
        </w:rPr>
        <w:t xml:space="preserve">preference for long-term, </w:t>
      </w:r>
      <w:r w:rsidR="002418B6">
        <w:rPr>
          <w:rFonts w:ascii="Arial" w:hAnsi="Arial" w:cs="Arial"/>
        </w:rPr>
        <w:t>stable</w:t>
      </w:r>
      <w:r w:rsidR="00E92897">
        <w:rPr>
          <w:rFonts w:ascii="Arial" w:hAnsi="Arial" w:cs="Arial"/>
        </w:rPr>
        <w:t xml:space="preserve"> financing, thereby mitigating the company’s exposure </w:t>
      </w:r>
      <w:r w:rsidR="002418B6">
        <w:rPr>
          <w:rFonts w:ascii="Arial" w:hAnsi="Arial" w:cs="Arial"/>
        </w:rPr>
        <w:t>to external credit.</w:t>
      </w:r>
      <w:r w:rsidR="00AE737B">
        <w:rPr>
          <w:rFonts w:ascii="Arial" w:hAnsi="Arial" w:cs="Arial"/>
        </w:rPr>
        <w:t xml:space="preserve"> </w:t>
      </w:r>
      <w:r w:rsidR="00D8264B">
        <w:rPr>
          <w:rFonts w:ascii="Arial" w:hAnsi="Arial" w:cs="Arial"/>
        </w:rPr>
        <w:t>This strategy is consistent with MAM’s previous financial success, in which positive retained earnings have increased</w:t>
      </w:r>
      <w:r w:rsidR="004368E8">
        <w:rPr>
          <w:rFonts w:ascii="Arial" w:hAnsi="Arial" w:cs="Arial"/>
        </w:rPr>
        <w:t xml:space="preserve"> </w:t>
      </w:r>
      <w:r w:rsidR="005C7541">
        <w:rPr>
          <w:rFonts w:ascii="Arial" w:hAnsi="Arial" w:cs="Arial"/>
        </w:rPr>
        <w:t xml:space="preserve">internal </w:t>
      </w:r>
      <w:r w:rsidR="00317366">
        <w:rPr>
          <w:rFonts w:ascii="Arial" w:hAnsi="Arial" w:cs="Arial"/>
        </w:rPr>
        <w:t>funds</w:t>
      </w:r>
      <w:r w:rsidR="005C7541">
        <w:rPr>
          <w:rFonts w:ascii="Arial" w:hAnsi="Arial" w:cs="Arial"/>
        </w:rPr>
        <w:t xml:space="preserve"> and </w:t>
      </w:r>
      <w:r w:rsidR="00737795">
        <w:rPr>
          <w:rFonts w:ascii="Arial" w:hAnsi="Arial" w:cs="Arial"/>
        </w:rPr>
        <w:t>lowered</w:t>
      </w:r>
      <w:r w:rsidR="005C7541">
        <w:rPr>
          <w:rFonts w:ascii="Arial" w:hAnsi="Arial" w:cs="Arial"/>
        </w:rPr>
        <w:t xml:space="preserve"> </w:t>
      </w:r>
      <w:r w:rsidR="00317366">
        <w:rPr>
          <w:rFonts w:ascii="Arial" w:hAnsi="Arial" w:cs="Arial"/>
        </w:rPr>
        <w:t>excessive leverage requirements</w:t>
      </w:r>
      <w:r w:rsidR="000C564A">
        <w:rPr>
          <w:rFonts w:ascii="Arial" w:hAnsi="Arial" w:cs="Arial"/>
        </w:rPr>
        <w:t>.</w:t>
      </w:r>
      <w:r w:rsidR="00317366">
        <w:rPr>
          <w:rFonts w:ascii="Arial" w:hAnsi="Arial" w:cs="Arial"/>
        </w:rPr>
        <w:t xml:space="preserve"> </w:t>
      </w:r>
    </w:p>
    <w:p w14:paraId="517EDCC6" w14:textId="2DCF2828" w:rsidR="008E0DA0" w:rsidRDefault="008E0DA0" w:rsidP="00C94290">
      <w:pPr>
        <w:tabs>
          <w:tab w:val="left" w:pos="636"/>
        </w:tabs>
        <w:spacing w:line="360" w:lineRule="auto"/>
        <w:jc w:val="both"/>
        <w:rPr>
          <w:rFonts w:ascii="Arial" w:hAnsi="Arial" w:cs="Arial"/>
        </w:rPr>
      </w:pPr>
      <w:r>
        <w:rPr>
          <w:rFonts w:ascii="Arial" w:hAnsi="Arial" w:cs="Arial"/>
        </w:rPr>
        <w:t xml:space="preserve">CAPM provides a more flexible framework for estimating the cost of equity. It considers systematic risk, as reflected in the company’s beta, which measures MAM’s sensitivity to market movements.  By incorporating the risk-free rate and market risk premium, CAPM aligns with MAM’s exposure to global markets and external risks, such as fluctuating demand for its advanced material and geopolitical uncertainties. CAPM elaborates on the correlation between risk and return in a competent market. An efficient market is the market price of an asset is an unbiased estimation of the real worth of the investment </w:t>
      </w:r>
      <w:r w:rsidRPr="00F05C46">
        <w:rPr>
          <w:rFonts w:ascii="Arial" w:hAnsi="Arial" w:cs="Arial"/>
        </w:rPr>
        <w:t>(Nhleko and Musingwini, 2016).</w:t>
      </w:r>
      <w:r w:rsidR="006F0414" w:rsidRPr="00F05C46">
        <w:rPr>
          <w:rFonts w:ascii="Arial" w:hAnsi="Arial" w:cs="Arial"/>
        </w:rPr>
        <w:t xml:space="preserve"> CAPM is calculated by</w:t>
      </w:r>
      <w:r w:rsidR="00F74866" w:rsidRPr="00F05C46">
        <w:rPr>
          <w:rFonts w:ascii="Arial" w:hAnsi="Arial" w:cs="Arial"/>
        </w:rPr>
        <w:t>:</w:t>
      </w:r>
    </w:p>
    <w:p w14:paraId="214923DD" w14:textId="1DAC27C7" w:rsidR="00814A7E" w:rsidRDefault="00A52732" w:rsidP="00C94290">
      <w:pPr>
        <w:tabs>
          <w:tab w:val="left" w:pos="636"/>
        </w:tabs>
        <w:spacing w:line="360" w:lineRule="auto"/>
        <w:jc w:val="both"/>
        <w:rPr>
          <w:rFonts w:ascii="Arial" w:hAnsi="Arial" w:cs="Arial"/>
          <w:b/>
          <w:bCs/>
          <w:sz w:val="24"/>
          <w:szCs w:val="24"/>
        </w:rPr>
      </w:pPr>
      <w:r>
        <w:rPr>
          <w:rFonts w:ascii="Arial" w:hAnsi="Arial" w:cs="Arial"/>
          <w:b/>
          <w:bCs/>
          <w:sz w:val="24"/>
          <w:szCs w:val="24"/>
        </w:rPr>
        <w:t xml:space="preserve">                                          E(R) = Rf + </w:t>
      </w:r>
      <w:r w:rsidR="00A33B10" w:rsidRPr="00A33B10">
        <w:rPr>
          <w:rFonts w:ascii="Arial" w:hAnsi="Arial" w:cs="Arial"/>
          <w:b/>
          <w:bCs/>
          <w:sz w:val="24"/>
          <w:szCs w:val="24"/>
        </w:rPr>
        <w:t>β</w:t>
      </w:r>
      <w:r w:rsidR="00A33B10">
        <w:rPr>
          <w:rFonts w:ascii="Arial" w:hAnsi="Arial" w:cs="Arial"/>
          <w:b/>
          <w:bCs/>
          <w:sz w:val="24"/>
          <w:szCs w:val="24"/>
        </w:rPr>
        <w:t>(E(Rm</w:t>
      </w:r>
      <w:r w:rsidR="000120AC">
        <w:rPr>
          <w:rFonts w:ascii="Arial" w:hAnsi="Arial" w:cs="Arial"/>
          <w:b/>
          <w:bCs/>
          <w:sz w:val="24"/>
          <w:szCs w:val="24"/>
        </w:rPr>
        <w:t>)-Rf)</w:t>
      </w:r>
    </w:p>
    <w:p w14:paraId="7B6602DF" w14:textId="77777777" w:rsidR="00F74866" w:rsidRDefault="00F74866" w:rsidP="00C94290">
      <w:pPr>
        <w:tabs>
          <w:tab w:val="left" w:pos="636"/>
        </w:tabs>
        <w:spacing w:line="360" w:lineRule="auto"/>
        <w:jc w:val="both"/>
        <w:rPr>
          <w:rFonts w:ascii="Arial" w:hAnsi="Arial" w:cs="Arial"/>
          <w:b/>
          <w:bCs/>
          <w:sz w:val="24"/>
          <w:szCs w:val="24"/>
        </w:rPr>
      </w:pPr>
    </w:p>
    <w:p w14:paraId="7ECC2FE2" w14:textId="1AF7B796" w:rsidR="00E07707" w:rsidRDefault="008E0DA0" w:rsidP="00E07707">
      <w:pPr>
        <w:tabs>
          <w:tab w:val="left" w:pos="636"/>
        </w:tabs>
        <w:spacing w:line="360" w:lineRule="auto"/>
        <w:jc w:val="both"/>
        <w:rPr>
          <w:rFonts w:ascii="Arial" w:hAnsi="Arial" w:cs="Arial"/>
        </w:rPr>
      </w:pPr>
      <w:r>
        <w:rPr>
          <w:rFonts w:ascii="Arial" w:hAnsi="Arial" w:cs="Arial"/>
        </w:rPr>
        <w:t xml:space="preserve">In contrast, </w:t>
      </w:r>
      <w:r w:rsidR="00091CAA" w:rsidRPr="00407EAC">
        <w:rPr>
          <w:rFonts w:ascii="Arial" w:hAnsi="Arial" w:cs="Arial"/>
        </w:rPr>
        <w:t>Gordon</w:t>
      </w:r>
      <w:r w:rsidR="00407EAC">
        <w:rPr>
          <w:rFonts w:ascii="Arial" w:hAnsi="Arial" w:cs="Arial"/>
        </w:rPr>
        <w:t xml:space="preserve">’s Wealth Growth Model was </w:t>
      </w:r>
      <w:r w:rsidR="00303CD0">
        <w:rPr>
          <w:rFonts w:ascii="Arial" w:hAnsi="Arial" w:cs="Arial"/>
        </w:rPr>
        <w:t>originally developed by Gordon and Shapiro in 1956</w:t>
      </w:r>
      <w:r w:rsidR="00E72731">
        <w:rPr>
          <w:rFonts w:ascii="Arial" w:hAnsi="Arial" w:cs="Arial"/>
        </w:rPr>
        <w:t>. The final version was developed by Gordon in 1962 based on the idea that dividends grow permanently at a persistent rate</w:t>
      </w:r>
      <w:r w:rsidR="0088251E">
        <w:rPr>
          <w:rFonts w:ascii="Arial" w:hAnsi="Arial" w:cs="Arial"/>
        </w:rPr>
        <w:t>.</w:t>
      </w:r>
      <w:r w:rsidR="002729B3">
        <w:rPr>
          <w:rFonts w:ascii="Arial" w:hAnsi="Arial" w:cs="Arial"/>
        </w:rPr>
        <w:t xml:space="preserve"> </w:t>
      </w:r>
      <w:r w:rsidR="0088251E">
        <w:rPr>
          <w:rFonts w:ascii="Arial" w:hAnsi="Arial" w:cs="Arial"/>
        </w:rPr>
        <w:t xml:space="preserve"> </w:t>
      </w:r>
      <w:r w:rsidR="00F11A77">
        <w:rPr>
          <w:rFonts w:ascii="Arial" w:hAnsi="Arial" w:cs="Arial"/>
        </w:rPr>
        <w:t>This assumption</w:t>
      </w:r>
      <w:r w:rsidR="00DF40AF">
        <w:rPr>
          <w:rFonts w:ascii="Arial" w:hAnsi="Arial" w:cs="Arial"/>
        </w:rPr>
        <w:t xml:space="preserve"> </w:t>
      </w:r>
      <w:r w:rsidR="00593624">
        <w:rPr>
          <w:rFonts w:ascii="Arial" w:hAnsi="Arial" w:cs="Arial"/>
        </w:rPr>
        <w:t>is not true because</w:t>
      </w:r>
      <w:r w:rsidR="004116C3">
        <w:rPr>
          <w:rFonts w:ascii="Arial" w:hAnsi="Arial" w:cs="Arial"/>
        </w:rPr>
        <w:t>,</w:t>
      </w:r>
      <w:r w:rsidR="00593624">
        <w:rPr>
          <w:rFonts w:ascii="Arial" w:hAnsi="Arial" w:cs="Arial"/>
        </w:rPr>
        <w:t xml:space="preserve"> </w:t>
      </w:r>
      <w:r w:rsidR="00EF37F8">
        <w:rPr>
          <w:rFonts w:ascii="Arial" w:hAnsi="Arial" w:cs="Arial"/>
        </w:rPr>
        <w:t xml:space="preserve">for </w:t>
      </w:r>
      <w:r w:rsidR="00887F2C">
        <w:rPr>
          <w:rFonts w:ascii="Arial" w:hAnsi="Arial" w:cs="Arial"/>
        </w:rPr>
        <w:t>an</w:t>
      </w:r>
      <w:r w:rsidR="00DF57AF">
        <w:rPr>
          <w:rFonts w:ascii="Arial" w:hAnsi="Arial" w:cs="Arial"/>
        </w:rPr>
        <w:t xml:space="preserve"> </w:t>
      </w:r>
      <w:r w:rsidR="00EF37F8">
        <w:rPr>
          <w:rFonts w:ascii="Arial" w:hAnsi="Arial" w:cs="Arial"/>
        </w:rPr>
        <w:t>endless period</w:t>
      </w:r>
      <w:r w:rsidR="004116C3">
        <w:rPr>
          <w:rFonts w:ascii="Arial" w:hAnsi="Arial" w:cs="Arial"/>
        </w:rPr>
        <w:t>,</w:t>
      </w:r>
      <w:r w:rsidR="00EF37F8">
        <w:rPr>
          <w:rFonts w:ascii="Arial" w:hAnsi="Arial" w:cs="Arial"/>
        </w:rPr>
        <w:t xml:space="preserve"> dividend predictions cannot </w:t>
      </w:r>
      <w:r w:rsidR="00887F2C">
        <w:rPr>
          <w:rFonts w:ascii="Arial" w:hAnsi="Arial" w:cs="Arial"/>
        </w:rPr>
        <w:t>b</w:t>
      </w:r>
      <w:r w:rsidR="00EF37F8">
        <w:rPr>
          <w:rFonts w:ascii="Arial" w:hAnsi="Arial" w:cs="Arial"/>
        </w:rPr>
        <w:t>e made</w:t>
      </w:r>
      <w:r w:rsidR="004116C3">
        <w:rPr>
          <w:rFonts w:ascii="Arial" w:hAnsi="Arial" w:cs="Arial"/>
        </w:rPr>
        <w:t>.</w:t>
      </w:r>
      <w:r w:rsidR="004512C2">
        <w:rPr>
          <w:rFonts w:ascii="Arial" w:hAnsi="Arial" w:cs="Arial"/>
        </w:rPr>
        <w:t xml:space="preserve"> </w:t>
      </w:r>
      <w:r w:rsidR="00511B91">
        <w:rPr>
          <w:rFonts w:ascii="Arial" w:hAnsi="Arial" w:cs="Arial"/>
        </w:rPr>
        <w:t>Gordon</w:t>
      </w:r>
      <w:r w:rsidR="00575B78">
        <w:rPr>
          <w:rFonts w:ascii="Arial" w:hAnsi="Arial" w:cs="Arial"/>
        </w:rPr>
        <w:t xml:space="preserve">’s growth model is the simplest </w:t>
      </w:r>
      <w:r w:rsidR="00F72EBD">
        <w:rPr>
          <w:rFonts w:ascii="Arial" w:hAnsi="Arial" w:cs="Arial"/>
        </w:rPr>
        <w:t xml:space="preserve">dividend discount model </w:t>
      </w:r>
      <w:r w:rsidR="00F63373">
        <w:rPr>
          <w:rFonts w:ascii="Arial" w:hAnsi="Arial" w:cs="Arial"/>
        </w:rPr>
        <w:t xml:space="preserve">used to calculate the fair value of the stock of companies with a stable growth pattern and pay dividends </w:t>
      </w:r>
      <w:r w:rsidR="00F63373" w:rsidRPr="00B657FD">
        <w:rPr>
          <w:rFonts w:ascii="Arial" w:hAnsi="Arial" w:cs="Arial"/>
        </w:rPr>
        <w:t>regularly</w:t>
      </w:r>
      <w:r w:rsidR="00E07707" w:rsidRPr="00B657FD">
        <w:rPr>
          <w:rFonts w:ascii="Arial" w:hAnsi="Arial" w:cs="Arial"/>
        </w:rPr>
        <w:t xml:space="preserve"> (Nhleko and Musingwini, 2016).</w:t>
      </w:r>
    </w:p>
    <w:p w14:paraId="106DF4D5" w14:textId="77777777" w:rsidR="00F74866" w:rsidRDefault="00F74866" w:rsidP="00E07707">
      <w:pPr>
        <w:tabs>
          <w:tab w:val="left" w:pos="636"/>
        </w:tabs>
        <w:spacing w:line="360" w:lineRule="auto"/>
        <w:jc w:val="both"/>
        <w:rPr>
          <w:rFonts w:ascii="Arial" w:hAnsi="Arial" w:cs="Arial"/>
        </w:rPr>
      </w:pPr>
    </w:p>
    <w:p w14:paraId="3FB25DD9" w14:textId="77777777" w:rsidR="00F74866" w:rsidRDefault="00F74866" w:rsidP="00E07707">
      <w:pPr>
        <w:tabs>
          <w:tab w:val="left" w:pos="636"/>
        </w:tabs>
        <w:spacing w:line="360" w:lineRule="auto"/>
        <w:jc w:val="both"/>
        <w:rPr>
          <w:rFonts w:ascii="Arial" w:hAnsi="Arial" w:cs="Arial"/>
        </w:rPr>
      </w:pPr>
    </w:p>
    <w:p w14:paraId="2DE57574" w14:textId="77D02554" w:rsidR="00430503" w:rsidRDefault="007B669B" w:rsidP="00E07707">
      <w:pPr>
        <w:tabs>
          <w:tab w:val="left" w:pos="636"/>
        </w:tabs>
        <w:spacing w:line="360" w:lineRule="auto"/>
        <w:jc w:val="both"/>
        <w:rPr>
          <w:rFonts w:ascii="Arial" w:hAnsi="Arial" w:cs="Arial"/>
        </w:rPr>
      </w:pPr>
      <w:r>
        <w:rPr>
          <w:rFonts w:ascii="Arial" w:hAnsi="Arial" w:cs="Arial"/>
          <w:noProof/>
        </w:rPr>
        <w:lastRenderedPageBreak/>
        <w:drawing>
          <wp:anchor distT="0" distB="0" distL="114300" distR="114300" simplePos="0" relativeHeight="251661312" behindDoc="0" locked="0" layoutInCell="1" allowOverlap="1" wp14:anchorId="7AF8AD87" wp14:editId="3200895E">
            <wp:simplePos x="0" y="0"/>
            <wp:positionH relativeFrom="margin">
              <wp:posOffset>743585</wp:posOffset>
            </wp:positionH>
            <wp:positionV relativeFrom="paragraph">
              <wp:posOffset>108585</wp:posOffset>
            </wp:positionV>
            <wp:extent cx="4122420" cy="2453640"/>
            <wp:effectExtent l="133350" t="133350" r="125730" b="13716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2420" cy="2453640"/>
                    </a:xfrm>
                    <a:prstGeom prst="rect">
                      <a:avLst/>
                    </a:prstGeom>
                    <a:noFill/>
                    <a:ln>
                      <a:solidFill>
                        <a:schemeClr val="tx1"/>
                      </a:solidFill>
                    </a:ln>
                    <a:effectLst>
                      <a:glow rad="101600">
                        <a:schemeClr val="accent1">
                          <a:satMod val="175000"/>
                          <a:alpha val="40000"/>
                        </a:schemeClr>
                      </a:glow>
                    </a:effectLst>
                  </pic:spPr>
                </pic:pic>
              </a:graphicData>
            </a:graphic>
            <wp14:sizeRelH relativeFrom="page">
              <wp14:pctWidth>0</wp14:pctWidth>
            </wp14:sizeRelH>
            <wp14:sizeRelV relativeFrom="page">
              <wp14:pctHeight>0</wp14:pctHeight>
            </wp14:sizeRelV>
          </wp:anchor>
        </w:drawing>
      </w:r>
    </w:p>
    <w:p w14:paraId="2A3DE01A" w14:textId="18B1CB47" w:rsidR="00430503" w:rsidRDefault="00430503" w:rsidP="00E07707">
      <w:pPr>
        <w:tabs>
          <w:tab w:val="left" w:pos="636"/>
        </w:tabs>
        <w:spacing w:line="360" w:lineRule="auto"/>
        <w:jc w:val="both"/>
        <w:rPr>
          <w:rFonts w:ascii="Arial" w:hAnsi="Arial" w:cs="Arial"/>
        </w:rPr>
      </w:pPr>
    </w:p>
    <w:p w14:paraId="650ECA1B" w14:textId="725545C3" w:rsidR="00430503" w:rsidRDefault="00430503" w:rsidP="00E07707">
      <w:pPr>
        <w:tabs>
          <w:tab w:val="left" w:pos="636"/>
        </w:tabs>
        <w:spacing w:line="360" w:lineRule="auto"/>
        <w:jc w:val="both"/>
        <w:rPr>
          <w:rFonts w:ascii="Arial" w:hAnsi="Arial" w:cs="Arial"/>
        </w:rPr>
      </w:pPr>
    </w:p>
    <w:p w14:paraId="6C6CF852" w14:textId="46B2DA39" w:rsidR="00430503" w:rsidRDefault="00430503" w:rsidP="00E07707">
      <w:pPr>
        <w:tabs>
          <w:tab w:val="left" w:pos="636"/>
        </w:tabs>
        <w:spacing w:line="360" w:lineRule="auto"/>
        <w:jc w:val="both"/>
        <w:rPr>
          <w:rFonts w:ascii="Arial" w:hAnsi="Arial" w:cs="Arial"/>
        </w:rPr>
      </w:pPr>
    </w:p>
    <w:p w14:paraId="4BD19937" w14:textId="77777777" w:rsidR="00430503" w:rsidRDefault="00430503" w:rsidP="00E07707">
      <w:pPr>
        <w:tabs>
          <w:tab w:val="left" w:pos="636"/>
        </w:tabs>
        <w:spacing w:line="360" w:lineRule="auto"/>
        <w:jc w:val="both"/>
        <w:rPr>
          <w:rFonts w:ascii="Arial" w:hAnsi="Arial" w:cs="Arial"/>
        </w:rPr>
      </w:pPr>
    </w:p>
    <w:p w14:paraId="02B40436" w14:textId="5636B581" w:rsidR="00430503" w:rsidRDefault="00430503" w:rsidP="00E07707">
      <w:pPr>
        <w:tabs>
          <w:tab w:val="left" w:pos="636"/>
        </w:tabs>
        <w:spacing w:line="360" w:lineRule="auto"/>
        <w:jc w:val="both"/>
        <w:rPr>
          <w:rFonts w:ascii="Arial" w:hAnsi="Arial" w:cs="Arial"/>
        </w:rPr>
      </w:pPr>
    </w:p>
    <w:p w14:paraId="09C370A1" w14:textId="63B4296A" w:rsidR="00430503" w:rsidRDefault="00430503" w:rsidP="00E07707">
      <w:pPr>
        <w:tabs>
          <w:tab w:val="left" w:pos="636"/>
        </w:tabs>
        <w:spacing w:line="360" w:lineRule="auto"/>
        <w:jc w:val="both"/>
        <w:rPr>
          <w:rFonts w:ascii="Arial" w:hAnsi="Arial" w:cs="Arial"/>
        </w:rPr>
      </w:pPr>
    </w:p>
    <w:p w14:paraId="373F6E75" w14:textId="2B7DAE5E" w:rsidR="00430503" w:rsidRPr="00E07707" w:rsidRDefault="00430503" w:rsidP="00E07707">
      <w:pPr>
        <w:tabs>
          <w:tab w:val="left" w:pos="636"/>
        </w:tabs>
        <w:spacing w:line="360" w:lineRule="auto"/>
        <w:jc w:val="both"/>
        <w:rPr>
          <w:rFonts w:ascii="Arial" w:hAnsi="Arial" w:cs="Arial"/>
        </w:rPr>
      </w:pPr>
    </w:p>
    <w:p w14:paraId="65D2DA49" w14:textId="489F6475" w:rsidR="004C6A81" w:rsidRPr="007B669B" w:rsidRDefault="007B669B" w:rsidP="00C94290">
      <w:pPr>
        <w:tabs>
          <w:tab w:val="left" w:pos="636"/>
        </w:tabs>
        <w:spacing w:line="360" w:lineRule="auto"/>
        <w:jc w:val="both"/>
        <w:rPr>
          <w:rFonts w:ascii="Arial" w:hAnsi="Arial" w:cs="Arial"/>
          <w:b/>
          <w:bCs/>
        </w:rPr>
      </w:pPr>
      <w:r>
        <w:rPr>
          <w:rFonts w:ascii="Arial" w:hAnsi="Arial" w:cs="Arial"/>
        </w:rPr>
        <w:t xml:space="preserve">                                           </w:t>
      </w:r>
      <w:r w:rsidR="00F20834">
        <w:rPr>
          <w:rFonts w:ascii="Arial" w:hAnsi="Arial" w:cs="Arial"/>
        </w:rPr>
        <w:t xml:space="preserve">               </w:t>
      </w:r>
      <w:r>
        <w:rPr>
          <w:rFonts w:ascii="Arial" w:hAnsi="Arial" w:cs="Arial"/>
        </w:rPr>
        <w:t xml:space="preserve"> </w:t>
      </w:r>
      <w:r w:rsidRPr="00DF57AF">
        <w:rPr>
          <w:rFonts w:ascii="Arial" w:hAnsi="Arial" w:cs="Arial"/>
          <w:b/>
          <w:bCs/>
          <w:highlight w:val="yellow"/>
        </w:rPr>
        <w:t xml:space="preserve">Source: </w:t>
      </w:r>
      <w:r w:rsidR="00F20834" w:rsidRPr="00DF57AF">
        <w:rPr>
          <w:rFonts w:ascii="Arial" w:hAnsi="Arial" w:cs="Arial"/>
          <w:b/>
          <w:bCs/>
          <w:highlight w:val="yellow"/>
        </w:rPr>
        <w:t>(</w:t>
      </w:r>
      <w:r w:rsidRPr="00DF57AF">
        <w:rPr>
          <w:rFonts w:ascii="Arial" w:hAnsi="Arial" w:cs="Arial"/>
          <w:b/>
          <w:bCs/>
          <w:highlight w:val="yellow"/>
        </w:rPr>
        <w:t>Fame</w:t>
      </w:r>
      <w:r w:rsidR="00F20834" w:rsidRPr="00DF57AF">
        <w:rPr>
          <w:rFonts w:ascii="Arial" w:hAnsi="Arial" w:cs="Arial"/>
          <w:b/>
          <w:bCs/>
          <w:highlight w:val="yellow"/>
        </w:rPr>
        <w:t>, 2023)</w:t>
      </w:r>
    </w:p>
    <w:p w14:paraId="0355E06A" w14:textId="4BC206B1" w:rsidR="00F4428C" w:rsidRDefault="000B540E" w:rsidP="00C94290">
      <w:pPr>
        <w:tabs>
          <w:tab w:val="left" w:pos="636"/>
        </w:tabs>
        <w:spacing w:line="360" w:lineRule="auto"/>
        <w:jc w:val="both"/>
        <w:rPr>
          <w:rFonts w:ascii="Arial" w:hAnsi="Arial" w:cs="Arial"/>
        </w:rPr>
      </w:pPr>
      <w:r>
        <w:rPr>
          <w:rFonts w:ascii="Arial" w:hAnsi="Arial" w:cs="Arial"/>
        </w:rPr>
        <w:t xml:space="preserve">One of the GGM’s key elements is that a company would experience </w:t>
      </w:r>
      <w:r w:rsidR="00B50A08">
        <w:rPr>
          <w:rFonts w:ascii="Arial" w:hAnsi="Arial" w:cs="Arial"/>
        </w:rPr>
        <w:t xml:space="preserve">stable </w:t>
      </w:r>
      <w:r w:rsidR="0046369C">
        <w:rPr>
          <w:rFonts w:ascii="Arial" w:hAnsi="Arial" w:cs="Arial"/>
        </w:rPr>
        <w:t xml:space="preserve">positive and predictable dividend growth, which is not a reality in the case of MAM. </w:t>
      </w:r>
      <w:r w:rsidR="00FC5A3D">
        <w:rPr>
          <w:rFonts w:ascii="Arial" w:hAnsi="Arial" w:cs="Arial"/>
        </w:rPr>
        <w:t>Between 2013 and</w:t>
      </w:r>
      <w:r w:rsidR="006A3982">
        <w:rPr>
          <w:rFonts w:ascii="Arial" w:hAnsi="Arial" w:cs="Arial"/>
        </w:rPr>
        <w:t xml:space="preserve"> 2023</w:t>
      </w:r>
      <w:r w:rsidR="00184E41">
        <w:rPr>
          <w:rFonts w:ascii="Arial" w:hAnsi="Arial" w:cs="Arial"/>
        </w:rPr>
        <w:t xml:space="preserve">, MAM recorded dividend </w:t>
      </w:r>
      <w:r w:rsidR="00082C4E">
        <w:rPr>
          <w:rFonts w:ascii="Arial" w:hAnsi="Arial" w:cs="Arial"/>
        </w:rPr>
        <w:t>payments</w:t>
      </w:r>
      <w:r w:rsidR="00184E41">
        <w:rPr>
          <w:rFonts w:ascii="Arial" w:hAnsi="Arial" w:cs="Arial"/>
        </w:rPr>
        <w:t xml:space="preserve"> that ranged from almost</w:t>
      </w:r>
      <w:r w:rsidR="00456B48">
        <w:rPr>
          <w:rFonts w:ascii="Arial" w:hAnsi="Arial" w:cs="Arial"/>
        </w:rPr>
        <w:t xml:space="preserve"> </w:t>
      </w:r>
      <w:r w:rsidR="00F37C6B">
        <w:rPr>
          <w:rFonts w:ascii="Arial" w:hAnsi="Arial" w:cs="Arial"/>
        </w:rPr>
        <w:t xml:space="preserve">£5.7 million in 2020 to GBP </w:t>
      </w:r>
      <w:r w:rsidR="00416465">
        <w:rPr>
          <w:rFonts w:ascii="Arial" w:hAnsi="Arial" w:cs="Arial"/>
        </w:rPr>
        <w:t xml:space="preserve">to </w:t>
      </w:r>
      <w:r w:rsidR="00EA71FE">
        <w:rPr>
          <w:rFonts w:ascii="Arial" w:hAnsi="Arial" w:cs="Arial"/>
        </w:rPr>
        <w:t>£34.2 million in 2023</w:t>
      </w:r>
      <w:r w:rsidR="00D01168">
        <w:rPr>
          <w:rFonts w:ascii="Arial" w:hAnsi="Arial" w:cs="Arial"/>
        </w:rPr>
        <w:t xml:space="preserve"> </w:t>
      </w:r>
      <w:r w:rsidR="00D01168" w:rsidRPr="00A025E4">
        <w:rPr>
          <w:rFonts w:ascii="Arial" w:hAnsi="Arial" w:cs="Arial"/>
          <w:highlight w:val="yellow"/>
        </w:rPr>
        <w:t>(Fame,2023</w:t>
      </w:r>
      <w:r w:rsidR="00A025E4" w:rsidRPr="00A025E4">
        <w:rPr>
          <w:rFonts w:ascii="Arial" w:hAnsi="Arial" w:cs="Arial"/>
          <w:highlight w:val="yellow"/>
        </w:rPr>
        <w:t>)</w:t>
      </w:r>
      <w:r w:rsidR="004E4E8F">
        <w:rPr>
          <w:rFonts w:ascii="Arial" w:hAnsi="Arial" w:cs="Arial"/>
        </w:rPr>
        <w:t xml:space="preserve"> in just 3 years</w:t>
      </w:r>
      <w:r w:rsidR="00EA71FE">
        <w:rPr>
          <w:rFonts w:ascii="Arial" w:hAnsi="Arial" w:cs="Arial"/>
        </w:rPr>
        <w:t>. This irregularity</w:t>
      </w:r>
      <w:r w:rsidR="00195D82">
        <w:rPr>
          <w:rFonts w:ascii="Arial" w:hAnsi="Arial" w:cs="Arial"/>
        </w:rPr>
        <w:t xml:space="preserve"> reflects variations in the company’s profitability, reinvestment needs</w:t>
      </w:r>
      <w:r w:rsidR="005544C2">
        <w:rPr>
          <w:rFonts w:ascii="Arial" w:hAnsi="Arial" w:cs="Arial"/>
        </w:rPr>
        <w:t>, and financial strategy over time. Such irregular payouts destabilise</w:t>
      </w:r>
      <w:r w:rsidR="00D44E92">
        <w:rPr>
          <w:rFonts w:ascii="Arial" w:hAnsi="Arial" w:cs="Arial"/>
        </w:rPr>
        <w:t xml:space="preserve"> the reliability of GGM, as </w:t>
      </w:r>
      <w:r w:rsidR="007B6767">
        <w:rPr>
          <w:rFonts w:ascii="Arial" w:hAnsi="Arial" w:cs="Arial"/>
        </w:rPr>
        <w:t xml:space="preserve">stable growth assumptions are required </w:t>
      </w:r>
      <w:r w:rsidR="009A2218">
        <w:rPr>
          <w:rFonts w:ascii="Arial" w:hAnsi="Arial" w:cs="Arial"/>
        </w:rPr>
        <w:t>to calculate the cost of equity accurately</w:t>
      </w:r>
      <w:r w:rsidR="00D44E92">
        <w:rPr>
          <w:rFonts w:ascii="Arial" w:hAnsi="Arial" w:cs="Arial"/>
        </w:rPr>
        <w:t xml:space="preserve">. </w:t>
      </w:r>
      <w:r w:rsidR="007B6767">
        <w:rPr>
          <w:rFonts w:ascii="Arial" w:hAnsi="Arial" w:cs="Arial"/>
        </w:rPr>
        <w:t>Further</w:t>
      </w:r>
      <w:r w:rsidR="006347E4">
        <w:rPr>
          <w:rFonts w:ascii="Arial" w:hAnsi="Arial" w:cs="Arial"/>
        </w:rPr>
        <w:t>m</w:t>
      </w:r>
      <w:r w:rsidR="007B6767">
        <w:rPr>
          <w:rFonts w:ascii="Arial" w:hAnsi="Arial" w:cs="Arial"/>
        </w:rPr>
        <w:t>ore, MAM’s dividend</w:t>
      </w:r>
      <w:r w:rsidR="006347E4">
        <w:rPr>
          <w:rFonts w:ascii="Arial" w:hAnsi="Arial" w:cs="Arial"/>
        </w:rPr>
        <w:t xml:space="preserve"> reductions in 2020 and </w:t>
      </w:r>
      <w:r w:rsidR="00991105">
        <w:rPr>
          <w:rFonts w:ascii="Arial" w:hAnsi="Arial" w:cs="Arial"/>
        </w:rPr>
        <w:t>consequent</w:t>
      </w:r>
      <w:r w:rsidR="006347E4">
        <w:rPr>
          <w:rFonts w:ascii="Arial" w:hAnsi="Arial" w:cs="Arial"/>
        </w:rPr>
        <w:t xml:space="preserve"> </w:t>
      </w:r>
      <w:r w:rsidR="00991105">
        <w:rPr>
          <w:rFonts w:ascii="Arial" w:hAnsi="Arial" w:cs="Arial"/>
        </w:rPr>
        <w:t xml:space="preserve">recovery </w:t>
      </w:r>
      <w:r w:rsidR="007978B3">
        <w:rPr>
          <w:rFonts w:ascii="Arial" w:hAnsi="Arial" w:cs="Arial"/>
        </w:rPr>
        <w:t>show</w:t>
      </w:r>
      <w:r w:rsidR="00613304">
        <w:rPr>
          <w:rFonts w:ascii="Arial" w:hAnsi="Arial" w:cs="Arial"/>
        </w:rPr>
        <w:t xml:space="preserve"> its dynamic approach to balancing shareholder returns and financial flexibility.</w:t>
      </w:r>
    </w:p>
    <w:p w14:paraId="40DC4D3C" w14:textId="4BA4C18F" w:rsidR="00F65BC0" w:rsidRDefault="005301DB" w:rsidP="008C05EA">
      <w:pPr>
        <w:tabs>
          <w:tab w:val="left" w:pos="636"/>
        </w:tabs>
        <w:spacing w:line="360" w:lineRule="auto"/>
        <w:jc w:val="both"/>
        <w:rPr>
          <w:rFonts w:ascii="Arial" w:hAnsi="Arial" w:cs="Arial"/>
        </w:rPr>
      </w:pPr>
      <w:r>
        <w:rPr>
          <w:rFonts w:ascii="Arial" w:hAnsi="Arial" w:cs="Arial"/>
        </w:rPr>
        <w:t xml:space="preserve">The methods </w:t>
      </w:r>
      <w:r w:rsidR="000F7531">
        <w:rPr>
          <w:rFonts w:ascii="Arial" w:hAnsi="Arial" w:cs="Arial"/>
        </w:rPr>
        <w:t>of</w:t>
      </w:r>
      <w:r>
        <w:rPr>
          <w:rFonts w:ascii="Arial" w:hAnsi="Arial" w:cs="Arial"/>
        </w:rPr>
        <w:t xml:space="preserve"> selection for the </w:t>
      </w:r>
      <w:r w:rsidR="00082C4E">
        <w:rPr>
          <w:rFonts w:ascii="Arial" w:hAnsi="Arial" w:cs="Arial"/>
        </w:rPr>
        <w:t>cost of capital components were derived from a systematic process that focused on the accuracy, relevance to the market,</w:t>
      </w:r>
      <w:r w:rsidR="000F7531">
        <w:rPr>
          <w:rFonts w:ascii="Arial" w:hAnsi="Arial" w:cs="Arial"/>
        </w:rPr>
        <w:t xml:space="preserve"> and specific characteristics of </w:t>
      </w:r>
      <w:r w:rsidR="00CE0E69">
        <w:rPr>
          <w:rFonts w:ascii="Arial" w:hAnsi="Arial" w:cs="Arial"/>
        </w:rPr>
        <w:t>Morgan's</w:t>
      </w:r>
      <w:r w:rsidR="000F7531">
        <w:rPr>
          <w:rFonts w:ascii="Arial" w:hAnsi="Arial" w:cs="Arial"/>
        </w:rPr>
        <w:t xml:space="preserve"> advanced material financial structure.</w:t>
      </w:r>
      <w:r w:rsidR="00984847">
        <w:rPr>
          <w:rFonts w:ascii="Arial" w:hAnsi="Arial" w:cs="Arial"/>
        </w:rPr>
        <w:t xml:space="preserve"> As for the cost of ordinary </w:t>
      </w:r>
      <w:r w:rsidR="00CE0E69">
        <w:rPr>
          <w:rFonts w:ascii="Arial" w:hAnsi="Arial" w:cs="Arial"/>
        </w:rPr>
        <w:t>shares</w:t>
      </w:r>
      <w:r w:rsidR="00984847">
        <w:rPr>
          <w:rFonts w:ascii="Arial" w:hAnsi="Arial" w:cs="Arial"/>
        </w:rPr>
        <w:t xml:space="preserve">, the capital asset pricing model </w:t>
      </w:r>
      <w:r w:rsidR="00CE0E69">
        <w:rPr>
          <w:rFonts w:ascii="Arial" w:hAnsi="Arial" w:cs="Arial"/>
        </w:rPr>
        <w:t>(CAPM)</w:t>
      </w:r>
      <w:r w:rsidR="00984847">
        <w:rPr>
          <w:rFonts w:ascii="Arial" w:hAnsi="Arial" w:cs="Arial"/>
        </w:rPr>
        <w:t xml:space="preserve"> was chosen over the dividend growth model due to several critical </w:t>
      </w:r>
      <w:r w:rsidR="00CE0E69">
        <w:rPr>
          <w:rFonts w:ascii="Arial" w:hAnsi="Arial" w:cs="Arial"/>
        </w:rPr>
        <w:t>thoughts</w:t>
      </w:r>
      <w:r w:rsidR="00984847">
        <w:rPr>
          <w:rFonts w:ascii="Arial" w:hAnsi="Arial" w:cs="Arial"/>
        </w:rPr>
        <w:t xml:space="preserve">. Unlike the dividend growth model, which mainly requires regular and consistent dividends, </w:t>
      </w:r>
      <w:r w:rsidR="00CE0E69">
        <w:rPr>
          <w:rFonts w:ascii="Arial" w:hAnsi="Arial" w:cs="Arial"/>
        </w:rPr>
        <w:t>CAPM</w:t>
      </w:r>
      <w:r w:rsidR="00984847">
        <w:rPr>
          <w:rFonts w:ascii="Arial" w:hAnsi="Arial" w:cs="Arial"/>
        </w:rPr>
        <w:t xml:space="preserve"> is more than</w:t>
      </w:r>
      <w:r w:rsidR="00615192">
        <w:rPr>
          <w:rFonts w:ascii="Arial" w:hAnsi="Arial" w:cs="Arial"/>
        </w:rPr>
        <w:t xml:space="preserve"> t</w:t>
      </w:r>
      <w:r w:rsidR="00984847">
        <w:rPr>
          <w:rFonts w:ascii="Arial" w:hAnsi="Arial" w:cs="Arial"/>
        </w:rPr>
        <w:t xml:space="preserve">hat </w:t>
      </w:r>
      <w:r w:rsidR="00ED6234">
        <w:rPr>
          <w:rFonts w:ascii="Arial" w:hAnsi="Arial" w:cs="Arial"/>
        </w:rPr>
        <w:t>of a</w:t>
      </w:r>
      <w:r w:rsidR="00984847">
        <w:rPr>
          <w:rFonts w:ascii="Arial" w:hAnsi="Arial" w:cs="Arial"/>
        </w:rPr>
        <w:t xml:space="preserve"> traditional</w:t>
      </w:r>
      <w:r w:rsidR="00D41BD2">
        <w:rPr>
          <w:rFonts w:ascii="Arial" w:hAnsi="Arial" w:cs="Arial"/>
        </w:rPr>
        <w:t xml:space="preserve"> dividend growth model thus</w:t>
      </w:r>
      <w:r w:rsidR="00ED6234">
        <w:rPr>
          <w:rFonts w:ascii="Arial" w:hAnsi="Arial" w:cs="Arial"/>
        </w:rPr>
        <w:t>,</w:t>
      </w:r>
      <w:r w:rsidR="00D41BD2">
        <w:rPr>
          <w:rFonts w:ascii="Arial" w:hAnsi="Arial" w:cs="Arial"/>
        </w:rPr>
        <w:t xml:space="preserve"> </w:t>
      </w:r>
      <w:r w:rsidR="00ED6234">
        <w:rPr>
          <w:rFonts w:ascii="Arial" w:hAnsi="Arial" w:cs="Arial"/>
        </w:rPr>
        <w:t>i</w:t>
      </w:r>
      <w:r w:rsidR="00D41BD2">
        <w:rPr>
          <w:rFonts w:ascii="Arial" w:hAnsi="Arial" w:cs="Arial"/>
        </w:rPr>
        <w:t xml:space="preserve">t allows the valuation of the security by the market risk and return expectation. </w:t>
      </w:r>
      <w:r w:rsidR="00ED6234">
        <w:rPr>
          <w:rFonts w:ascii="Arial" w:hAnsi="Arial" w:cs="Arial"/>
        </w:rPr>
        <w:t xml:space="preserve">MAM </w:t>
      </w:r>
      <w:r w:rsidR="00D41BD2">
        <w:rPr>
          <w:rFonts w:ascii="Arial" w:hAnsi="Arial" w:cs="Arial"/>
        </w:rPr>
        <w:t xml:space="preserve">in addition </w:t>
      </w:r>
      <w:r w:rsidR="00ED6234">
        <w:rPr>
          <w:rFonts w:ascii="Arial" w:hAnsi="Arial" w:cs="Arial"/>
        </w:rPr>
        <w:t xml:space="preserve">to </w:t>
      </w:r>
      <w:r w:rsidR="00D41BD2">
        <w:rPr>
          <w:rFonts w:ascii="Arial" w:hAnsi="Arial" w:cs="Arial"/>
        </w:rPr>
        <w:t xml:space="preserve">being an advanced materials manufacturing </w:t>
      </w:r>
      <w:r w:rsidR="00ED6234">
        <w:rPr>
          <w:rFonts w:ascii="Arial" w:hAnsi="Arial" w:cs="Arial"/>
        </w:rPr>
        <w:t>company</w:t>
      </w:r>
      <w:r w:rsidR="00D41BD2">
        <w:rPr>
          <w:rFonts w:ascii="Arial" w:hAnsi="Arial" w:cs="Arial"/>
        </w:rPr>
        <w:t xml:space="preserve"> the share of the dividend distribution may </w:t>
      </w:r>
      <w:r w:rsidR="006D7708">
        <w:rPr>
          <w:rFonts w:ascii="Arial" w:hAnsi="Arial" w:cs="Arial"/>
        </w:rPr>
        <w:t>vary;</w:t>
      </w:r>
      <w:r w:rsidR="00D41BD2">
        <w:rPr>
          <w:rFonts w:ascii="Arial" w:hAnsi="Arial" w:cs="Arial"/>
        </w:rPr>
        <w:t xml:space="preserve"> </w:t>
      </w:r>
      <w:r w:rsidR="00D02750">
        <w:rPr>
          <w:rFonts w:ascii="Arial" w:hAnsi="Arial" w:cs="Arial"/>
        </w:rPr>
        <w:t>t</w:t>
      </w:r>
      <w:r w:rsidR="00D41BD2">
        <w:rPr>
          <w:rFonts w:ascii="Arial" w:hAnsi="Arial" w:cs="Arial"/>
        </w:rPr>
        <w:t xml:space="preserve">he appropriate way of evaluation is to use </w:t>
      </w:r>
      <w:r w:rsidR="00D02750">
        <w:rPr>
          <w:rFonts w:ascii="Arial" w:hAnsi="Arial" w:cs="Arial"/>
        </w:rPr>
        <w:t xml:space="preserve">a </w:t>
      </w:r>
      <w:r w:rsidR="00D41BD2">
        <w:rPr>
          <w:rFonts w:ascii="Arial" w:hAnsi="Arial" w:cs="Arial"/>
        </w:rPr>
        <w:t>more dynamic valuation method that effectively</w:t>
      </w:r>
      <w:r w:rsidR="00D02750">
        <w:rPr>
          <w:rFonts w:ascii="Arial" w:hAnsi="Arial" w:cs="Arial"/>
        </w:rPr>
        <w:t xml:space="preserve"> </w:t>
      </w:r>
      <w:r w:rsidR="00752F6E">
        <w:rPr>
          <w:rFonts w:ascii="Arial" w:hAnsi="Arial" w:cs="Arial"/>
        </w:rPr>
        <w:t>shows</w:t>
      </w:r>
      <w:r w:rsidR="00D02750">
        <w:rPr>
          <w:rFonts w:ascii="Arial" w:hAnsi="Arial" w:cs="Arial"/>
        </w:rPr>
        <w:t xml:space="preserve"> the company’s management and marketable positions.</w:t>
      </w:r>
    </w:p>
    <w:p w14:paraId="376AFD9B" w14:textId="77777777" w:rsidR="005C5C3E" w:rsidRDefault="005C5C3E" w:rsidP="008C05EA">
      <w:pPr>
        <w:tabs>
          <w:tab w:val="left" w:pos="636"/>
        </w:tabs>
        <w:spacing w:line="360" w:lineRule="auto"/>
        <w:jc w:val="both"/>
        <w:rPr>
          <w:rFonts w:ascii="Arial" w:hAnsi="Arial" w:cs="Arial"/>
          <w:b/>
          <w:bCs/>
        </w:rPr>
      </w:pPr>
    </w:p>
    <w:p w14:paraId="122C4C4B" w14:textId="77777777" w:rsidR="005C5C3E" w:rsidRDefault="005C5C3E" w:rsidP="008C05EA">
      <w:pPr>
        <w:tabs>
          <w:tab w:val="left" w:pos="636"/>
        </w:tabs>
        <w:spacing w:line="360" w:lineRule="auto"/>
        <w:jc w:val="both"/>
        <w:rPr>
          <w:rFonts w:ascii="Arial" w:hAnsi="Arial" w:cs="Arial"/>
          <w:b/>
          <w:bCs/>
        </w:rPr>
      </w:pPr>
    </w:p>
    <w:p w14:paraId="2FBFCB77" w14:textId="77777777" w:rsidR="005C5C3E" w:rsidRDefault="005C5C3E" w:rsidP="008C05EA">
      <w:pPr>
        <w:tabs>
          <w:tab w:val="left" w:pos="636"/>
        </w:tabs>
        <w:spacing w:line="360" w:lineRule="auto"/>
        <w:jc w:val="both"/>
        <w:rPr>
          <w:rFonts w:ascii="Arial" w:hAnsi="Arial" w:cs="Arial"/>
          <w:b/>
          <w:bCs/>
        </w:rPr>
      </w:pPr>
    </w:p>
    <w:p w14:paraId="20978AD3" w14:textId="48779C9B" w:rsidR="00577F90" w:rsidRDefault="00A91783" w:rsidP="008C05EA">
      <w:pPr>
        <w:tabs>
          <w:tab w:val="left" w:pos="636"/>
        </w:tabs>
        <w:spacing w:line="360" w:lineRule="auto"/>
        <w:jc w:val="both"/>
        <w:rPr>
          <w:rFonts w:ascii="Arial" w:hAnsi="Arial" w:cs="Arial"/>
          <w:b/>
          <w:bCs/>
        </w:rPr>
      </w:pPr>
      <w:r w:rsidRPr="00EF6390">
        <w:rPr>
          <w:rFonts w:ascii="Arial" w:hAnsi="Arial" w:cs="Arial"/>
          <w:b/>
          <w:bCs/>
        </w:rPr>
        <w:lastRenderedPageBreak/>
        <w:t>Cost of Debt</w:t>
      </w:r>
    </w:p>
    <w:p w14:paraId="356B07E7" w14:textId="34EA816E" w:rsidR="00F65BC0" w:rsidRDefault="000F7C20" w:rsidP="008C05EA">
      <w:pPr>
        <w:tabs>
          <w:tab w:val="left" w:pos="636"/>
        </w:tabs>
        <w:spacing w:line="360" w:lineRule="auto"/>
        <w:jc w:val="both"/>
        <w:rPr>
          <w:rFonts w:ascii="Arial" w:hAnsi="Arial" w:cs="Arial"/>
        </w:rPr>
      </w:pPr>
      <w:r>
        <w:rPr>
          <w:rFonts w:ascii="Arial" w:hAnsi="Arial" w:cs="Arial"/>
        </w:rPr>
        <w:t>The de</w:t>
      </w:r>
      <w:r w:rsidR="00595F38">
        <w:rPr>
          <w:rFonts w:ascii="Arial" w:hAnsi="Arial" w:cs="Arial"/>
        </w:rPr>
        <w:t>bt</w:t>
      </w:r>
      <w:r>
        <w:rPr>
          <w:rFonts w:ascii="Arial" w:hAnsi="Arial" w:cs="Arial"/>
        </w:rPr>
        <w:t xml:space="preserve"> structure of MAM is characterised by its many components, such as bank borrowings, lease liabilities and senior notes, which are denominated in both the US dollar and </w:t>
      </w:r>
      <w:r w:rsidR="00673D3E">
        <w:rPr>
          <w:rFonts w:ascii="Arial" w:hAnsi="Arial" w:cs="Arial"/>
        </w:rPr>
        <w:t>euro</w:t>
      </w:r>
      <w:r>
        <w:rPr>
          <w:rFonts w:ascii="Arial" w:hAnsi="Arial" w:cs="Arial"/>
        </w:rPr>
        <w:t xml:space="preserve">. The </w:t>
      </w:r>
      <w:r w:rsidR="006A00FF">
        <w:rPr>
          <w:rFonts w:ascii="Arial" w:hAnsi="Arial" w:cs="Arial"/>
        </w:rPr>
        <w:t>borrowings</w:t>
      </w:r>
      <w:r>
        <w:rPr>
          <w:rFonts w:ascii="Arial" w:hAnsi="Arial" w:cs="Arial"/>
        </w:rPr>
        <w:t xml:space="preserve"> for </w:t>
      </w:r>
      <w:r w:rsidR="00B72C1D">
        <w:rPr>
          <w:rFonts w:ascii="Arial" w:hAnsi="Arial" w:cs="Arial"/>
        </w:rPr>
        <w:t>MAM</w:t>
      </w:r>
      <w:r>
        <w:rPr>
          <w:rFonts w:ascii="Arial" w:hAnsi="Arial" w:cs="Arial"/>
        </w:rPr>
        <w:t xml:space="preserve"> as it is not publicly traded</w:t>
      </w:r>
      <w:r w:rsidR="00F41A6F">
        <w:rPr>
          <w:rFonts w:ascii="Arial" w:hAnsi="Arial" w:cs="Arial"/>
        </w:rPr>
        <w:t>, the cost of debt</w:t>
      </w:r>
      <w:r>
        <w:rPr>
          <w:rFonts w:ascii="Arial" w:hAnsi="Arial" w:cs="Arial"/>
        </w:rPr>
        <w:t xml:space="preserve"> is based on the </w:t>
      </w:r>
      <w:r w:rsidR="00F41A6F">
        <w:rPr>
          <w:rFonts w:ascii="Arial" w:hAnsi="Arial" w:cs="Arial"/>
        </w:rPr>
        <w:t>predetermined</w:t>
      </w:r>
      <w:r>
        <w:rPr>
          <w:rFonts w:ascii="Arial" w:hAnsi="Arial" w:cs="Arial"/>
        </w:rPr>
        <w:t xml:space="preserve"> interest rates that were agreed upon in the loan agreement.</w:t>
      </w:r>
      <w:r w:rsidR="00B407D1">
        <w:rPr>
          <w:rFonts w:ascii="Arial" w:hAnsi="Arial" w:cs="Arial"/>
        </w:rPr>
        <w:t xml:space="preserve"> The rates vary from 0.67% for bank borrowings to 5.6</w:t>
      </w:r>
      <w:r w:rsidR="00441C88">
        <w:rPr>
          <w:rFonts w:ascii="Arial" w:hAnsi="Arial" w:cs="Arial"/>
        </w:rPr>
        <w:t xml:space="preserve">% </w:t>
      </w:r>
      <w:r w:rsidR="00B407D1">
        <w:rPr>
          <w:rFonts w:ascii="Arial" w:hAnsi="Arial" w:cs="Arial"/>
        </w:rPr>
        <w:t>for long-term senior notes. Such rates of fixed borrowings cost</w:t>
      </w:r>
      <w:r w:rsidR="009C1B6A">
        <w:rPr>
          <w:rFonts w:ascii="Arial" w:hAnsi="Arial" w:cs="Arial"/>
        </w:rPr>
        <w:t xml:space="preserve"> b</w:t>
      </w:r>
      <w:r w:rsidR="00B407D1">
        <w:rPr>
          <w:rFonts w:ascii="Arial" w:hAnsi="Arial" w:cs="Arial"/>
        </w:rPr>
        <w:t>ecause the principal and repayment terms do not change</w:t>
      </w:r>
      <w:r w:rsidR="00270EB8">
        <w:rPr>
          <w:rFonts w:ascii="Arial" w:hAnsi="Arial" w:cs="Arial"/>
        </w:rPr>
        <w:t>, even</w:t>
      </w:r>
      <w:r w:rsidR="00B407D1">
        <w:rPr>
          <w:rFonts w:ascii="Arial" w:hAnsi="Arial" w:cs="Arial"/>
        </w:rPr>
        <w:t xml:space="preserve"> though interest on debt is usually tax deductible. The formula does take into account the tax benefit, </w:t>
      </w:r>
      <w:r w:rsidR="002C484A">
        <w:rPr>
          <w:rFonts w:ascii="Arial" w:hAnsi="Arial" w:cs="Arial"/>
        </w:rPr>
        <w:t>and it is</w:t>
      </w:r>
      <w:r w:rsidR="00B407D1">
        <w:rPr>
          <w:rFonts w:ascii="Arial" w:hAnsi="Arial" w:cs="Arial"/>
        </w:rPr>
        <w:t xml:space="preserve"> still </w:t>
      </w:r>
      <w:r w:rsidR="00C13417">
        <w:rPr>
          <w:rFonts w:ascii="Arial" w:hAnsi="Arial" w:cs="Arial"/>
        </w:rPr>
        <w:t>an</w:t>
      </w:r>
      <w:r w:rsidR="00B407D1">
        <w:rPr>
          <w:rFonts w:ascii="Arial" w:hAnsi="Arial" w:cs="Arial"/>
        </w:rPr>
        <w:t xml:space="preserve"> </w:t>
      </w:r>
      <w:r w:rsidR="00C13417">
        <w:rPr>
          <w:rFonts w:ascii="Arial" w:hAnsi="Arial" w:cs="Arial"/>
        </w:rPr>
        <w:t>upfront</w:t>
      </w:r>
      <w:r w:rsidR="00B407D1">
        <w:rPr>
          <w:rFonts w:ascii="Arial" w:hAnsi="Arial" w:cs="Arial"/>
        </w:rPr>
        <w:t xml:space="preserve"> analysis.</w:t>
      </w:r>
      <w:r w:rsidR="00111420">
        <w:rPr>
          <w:rFonts w:ascii="Arial" w:hAnsi="Arial" w:cs="Arial"/>
        </w:rPr>
        <w:t xml:space="preserve"> </w:t>
      </w:r>
      <w:r w:rsidR="00AD022C">
        <w:rPr>
          <w:rFonts w:ascii="Arial" w:hAnsi="Arial" w:cs="Arial"/>
        </w:rPr>
        <w:t>The low cost of debt in comparison to a high cost of equity points out M</w:t>
      </w:r>
      <w:r w:rsidR="001C1F6A">
        <w:rPr>
          <w:rFonts w:ascii="Arial" w:hAnsi="Arial" w:cs="Arial"/>
        </w:rPr>
        <w:t>AM</w:t>
      </w:r>
      <w:r w:rsidR="00AD022C">
        <w:rPr>
          <w:rFonts w:ascii="Arial" w:hAnsi="Arial" w:cs="Arial"/>
        </w:rPr>
        <w:t xml:space="preserve">’s effectiveness in the use of fixed-rate borrowings to finance operations and strategic investments with a manageable interest burden. </w:t>
      </w:r>
      <w:r w:rsidR="00EF24D5">
        <w:rPr>
          <w:rFonts w:ascii="Arial" w:hAnsi="Arial" w:cs="Arial"/>
        </w:rPr>
        <w:t>T</w:t>
      </w:r>
      <w:r w:rsidR="00AD022C">
        <w:rPr>
          <w:rFonts w:ascii="Arial" w:hAnsi="Arial" w:cs="Arial"/>
        </w:rPr>
        <w:t>he stability in borrowing costs</w:t>
      </w:r>
      <w:r w:rsidR="00EF24D5">
        <w:rPr>
          <w:rFonts w:ascii="Arial" w:hAnsi="Arial" w:cs="Arial"/>
        </w:rPr>
        <w:t xml:space="preserve"> keeps MAM’s capita</w:t>
      </w:r>
      <w:r w:rsidR="00604419">
        <w:rPr>
          <w:rFonts w:ascii="Arial" w:hAnsi="Arial" w:cs="Arial"/>
        </w:rPr>
        <w:t>l structure flexible.</w:t>
      </w:r>
    </w:p>
    <w:p w14:paraId="02A57392" w14:textId="77777777" w:rsidR="00B10844" w:rsidRDefault="00B10844" w:rsidP="008C05EA">
      <w:pPr>
        <w:tabs>
          <w:tab w:val="left" w:pos="636"/>
        </w:tabs>
        <w:spacing w:line="360" w:lineRule="auto"/>
        <w:jc w:val="both"/>
        <w:rPr>
          <w:rFonts w:ascii="Arial" w:hAnsi="Arial" w:cs="Arial"/>
        </w:rPr>
      </w:pPr>
    </w:p>
    <w:p w14:paraId="60DB5A4D" w14:textId="7CE05605" w:rsidR="006D0AB7" w:rsidRPr="004D6883" w:rsidRDefault="00216631" w:rsidP="004D6883">
      <w:pPr>
        <w:pStyle w:val="Heading1"/>
        <w:rPr>
          <w:rFonts w:ascii="Arial" w:hAnsi="Arial" w:cs="Arial"/>
          <w:color w:val="000000" w:themeColor="text1"/>
          <w:sz w:val="24"/>
          <w:szCs w:val="24"/>
        </w:rPr>
      </w:pPr>
      <w:bookmarkStart w:id="8" w:name="_Toc185149303"/>
      <w:r w:rsidRPr="004D6883">
        <w:rPr>
          <w:rFonts w:ascii="Arial" w:hAnsi="Arial" w:cs="Arial"/>
          <w:color w:val="000000" w:themeColor="text1"/>
          <w:sz w:val="24"/>
          <w:szCs w:val="24"/>
        </w:rPr>
        <w:t xml:space="preserve">3 </w:t>
      </w:r>
      <w:r w:rsidR="00527FF7" w:rsidRPr="004D6883">
        <w:rPr>
          <w:rFonts w:ascii="Arial" w:hAnsi="Arial" w:cs="Arial"/>
          <w:color w:val="000000" w:themeColor="text1"/>
          <w:sz w:val="24"/>
          <w:szCs w:val="24"/>
        </w:rPr>
        <w:t xml:space="preserve">Critical Evaluation of P/E </w:t>
      </w:r>
      <w:r w:rsidRPr="004D6883">
        <w:rPr>
          <w:rFonts w:ascii="Arial" w:hAnsi="Arial" w:cs="Arial"/>
          <w:color w:val="000000" w:themeColor="text1"/>
          <w:sz w:val="24"/>
          <w:szCs w:val="24"/>
        </w:rPr>
        <w:t>and EBITDA Valuation Method</w:t>
      </w:r>
      <w:bookmarkEnd w:id="8"/>
    </w:p>
    <w:p w14:paraId="5B5500B2" w14:textId="384DB871" w:rsidR="00E84FEE" w:rsidRDefault="00BF10E7" w:rsidP="008C05EA">
      <w:pPr>
        <w:tabs>
          <w:tab w:val="left" w:pos="636"/>
        </w:tabs>
        <w:spacing w:line="360" w:lineRule="auto"/>
        <w:jc w:val="both"/>
        <w:rPr>
          <w:rFonts w:ascii="Arial" w:hAnsi="Arial" w:cs="Arial"/>
        </w:rPr>
      </w:pPr>
      <w:r w:rsidRPr="00B01067">
        <w:rPr>
          <w:rFonts w:ascii="Arial" w:hAnsi="Arial" w:cs="Arial"/>
        </w:rPr>
        <w:t xml:space="preserve">Valuation is </w:t>
      </w:r>
      <w:r w:rsidR="00B01067" w:rsidRPr="00B01067">
        <w:rPr>
          <w:rFonts w:ascii="Arial" w:hAnsi="Arial" w:cs="Arial"/>
        </w:rPr>
        <w:t>imp</w:t>
      </w:r>
      <w:r w:rsidR="00B01067">
        <w:rPr>
          <w:rFonts w:ascii="Arial" w:hAnsi="Arial" w:cs="Arial"/>
        </w:rPr>
        <w:t>ortant</w:t>
      </w:r>
      <w:r w:rsidR="00200F6E">
        <w:rPr>
          <w:rFonts w:ascii="Arial" w:hAnsi="Arial" w:cs="Arial"/>
        </w:rPr>
        <w:t xml:space="preserve"> to </w:t>
      </w:r>
      <w:r w:rsidR="000849F1">
        <w:rPr>
          <w:rFonts w:ascii="Arial" w:hAnsi="Arial" w:cs="Arial"/>
        </w:rPr>
        <w:t>understand the company’s financial position of the company</w:t>
      </w:r>
      <w:r w:rsidR="00004A03">
        <w:rPr>
          <w:rFonts w:ascii="Arial" w:hAnsi="Arial" w:cs="Arial"/>
        </w:rPr>
        <w:t xml:space="preserve"> and mostly when </w:t>
      </w:r>
      <w:r w:rsidR="00845112">
        <w:rPr>
          <w:rFonts w:ascii="Arial" w:hAnsi="Arial" w:cs="Arial"/>
        </w:rPr>
        <w:t>related</w:t>
      </w:r>
      <w:r w:rsidR="00004A03">
        <w:rPr>
          <w:rFonts w:ascii="Arial" w:hAnsi="Arial" w:cs="Arial"/>
        </w:rPr>
        <w:t xml:space="preserve"> to its </w:t>
      </w:r>
      <w:r w:rsidR="00845112">
        <w:rPr>
          <w:rFonts w:ascii="Arial" w:hAnsi="Arial" w:cs="Arial"/>
        </w:rPr>
        <w:t>traded share price. F</w:t>
      </w:r>
      <w:r w:rsidR="008373B7">
        <w:rPr>
          <w:rFonts w:ascii="Arial" w:hAnsi="Arial" w:cs="Arial"/>
        </w:rPr>
        <w:t>or Morgan Advanced Material (MAM)</w:t>
      </w:r>
      <w:r w:rsidR="007A7608">
        <w:rPr>
          <w:rFonts w:ascii="Arial" w:hAnsi="Arial" w:cs="Arial"/>
        </w:rPr>
        <w:t>, two valuation approaches (P/E Ratio</w:t>
      </w:r>
      <w:r w:rsidR="00162227">
        <w:rPr>
          <w:rFonts w:ascii="Arial" w:hAnsi="Arial" w:cs="Arial"/>
        </w:rPr>
        <w:t xml:space="preserve"> and EBITDA Multiple) were used</w:t>
      </w:r>
      <w:r w:rsidR="00722E8A">
        <w:rPr>
          <w:rFonts w:ascii="Arial" w:hAnsi="Arial" w:cs="Arial"/>
        </w:rPr>
        <w:t xml:space="preserve"> to </w:t>
      </w:r>
      <w:r w:rsidR="00FD5731">
        <w:rPr>
          <w:rFonts w:ascii="Arial" w:hAnsi="Arial" w:cs="Arial"/>
        </w:rPr>
        <w:t>evaluate</w:t>
      </w:r>
      <w:r w:rsidR="006E7259">
        <w:rPr>
          <w:rFonts w:ascii="Arial" w:hAnsi="Arial" w:cs="Arial"/>
        </w:rPr>
        <w:t xml:space="preserve"> </w:t>
      </w:r>
      <w:r w:rsidR="00FD5731">
        <w:rPr>
          <w:rFonts w:ascii="Arial" w:hAnsi="Arial" w:cs="Arial"/>
        </w:rPr>
        <w:t xml:space="preserve">to calculate </w:t>
      </w:r>
      <w:r w:rsidR="000D2246">
        <w:rPr>
          <w:rFonts w:ascii="Arial" w:hAnsi="Arial" w:cs="Arial"/>
        </w:rPr>
        <w:t xml:space="preserve">the company’s value as of </w:t>
      </w:r>
      <w:r w:rsidR="003E4045">
        <w:rPr>
          <w:rFonts w:ascii="Arial" w:hAnsi="Arial" w:cs="Arial"/>
        </w:rPr>
        <w:t>December</w:t>
      </w:r>
      <w:r w:rsidR="000D2246">
        <w:rPr>
          <w:rFonts w:ascii="Arial" w:hAnsi="Arial" w:cs="Arial"/>
        </w:rPr>
        <w:t xml:space="preserve"> 31</w:t>
      </w:r>
      <w:r w:rsidR="003E4045">
        <w:rPr>
          <w:rFonts w:ascii="Arial" w:hAnsi="Arial" w:cs="Arial"/>
        </w:rPr>
        <w:t xml:space="preserve">, 2023. These </w:t>
      </w:r>
      <w:r w:rsidR="00874810">
        <w:rPr>
          <w:rFonts w:ascii="Arial" w:hAnsi="Arial" w:cs="Arial"/>
        </w:rPr>
        <w:t>valuations</w:t>
      </w:r>
      <w:r w:rsidR="003E4045">
        <w:rPr>
          <w:rFonts w:ascii="Arial" w:hAnsi="Arial" w:cs="Arial"/>
        </w:rPr>
        <w:t xml:space="preserve"> </w:t>
      </w:r>
      <w:r w:rsidR="00E84FEE">
        <w:rPr>
          <w:rFonts w:ascii="Arial" w:hAnsi="Arial" w:cs="Arial"/>
        </w:rPr>
        <w:t xml:space="preserve">of £1373 million and £1,187.52 million, </w:t>
      </w:r>
      <w:r w:rsidR="00B03DEC">
        <w:rPr>
          <w:rFonts w:ascii="Arial" w:hAnsi="Arial" w:cs="Arial"/>
        </w:rPr>
        <w:t>show</w:t>
      </w:r>
      <w:r w:rsidR="00E84FEE">
        <w:rPr>
          <w:rFonts w:ascii="Arial" w:hAnsi="Arial" w:cs="Arial"/>
        </w:rPr>
        <w:t xml:space="preserve"> the functionality and restrictions. The figures </w:t>
      </w:r>
      <w:r w:rsidR="006D7708">
        <w:rPr>
          <w:rFonts w:ascii="Arial" w:hAnsi="Arial" w:cs="Arial"/>
        </w:rPr>
        <w:t>give</w:t>
      </w:r>
      <w:r w:rsidR="00E84FEE">
        <w:rPr>
          <w:rFonts w:ascii="Arial" w:hAnsi="Arial" w:cs="Arial"/>
        </w:rPr>
        <w:t xml:space="preserve"> symbolic ranges they highlight the difficulty and bias of </w:t>
      </w:r>
      <w:r w:rsidR="00B03DEC">
        <w:rPr>
          <w:rFonts w:ascii="Arial" w:hAnsi="Arial" w:cs="Arial"/>
        </w:rPr>
        <w:t xml:space="preserve">the </w:t>
      </w:r>
      <w:r w:rsidR="00E84FEE">
        <w:rPr>
          <w:rFonts w:ascii="Arial" w:hAnsi="Arial" w:cs="Arial"/>
        </w:rPr>
        <w:t>valuation process.</w:t>
      </w:r>
    </w:p>
    <w:p w14:paraId="448B9B5F" w14:textId="54C59D13" w:rsidR="00903EF1" w:rsidRDefault="00E84FEE" w:rsidP="004D6883">
      <w:pPr>
        <w:pStyle w:val="Heading2"/>
        <w:rPr>
          <w:rFonts w:ascii="Arial" w:hAnsi="Arial" w:cs="Arial"/>
          <w:b/>
          <w:bCs/>
          <w:color w:val="000000" w:themeColor="text1"/>
          <w:sz w:val="22"/>
          <w:szCs w:val="22"/>
        </w:rPr>
      </w:pPr>
      <w:r w:rsidRPr="004D6883">
        <w:rPr>
          <w:rFonts w:ascii="Arial" w:hAnsi="Arial" w:cs="Arial"/>
          <w:b/>
          <w:bCs/>
          <w:color w:val="000000" w:themeColor="text1"/>
          <w:sz w:val="22"/>
          <w:szCs w:val="22"/>
        </w:rPr>
        <w:t xml:space="preserve"> </w:t>
      </w:r>
      <w:bookmarkStart w:id="9" w:name="_Toc185149304"/>
      <w:r w:rsidR="00562818" w:rsidRPr="004D6883">
        <w:rPr>
          <w:rFonts w:ascii="Arial" w:hAnsi="Arial" w:cs="Arial"/>
          <w:b/>
          <w:bCs/>
          <w:color w:val="000000" w:themeColor="text1"/>
          <w:sz w:val="22"/>
          <w:szCs w:val="22"/>
        </w:rPr>
        <w:t xml:space="preserve">3.1 </w:t>
      </w:r>
      <w:r w:rsidR="00D21B66" w:rsidRPr="004D6883">
        <w:rPr>
          <w:rFonts w:ascii="Arial" w:hAnsi="Arial" w:cs="Arial"/>
          <w:b/>
          <w:bCs/>
          <w:color w:val="000000" w:themeColor="text1"/>
          <w:sz w:val="22"/>
          <w:szCs w:val="22"/>
        </w:rPr>
        <w:t>P/E Ratio Valuation</w:t>
      </w:r>
      <w:bookmarkEnd w:id="9"/>
    </w:p>
    <w:p w14:paraId="2C308CA3" w14:textId="77777777" w:rsidR="004D6883" w:rsidRPr="004D6883" w:rsidRDefault="004D6883" w:rsidP="004D6883"/>
    <w:p w14:paraId="770E4FD6" w14:textId="7C6A4DC8" w:rsidR="00FD69C5" w:rsidRDefault="00E2710A" w:rsidP="00FD69C5">
      <w:pPr>
        <w:tabs>
          <w:tab w:val="left" w:pos="636"/>
        </w:tabs>
        <w:spacing w:line="360" w:lineRule="auto"/>
        <w:jc w:val="both"/>
        <w:rPr>
          <w:rFonts w:ascii="Arial" w:hAnsi="Arial" w:cs="Arial"/>
        </w:rPr>
      </w:pPr>
      <w:r>
        <w:rPr>
          <w:rFonts w:ascii="Arial" w:hAnsi="Arial" w:cs="Arial"/>
        </w:rPr>
        <w:t xml:space="preserve">The </w:t>
      </w:r>
      <w:r w:rsidR="002F0A84">
        <w:rPr>
          <w:rFonts w:ascii="Arial" w:hAnsi="Arial" w:cs="Arial"/>
        </w:rPr>
        <w:t xml:space="preserve">(P/E) price-earning valuation is a method that </w:t>
      </w:r>
      <w:r w:rsidR="004F0894">
        <w:rPr>
          <w:rFonts w:ascii="Arial" w:hAnsi="Arial" w:cs="Arial"/>
        </w:rPr>
        <w:t>evaluates</w:t>
      </w:r>
      <w:r w:rsidR="002F0A84">
        <w:rPr>
          <w:rFonts w:ascii="Arial" w:hAnsi="Arial" w:cs="Arial"/>
        </w:rPr>
        <w:t xml:space="preserve"> a </w:t>
      </w:r>
      <w:r w:rsidR="00FE780E">
        <w:rPr>
          <w:rFonts w:ascii="Arial" w:hAnsi="Arial" w:cs="Arial"/>
        </w:rPr>
        <w:t>company</w:t>
      </w:r>
      <w:r w:rsidR="004F0894">
        <w:rPr>
          <w:rFonts w:ascii="Arial" w:hAnsi="Arial" w:cs="Arial"/>
        </w:rPr>
        <w:t>’</w:t>
      </w:r>
      <w:r w:rsidR="002F0A84">
        <w:rPr>
          <w:rFonts w:ascii="Arial" w:hAnsi="Arial" w:cs="Arial"/>
        </w:rPr>
        <w:t>s stock price</w:t>
      </w:r>
      <w:r w:rsidR="00646BF5">
        <w:rPr>
          <w:rFonts w:ascii="Arial" w:hAnsi="Arial" w:cs="Arial"/>
        </w:rPr>
        <w:t xml:space="preserve"> as the product of its earnings </w:t>
      </w:r>
      <w:r w:rsidR="004F032E">
        <w:rPr>
          <w:rFonts w:ascii="Arial" w:hAnsi="Arial" w:cs="Arial"/>
        </w:rPr>
        <w:t>calculated from a group of similar companies</w:t>
      </w:r>
      <w:r w:rsidR="00A759FC">
        <w:rPr>
          <w:rFonts w:ascii="Arial" w:hAnsi="Arial" w:cs="Arial"/>
        </w:rPr>
        <w:t xml:space="preserve"> </w:t>
      </w:r>
      <w:r w:rsidR="00A759FC" w:rsidRPr="00A759FC">
        <w:rPr>
          <w:rFonts w:ascii="Arial" w:hAnsi="Arial" w:cs="Arial"/>
        </w:rPr>
        <w:t>(Alford, 1992)</w:t>
      </w:r>
      <w:r w:rsidR="00A759FC">
        <w:rPr>
          <w:rFonts w:ascii="Arial" w:hAnsi="Arial" w:cs="Arial"/>
        </w:rPr>
        <w:t>.</w:t>
      </w:r>
      <w:r w:rsidR="00D21B66">
        <w:rPr>
          <w:rFonts w:ascii="Arial" w:hAnsi="Arial" w:cs="Arial"/>
        </w:rPr>
        <w:t xml:space="preserve"> </w:t>
      </w:r>
      <w:r w:rsidR="00FD69C5">
        <w:rPr>
          <w:rFonts w:ascii="Arial" w:hAnsi="Arial" w:cs="Arial"/>
        </w:rPr>
        <w:t xml:space="preserve">The P/E valuation </w:t>
      </w:r>
      <w:r w:rsidR="00B03DEC">
        <w:rPr>
          <w:rFonts w:ascii="Arial" w:hAnsi="Arial" w:cs="Arial"/>
        </w:rPr>
        <w:t>results</w:t>
      </w:r>
      <w:r w:rsidR="00FD69C5">
        <w:rPr>
          <w:rFonts w:ascii="Arial" w:hAnsi="Arial" w:cs="Arial"/>
        </w:rPr>
        <w:t xml:space="preserve"> </w:t>
      </w:r>
      <w:r w:rsidR="00B657FD">
        <w:rPr>
          <w:rFonts w:ascii="Arial" w:hAnsi="Arial" w:cs="Arial"/>
        </w:rPr>
        <w:t>from</w:t>
      </w:r>
      <w:r w:rsidR="00FD69C5">
        <w:rPr>
          <w:rFonts w:ascii="Arial" w:hAnsi="Arial" w:cs="Arial"/>
        </w:rPr>
        <w:t xml:space="preserve"> the applying P/E multiple of 17.86, which is taken from comparable companies such as Bodycote PLC and Volex PLC. This method works out for MAM’s equity through the use of its earnings and the </w:t>
      </w:r>
      <w:r w:rsidR="00B03DEC">
        <w:rPr>
          <w:rFonts w:ascii="Arial" w:hAnsi="Arial" w:cs="Arial"/>
        </w:rPr>
        <w:t>market-derived</w:t>
      </w:r>
      <w:r w:rsidR="00FD69C5">
        <w:rPr>
          <w:rFonts w:ascii="Arial" w:hAnsi="Arial" w:cs="Arial"/>
        </w:rPr>
        <w:t xml:space="preserve"> multiples, which provides a view of its market worth.</w:t>
      </w:r>
      <w:r w:rsidR="00CE5017">
        <w:rPr>
          <w:rFonts w:ascii="Arial" w:hAnsi="Arial" w:cs="Arial"/>
        </w:rPr>
        <w:t xml:space="preserve"> The major part of the method is in the careful selection of benchmark companies in the </w:t>
      </w:r>
      <w:r w:rsidR="00B03DEC">
        <w:rPr>
          <w:rFonts w:ascii="Arial" w:hAnsi="Arial" w:cs="Arial"/>
        </w:rPr>
        <w:t>specified</w:t>
      </w:r>
      <w:r w:rsidR="00CE5017">
        <w:rPr>
          <w:rFonts w:ascii="Arial" w:hAnsi="Arial" w:cs="Arial"/>
        </w:rPr>
        <w:t xml:space="preserve"> industry. Although Bodycote PLC and Volex PLC are classified as industrial partners, the differences In their scale, operational efficiency</w:t>
      </w:r>
      <w:r w:rsidR="00B03DEC">
        <w:rPr>
          <w:rFonts w:ascii="Arial" w:hAnsi="Arial" w:cs="Arial"/>
        </w:rPr>
        <w:t>, as well as growth paths,</w:t>
      </w:r>
      <w:r w:rsidR="00CE5017">
        <w:rPr>
          <w:rFonts w:ascii="Arial" w:hAnsi="Arial" w:cs="Arial"/>
        </w:rPr>
        <w:t xml:space="preserve"> may cause misrepresentation in the </w:t>
      </w:r>
      <w:r w:rsidR="00B03DEC">
        <w:rPr>
          <w:rFonts w:ascii="Arial" w:hAnsi="Arial" w:cs="Arial"/>
        </w:rPr>
        <w:t>comparison</w:t>
      </w:r>
      <w:r w:rsidR="00CE5017">
        <w:rPr>
          <w:rFonts w:ascii="Arial" w:hAnsi="Arial" w:cs="Arial"/>
        </w:rPr>
        <w:t xml:space="preserve"> process. The strategy is based on historical earnings which might not accurately </w:t>
      </w:r>
      <w:r w:rsidR="00B03DEC">
        <w:rPr>
          <w:rFonts w:ascii="Arial" w:hAnsi="Arial" w:cs="Arial"/>
        </w:rPr>
        <w:t>signify</w:t>
      </w:r>
      <w:r w:rsidR="00CE5017">
        <w:rPr>
          <w:rFonts w:ascii="Arial" w:hAnsi="Arial" w:cs="Arial"/>
        </w:rPr>
        <w:t xml:space="preserve"> future performance. The reliability </w:t>
      </w:r>
      <w:r w:rsidR="00B03DEC">
        <w:rPr>
          <w:rFonts w:ascii="Arial" w:hAnsi="Arial" w:cs="Arial"/>
        </w:rPr>
        <w:t>of</w:t>
      </w:r>
      <w:r w:rsidR="00CE5017">
        <w:rPr>
          <w:rFonts w:ascii="Arial" w:hAnsi="Arial" w:cs="Arial"/>
        </w:rPr>
        <w:t xml:space="preserve"> historical data can be challenging for dynamic industries which </w:t>
      </w:r>
      <w:r w:rsidR="00B03DEC">
        <w:rPr>
          <w:rFonts w:ascii="Arial" w:hAnsi="Arial" w:cs="Arial"/>
        </w:rPr>
        <w:t>are</w:t>
      </w:r>
      <w:r w:rsidR="00CE5017">
        <w:rPr>
          <w:rFonts w:ascii="Arial" w:hAnsi="Arial" w:cs="Arial"/>
        </w:rPr>
        <w:t xml:space="preserve"> experiencing fast changes.</w:t>
      </w:r>
    </w:p>
    <w:p w14:paraId="6DFF4641" w14:textId="43EF2B27" w:rsidR="00F70153" w:rsidRDefault="00F70153" w:rsidP="00FD69C5">
      <w:pPr>
        <w:tabs>
          <w:tab w:val="left" w:pos="636"/>
        </w:tabs>
        <w:spacing w:line="360" w:lineRule="auto"/>
        <w:jc w:val="both"/>
        <w:rPr>
          <w:rFonts w:ascii="Arial" w:hAnsi="Arial" w:cs="Arial"/>
        </w:rPr>
      </w:pPr>
      <w:r>
        <w:rPr>
          <w:rFonts w:ascii="Arial" w:hAnsi="Arial" w:cs="Arial"/>
        </w:rPr>
        <w:lastRenderedPageBreak/>
        <w:t xml:space="preserve">The P/E ratio excludes important facts like debt, cash flow stability and strategic investment. While the P/E valuation provides a broad estimation of MAM’s value it’s not </w:t>
      </w:r>
      <w:r w:rsidR="006D7708">
        <w:rPr>
          <w:rFonts w:ascii="Arial" w:hAnsi="Arial" w:cs="Arial"/>
        </w:rPr>
        <w:t>a</w:t>
      </w:r>
      <w:r>
        <w:rPr>
          <w:rFonts w:ascii="Arial" w:hAnsi="Arial" w:cs="Arial"/>
        </w:rPr>
        <w:t xml:space="preserve"> true measure due to its dependence on market sentiment. Market pricing processes </w:t>
      </w:r>
      <w:r w:rsidR="00B03DEC">
        <w:rPr>
          <w:rFonts w:ascii="Arial" w:hAnsi="Arial" w:cs="Arial"/>
        </w:rPr>
        <w:t>depend</w:t>
      </w:r>
      <w:r>
        <w:rPr>
          <w:rFonts w:ascii="Arial" w:hAnsi="Arial" w:cs="Arial"/>
        </w:rPr>
        <w:t xml:space="preserve"> on </w:t>
      </w:r>
      <w:r w:rsidR="00B03DEC">
        <w:rPr>
          <w:rFonts w:ascii="Arial" w:hAnsi="Arial" w:cs="Arial"/>
        </w:rPr>
        <w:t>investors'</w:t>
      </w:r>
      <w:r>
        <w:rPr>
          <w:rFonts w:ascii="Arial" w:hAnsi="Arial" w:cs="Arial"/>
        </w:rPr>
        <w:t xml:space="preserve"> behaviour and larger economic conditions and may not </w:t>
      </w:r>
      <w:r w:rsidR="00B03DEC">
        <w:rPr>
          <w:rFonts w:ascii="Arial" w:hAnsi="Arial" w:cs="Arial"/>
        </w:rPr>
        <w:t>show</w:t>
      </w:r>
      <w:r>
        <w:rPr>
          <w:rFonts w:ascii="Arial" w:hAnsi="Arial" w:cs="Arial"/>
        </w:rPr>
        <w:t xml:space="preserve"> real worth.</w:t>
      </w:r>
    </w:p>
    <w:p w14:paraId="594AEABC" w14:textId="62D261A1" w:rsidR="00B407D1" w:rsidRDefault="00562818" w:rsidP="004D6883">
      <w:pPr>
        <w:pStyle w:val="Heading2"/>
        <w:rPr>
          <w:rFonts w:ascii="Arial" w:hAnsi="Arial" w:cs="Arial"/>
          <w:b/>
          <w:bCs/>
          <w:color w:val="000000" w:themeColor="text1"/>
          <w:sz w:val="22"/>
          <w:szCs w:val="22"/>
        </w:rPr>
      </w:pPr>
      <w:bookmarkStart w:id="10" w:name="_Toc185149305"/>
      <w:r w:rsidRPr="004D6883">
        <w:rPr>
          <w:rFonts w:ascii="Arial" w:hAnsi="Arial" w:cs="Arial"/>
          <w:b/>
          <w:bCs/>
          <w:color w:val="000000" w:themeColor="text1"/>
          <w:sz w:val="22"/>
          <w:szCs w:val="22"/>
        </w:rPr>
        <w:t xml:space="preserve">3.2 </w:t>
      </w:r>
      <w:r w:rsidR="00E05865" w:rsidRPr="004D6883">
        <w:rPr>
          <w:rFonts w:ascii="Arial" w:hAnsi="Arial" w:cs="Arial"/>
          <w:b/>
          <w:bCs/>
          <w:color w:val="000000" w:themeColor="text1"/>
          <w:sz w:val="22"/>
          <w:szCs w:val="22"/>
        </w:rPr>
        <w:t>Valuation Using EBITDA Multiple</w:t>
      </w:r>
      <w:bookmarkEnd w:id="10"/>
    </w:p>
    <w:p w14:paraId="297937DC" w14:textId="77777777" w:rsidR="004D6883" w:rsidRPr="004D6883" w:rsidRDefault="004D6883" w:rsidP="004D6883"/>
    <w:p w14:paraId="50554EDD" w14:textId="30BEC02B" w:rsidR="00E05865" w:rsidRDefault="00F70153" w:rsidP="008C05EA">
      <w:pPr>
        <w:tabs>
          <w:tab w:val="left" w:pos="636"/>
        </w:tabs>
        <w:spacing w:line="360" w:lineRule="auto"/>
        <w:jc w:val="both"/>
        <w:rPr>
          <w:rFonts w:ascii="Arial" w:hAnsi="Arial" w:cs="Arial"/>
        </w:rPr>
      </w:pPr>
      <w:r>
        <w:rPr>
          <w:rFonts w:ascii="Arial" w:hAnsi="Arial" w:cs="Arial"/>
        </w:rPr>
        <w:t>The EBITDA method is a valuation model that sets a business value at £1187 mil</w:t>
      </w:r>
      <w:r w:rsidR="00C17276">
        <w:rPr>
          <w:rFonts w:ascii="Arial" w:hAnsi="Arial" w:cs="Arial"/>
        </w:rPr>
        <w:t>l</w:t>
      </w:r>
      <w:r>
        <w:rPr>
          <w:rFonts w:ascii="Arial" w:hAnsi="Arial" w:cs="Arial"/>
        </w:rPr>
        <w:t xml:space="preserve">ion </w:t>
      </w:r>
      <w:r w:rsidR="00D76CFE">
        <w:rPr>
          <w:rFonts w:ascii="Arial" w:hAnsi="Arial" w:cs="Arial"/>
        </w:rPr>
        <w:t>by</w:t>
      </w:r>
      <w:r>
        <w:rPr>
          <w:rFonts w:ascii="Arial" w:hAnsi="Arial" w:cs="Arial"/>
        </w:rPr>
        <w:t xml:space="preserve"> using </w:t>
      </w:r>
      <w:r w:rsidR="00D76CFE">
        <w:rPr>
          <w:rFonts w:ascii="Arial" w:hAnsi="Arial" w:cs="Arial"/>
        </w:rPr>
        <w:t xml:space="preserve">an </w:t>
      </w:r>
      <w:r>
        <w:rPr>
          <w:rFonts w:ascii="Arial" w:hAnsi="Arial" w:cs="Arial"/>
        </w:rPr>
        <w:t xml:space="preserve">EBITDA multiple of 7.43 to MAM’s </w:t>
      </w:r>
      <w:r w:rsidR="00C17276">
        <w:rPr>
          <w:rFonts w:ascii="Arial" w:hAnsi="Arial" w:cs="Arial"/>
        </w:rPr>
        <w:t>EBITDA. This method is concerned with the operational performance of the business and thus it supervises the non-operational item. The goal of this method is to demonstrate the efficiency of the company’s core business by excluding non-operational items. EBITDA e</w:t>
      </w:r>
      <w:r w:rsidR="00961EB9">
        <w:rPr>
          <w:rFonts w:ascii="Arial" w:hAnsi="Arial" w:cs="Arial"/>
        </w:rPr>
        <w:t xml:space="preserve">liminates capital expenditures which are required to sustain and raise </w:t>
      </w:r>
      <w:r w:rsidR="00D76CFE">
        <w:rPr>
          <w:rFonts w:ascii="Arial" w:hAnsi="Arial" w:cs="Arial"/>
        </w:rPr>
        <w:t xml:space="preserve">the </w:t>
      </w:r>
      <w:r w:rsidR="00961EB9">
        <w:rPr>
          <w:rFonts w:ascii="Arial" w:hAnsi="Arial" w:cs="Arial"/>
        </w:rPr>
        <w:t xml:space="preserve">company’s </w:t>
      </w:r>
      <w:r w:rsidR="00D76CFE">
        <w:rPr>
          <w:rFonts w:ascii="Arial" w:hAnsi="Arial" w:cs="Arial"/>
        </w:rPr>
        <w:t>assets</w:t>
      </w:r>
      <w:r w:rsidR="00961EB9">
        <w:rPr>
          <w:rFonts w:ascii="Arial" w:hAnsi="Arial" w:cs="Arial"/>
        </w:rPr>
        <w:t xml:space="preserve">. It also ignores changes in working capital which leads to an incomplete representation of cashflow. As </w:t>
      </w:r>
      <w:r w:rsidR="00961EB9" w:rsidRPr="00961EB9">
        <w:rPr>
          <w:rFonts w:ascii="Arial" w:hAnsi="Arial" w:cs="Arial"/>
        </w:rPr>
        <w:t>(Marzo, 2014)</w:t>
      </w:r>
      <w:r w:rsidR="00961EB9">
        <w:rPr>
          <w:rFonts w:ascii="Arial" w:hAnsi="Arial" w:cs="Arial"/>
        </w:rPr>
        <w:t xml:space="preserve"> argues, in the case of industries with </w:t>
      </w:r>
      <w:r w:rsidR="00D76CFE">
        <w:rPr>
          <w:rFonts w:ascii="Arial" w:hAnsi="Arial" w:cs="Arial"/>
        </w:rPr>
        <w:t xml:space="preserve">a </w:t>
      </w:r>
      <w:r w:rsidR="00961EB9">
        <w:rPr>
          <w:rFonts w:ascii="Arial" w:hAnsi="Arial" w:cs="Arial"/>
        </w:rPr>
        <w:t>high proportion of opera</w:t>
      </w:r>
      <w:r w:rsidR="0075563A">
        <w:rPr>
          <w:rFonts w:ascii="Arial" w:hAnsi="Arial" w:cs="Arial"/>
        </w:rPr>
        <w:t>t</w:t>
      </w:r>
      <w:r w:rsidR="00961EB9">
        <w:rPr>
          <w:rFonts w:ascii="Arial" w:hAnsi="Arial" w:cs="Arial"/>
        </w:rPr>
        <w:t xml:space="preserve">ional asset investment, EBITDA is often overvalued. For MAM, this oversight can misrepresent the valuation outcome. </w:t>
      </w:r>
    </w:p>
    <w:p w14:paraId="2F47AEB2" w14:textId="6A9CFD52" w:rsidR="002E2597" w:rsidRDefault="00961EB9" w:rsidP="008C05EA">
      <w:pPr>
        <w:tabs>
          <w:tab w:val="left" w:pos="636"/>
        </w:tabs>
        <w:spacing w:line="360" w:lineRule="auto"/>
        <w:jc w:val="both"/>
        <w:rPr>
          <w:rFonts w:ascii="Arial" w:hAnsi="Arial" w:cs="Arial"/>
        </w:rPr>
      </w:pPr>
      <w:r>
        <w:rPr>
          <w:rFonts w:ascii="Arial" w:hAnsi="Arial" w:cs="Arial"/>
        </w:rPr>
        <w:t xml:space="preserve">While </w:t>
      </w:r>
      <w:r w:rsidR="00D76CFE">
        <w:rPr>
          <w:rFonts w:ascii="Arial" w:hAnsi="Arial" w:cs="Arial"/>
        </w:rPr>
        <w:t>EBITDA-based</w:t>
      </w:r>
      <w:r>
        <w:rPr>
          <w:rFonts w:ascii="Arial" w:hAnsi="Arial" w:cs="Arial"/>
        </w:rPr>
        <w:t xml:space="preserve"> evaluation provides </w:t>
      </w:r>
      <w:r w:rsidR="00D76CFE">
        <w:rPr>
          <w:rFonts w:ascii="Arial" w:hAnsi="Arial" w:cs="Arial"/>
        </w:rPr>
        <w:t xml:space="preserve">an </w:t>
      </w:r>
      <w:r>
        <w:rPr>
          <w:rFonts w:ascii="Arial" w:hAnsi="Arial" w:cs="Arial"/>
        </w:rPr>
        <w:t xml:space="preserve">understanding </w:t>
      </w:r>
      <w:r w:rsidR="00D76CFE">
        <w:rPr>
          <w:rFonts w:ascii="Arial" w:hAnsi="Arial" w:cs="Arial"/>
        </w:rPr>
        <w:t>of</w:t>
      </w:r>
      <w:r>
        <w:rPr>
          <w:rFonts w:ascii="Arial" w:hAnsi="Arial" w:cs="Arial"/>
        </w:rPr>
        <w:t xml:space="preserve"> </w:t>
      </w:r>
      <w:r w:rsidR="00D76CFE">
        <w:rPr>
          <w:rFonts w:ascii="Arial" w:hAnsi="Arial" w:cs="Arial"/>
        </w:rPr>
        <w:t>MAM's</w:t>
      </w:r>
      <w:r w:rsidR="00B84D42">
        <w:rPr>
          <w:rFonts w:ascii="Arial" w:hAnsi="Arial" w:cs="Arial"/>
        </w:rPr>
        <w:t xml:space="preserve"> operational performance, it does not include </w:t>
      </w:r>
      <w:r w:rsidR="00D76CFE">
        <w:rPr>
          <w:rFonts w:ascii="Arial" w:hAnsi="Arial" w:cs="Arial"/>
        </w:rPr>
        <w:t>cash flow</w:t>
      </w:r>
      <w:r w:rsidR="00B84D42">
        <w:rPr>
          <w:rFonts w:ascii="Arial" w:hAnsi="Arial" w:cs="Arial"/>
        </w:rPr>
        <w:t xml:space="preserve"> quality or financial obligations. The lower </w:t>
      </w:r>
      <w:r w:rsidR="0075563A">
        <w:rPr>
          <w:rFonts w:ascii="Arial" w:hAnsi="Arial" w:cs="Arial"/>
        </w:rPr>
        <w:t xml:space="preserve">arising from these factors can explain the issue and authorise the same by almost £186 million. </w:t>
      </w:r>
      <w:r w:rsidR="00B07F9F">
        <w:rPr>
          <w:rFonts w:ascii="Arial" w:hAnsi="Arial" w:cs="Arial"/>
        </w:rPr>
        <w:t>The EBI</w:t>
      </w:r>
      <w:r w:rsidR="00363864">
        <w:rPr>
          <w:rFonts w:ascii="Arial" w:hAnsi="Arial" w:cs="Arial"/>
        </w:rPr>
        <w:t>TDA valuation makes more sense with the market capital than the P/E valuation</w:t>
      </w:r>
      <w:r w:rsidR="00A67C21">
        <w:rPr>
          <w:rFonts w:ascii="Arial" w:hAnsi="Arial" w:cs="Arial"/>
        </w:rPr>
        <w:t xml:space="preserve">, </w:t>
      </w:r>
      <w:r w:rsidR="00560D17">
        <w:rPr>
          <w:rFonts w:ascii="Arial" w:hAnsi="Arial" w:cs="Arial"/>
        </w:rPr>
        <w:t>but</w:t>
      </w:r>
      <w:r w:rsidR="00F30C71">
        <w:rPr>
          <w:rFonts w:ascii="Arial" w:hAnsi="Arial" w:cs="Arial"/>
        </w:rPr>
        <w:t xml:space="preserve"> it </w:t>
      </w:r>
      <w:r w:rsidR="00F16663">
        <w:rPr>
          <w:rFonts w:ascii="Arial" w:hAnsi="Arial" w:cs="Arial"/>
        </w:rPr>
        <w:t>doesn't</w:t>
      </w:r>
      <w:r w:rsidR="0031578F">
        <w:rPr>
          <w:rFonts w:ascii="Arial" w:hAnsi="Arial" w:cs="Arial"/>
        </w:rPr>
        <w:t xml:space="preserve"> over</w:t>
      </w:r>
      <w:r w:rsidR="00F16663">
        <w:rPr>
          <w:rFonts w:ascii="Arial" w:hAnsi="Arial" w:cs="Arial"/>
        </w:rPr>
        <w:t xml:space="preserve">look MAM’s capital structure </w:t>
      </w:r>
      <w:r w:rsidR="00A8086D">
        <w:rPr>
          <w:rFonts w:ascii="Arial" w:hAnsi="Arial" w:cs="Arial"/>
        </w:rPr>
        <w:t>or the tax benefits of its debt</w:t>
      </w:r>
      <w:r w:rsidR="00A9732A">
        <w:rPr>
          <w:rFonts w:ascii="Arial" w:hAnsi="Arial" w:cs="Arial"/>
        </w:rPr>
        <w:t xml:space="preserve">. </w:t>
      </w:r>
      <w:r w:rsidR="00D606B4">
        <w:rPr>
          <w:rFonts w:ascii="Arial" w:hAnsi="Arial" w:cs="Arial"/>
        </w:rPr>
        <w:t xml:space="preserve">It only focuses on </w:t>
      </w:r>
      <w:r w:rsidR="00344B2C">
        <w:rPr>
          <w:rFonts w:ascii="Arial" w:hAnsi="Arial" w:cs="Arial"/>
        </w:rPr>
        <w:t xml:space="preserve">operations and </w:t>
      </w:r>
      <w:r w:rsidR="0033422B">
        <w:rPr>
          <w:rFonts w:ascii="Arial" w:hAnsi="Arial" w:cs="Arial"/>
        </w:rPr>
        <w:t xml:space="preserve">an </w:t>
      </w:r>
      <w:r w:rsidR="00344B2C">
        <w:rPr>
          <w:rFonts w:ascii="Arial" w:hAnsi="Arial" w:cs="Arial"/>
        </w:rPr>
        <w:t>incomplete view</w:t>
      </w:r>
      <w:r w:rsidR="0033422B">
        <w:rPr>
          <w:rFonts w:ascii="Arial" w:hAnsi="Arial" w:cs="Arial"/>
        </w:rPr>
        <w:t xml:space="preserve"> </w:t>
      </w:r>
      <w:r w:rsidR="002427B5">
        <w:rPr>
          <w:rFonts w:ascii="Arial" w:hAnsi="Arial" w:cs="Arial"/>
        </w:rPr>
        <w:t xml:space="preserve">of </w:t>
      </w:r>
      <w:r w:rsidR="00786FA5">
        <w:rPr>
          <w:rFonts w:ascii="Arial" w:hAnsi="Arial" w:cs="Arial"/>
        </w:rPr>
        <w:t xml:space="preserve">the </w:t>
      </w:r>
      <w:r w:rsidR="002427B5">
        <w:rPr>
          <w:rFonts w:ascii="Arial" w:hAnsi="Arial" w:cs="Arial"/>
        </w:rPr>
        <w:t>company’s value</w:t>
      </w:r>
      <w:r w:rsidR="00786FA5">
        <w:rPr>
          <w:rFonts w:ascii="Arial" w:hAnsi="Arial" w:cs="Arial"/>
        </w:rPr>
        <w:t xml:space="preserve"> and not </w:t>
      </w:r>
      <w:r w:rsidR="005E245F">
        <w:rPr>
          <w:rFonts w:ascii="Arial" w:hAnsi="Arial" w:cs="Arial"/>
        </w:rPr>
        <w:t>on</w:t>
      </w:r>
      <w:r w:rsidR="00786FA5">
        <w:rPr>
          <w:rFonts w:ascii="Arial" w:hAnsi="Arial" w:cs="Arial"/>
        </w:rPr>
        <w:t xml:space="preserve"> broader financial mar</w:t>
      </w:r>
      <w:r w:rsidR="00ED746E">
        <w:rPr>
          <w:rFonts w:ascii="Arial" w:hAnsi="Arial" w:cs="Arial"/>
        </w:rPr>
        <w:t>ket activities.</w:t>
      </w:r>
    </w:p>
    <w:p w14:paraId="02F96862" w14:textId="70E34FD5" w:rsidR="005E245F" w:rsidRDefault="00562818" w:rsidP="004D6883">
      <w:pPr>
        <w:pStyle w:val="Heading2"/>
        <w:rPr>
          <w:rFonts w:ascii="Arial" w:hAnsi="Arial" w:cs="Arial"/>
          <w:b/>
          <w:bCs/>
          <w:color w:val="000000" w:themeColor="text1"/>
          <w:sz w:val="22"/>
          <w:szCs w:val="22"/>
        </w:rPr>
      </w:pPr>
      <w:bookmarkStart w:id="11" w:name="_Toc185149306"/>
      <w:r w:rsidRPr="004D6883">
        <w:rPr>
          <w:rFonts w:ascii="Arial" w:hAnsi="Arial" w:cs="Arial"/>
          <w:b/>
          <w:bCs/>
          <w:color w:val="000000" w:themeColor="text1"/>
          <w:sz w:val="22"/>
          <w:szCs w:val="22"/>
        </w:rPr>
        <w:t xml:space="preserve">3.3 </w:t>
      </w:r>
      <w:r w:rsidR="005E245F" w:rsidRPr="004D6883">
        <w:rPr>
          <w:rFonts w:ascii="Arial" w:hAnsi="Arial" w:cs="Arial"/>
          <w:b/>
          <w:bCs/>
          <w:color w:val="000000" w:themeColor="text1"/>
          <w:sz w:val="22"/>
          <w:szCs w:val="22"/>
        </w:rPr>
        <w:t>Comparison with Trade Share Price</w:t>
      </w:r>
      <w:bookmarkEnd w:id="11"/>
    </w:p>
    <w:p w14:paraId="6E104567" w14:textId="77777777" w:rsidR="004D6883" w:rsidRPr="004D6883" w:rsidRDefault="004D6883" w:rsidP="004D6883"/>
    <w:p w14:paraId="365991BC" w14:textId="0BB8C672" w:rsidR="00F65BC0" w:rsidRDefault="0075563A" w:rsidP="008C05EA">
      <w:pPr>
        <w:tabs>
          <w:tab w:val="left" w:pos="636"/>
        </w:tabs>
        <w:spacing w:line="360" w:lineRule="auto"/>
        <w:jc w:val="both"/>
        <w:rPr>
          <w:rFonts w:ascii="Arial" w:hAnsi="Arial" w:cs="Arial"/>
        </w:rPr>
      </w:pPr>
      <w:r>
        <w:rPr>
          <w:rFonts w:ascii="Arial" w:hAnsi="Arial" w:cs="Arial"/>
        </w:rPr>
        <w:t xml:space="preserve">The (P/E) valuation of £1373 million and EBITDA </w:t>
      </w:r>
      <w:r w:rsidR="00D76CFE">
        <w:rPr>
          <w:rFonts w:ascii="Arial" w:hAnsi="Arial" w:cs="Arial"/>
        </w:rPr>
        <w:t xml:space="preserve">of </w:t>
      </w:r>
      <w:r>
        <w:rPr>
          <w:rFonts w:ascii="Arial" w:hAnsi="Arial" w:cs="Arial"/>
        </w:rPr>
        <w:t xml:space="preserve">£1187 million that have been calculated are to be significantly observed </w:t>
      </w:r>
      <w:r w:rsidR="00D76CFE">
        <w:rPr>
          <w:rFonts w:ascii="Arial" w:hAnsi="Arial" w:cs="Arial"/>
        </w:rPr>
        <w:t>from</w:t>
      </w:r>
      <w:r>
        <w:rPr>
          <w:rFonts w:ascii="Arial" w:hAnsi="Arial" w:cs="Arial"/>
        </w:rPr>
        <w:t xml:space="preserve"> the perspective of MAM share price which is traded on the market. MAM with </w:t>
      </w:r>
      <w:r w:rsidR="00D76CFE">
        <w:rPr>
          <w:rFonts w:ascii="Arial" w:hAnsi="Arial" w:cs="Arial"/>
        </w:rPr>
        <w:t xml:space="preserve">a </w:t>
      </w:r>
      <w:r>
        <w:rPr>
          <w:rFonts w:ascii="Arial" w:hAnsi="Arial" w:cs="Arial"/>
        </w:rPr>
        <w:t>market cap of £762.56 million and shares outstanding of £283.43 million leads to a traded share price of £2.68, comprising</w:t>
      </w:r>
      <w:r w:rsidR="006509AA">
        <w:rPr>
          <w:rFonts w:ascii="Arial" w:hAnsi="Arial" w:cs="Arial"/>
        </w:rPr>
        <w:t xml:space="preserve"> </w:t>
      </w:r>
      <w:r w:rsidR="00D76CFE">
        <w:rPr>
          <w:rFonts w:ascii="Arial" w:hAnsi="Arial" w:cs="Arial"/>
        </w:rPr>
        <w:t xml:space="preserve">a </w:t>
      </w:r>
      <w:r w:rsidR="006509AA">
        <w:rPr>
          <w:rFonts w:ascii="Arial" w:hAnsi="Arial" w:cs="Arial"/>
        </w:rPr>
        <w:t xml:space="preserve">very big difference between </w:t>
      </w:r>
      <w:r w:rsidR="00D76CFE">
        <w:rPr>
          <w:rFonts w:ascii="Arial" w:hAnsi="Arial" w:cs="Arial"/>
        </w:rPr>
        <w:t xml:space="preserve">the </w:t>
      </w:r>
      <w:r w:rsidR="006509AA">
        <w:rPr>
          <w:rFonts w:ascii="Arial" w:hAnsi="Arial" w:cs="Arial"/>
        </w:rPr>
        <w:t xml:space="preserve">calculated value and the market price. This deviation leads to </w:t>
      </w:r>
      <w:r w:rsidR="00D76CFE">
        <w:rPr>
          <w:rFonts w:ascii="Arial" w:hAnsi="Arial" w:cs="Arial"/>
        </w:rPr>
        <w:t>raising</w:t>
      </w:r>
      <w:r w:rsidR="006509AA">
        <w:rPr>
          <w:rFonts w:ascii="Arial" w:hAnsi="Arial" w:cs="Arial"/>
        </w:rPr>
        <w:t xml:space="preserve"> questions about the </w:t>
      </w:r>
      <w:r w:rsidR="00D76CFE">
        <w:rPr>
          <w:rFonts w:ascii="Arial" w:hAnsi="Arial" w:cs="Arial"/>
        </w:rPr>
        <w:t>assumptions</w:t>
      </w:r>
      <w:r w:rsidR="006509AA">
        <w:rPr>
          <w:rFonts w:ascii="Arial" w:hAnsi="Arial" w:cs="Arial"/>
        </w:rPr>
        <w:t xml:space="preserve"> and restrictions of valuation methods.</w:t>
      </w:r>
    </w:p>
    <w:p w14:paraId="14CF1E8F" w14:textId="19C0A7C4" w:rsidR="006509AA" w:rsidRPr="0075563A" w:rsidRDefault="006509AA" w:rsidP="008C05EA">
      <w:pPr>
        <w:tabs>
          <w:tab w:val="left" w:pos="636"/>
        </w:tabs>
        <w:spacing w:line="360" w:lineRule="auto"/>
        <w:jc w:val="both"/>
        <w:rPr>
          <w:rFonts w:ascii="Arial" w:hAnsi="Arial" w:cs="Arial"/>
          <w:b/>
          <w:bCs/>
        </w:rPr>
      </w:pPr>
      <w:r>
        <w:rPr>
          <w:rFonts w:ascii="Arial" w:hAnsi="Arial" w:cs="Arial"/>
        </w:rPr>
        <w:t xml:space="preserve">Firstly, </w:t>
      </w:r>
      <w:r w:rsidR="00F22130">
        <w:rPr>
          <w:rFonts w:ascii="Arial" w:hAnsi="Arial" w:cs="Arial"/>
        </w:rPr>
        <w:t>MAM’s shares</w:t>
      </w:r>
      <w:r>
        <w:rPr>
          <w:rFonts w:ascii="Arial" w:hAnsi="Arial" w:cs="Arial"/>
        </w:rPr>
        <w:t xml:space="preserve"> could be undervalued if inefficiencies in the market are such that there is a lot of information asymmetry and investors in demand </w:t>
      </w:r>
      <w:r w:rsidR="00D76CFE">
        <w:rPr>
          <w:rFonts w:ascii="Arial" w:hAnsi="Arial" w:cs="Arial"/>
        </w:rPr>
        <w:t>are</w:t>
      </w:r>
      <w:r>
        <w:rPr>
          <w:rFonts w:ascii="Arial" w:hAnsi="Arial" w:cs="Arial"/>
        </w:rPr>
        <w:t xml:space="preserve"> </w:t>
      </w:r>
      <w:r w:rsidR="00001757">
        <w:rPr>
          <w:rFonts w:ascii="Arial" w:hAnsi="Arial" w:cs="Arial"/>
        </w:rPr>
        <w:t>mostly</w:t>
      </w:r>
      <w:r>
        <w:rPr>
          <w:rFonts w:ascii="Arial" w:hAnsi="Arial" w:cs="Arial"/>
        </w:rPr>
        <w:t xml:space="preserve"> </w:t>
      </w:r>
      <w:r w:rsidR="00001757">
        <w:rPr>
          <w:rFonts w:ascii="Arial" w:hAnsi="Arial" w:cs="Arial"/>
        </w:rPr>
        <w:t>negative</w:t>
      </w:r>
      <w:r>
        <w:rPr>
          <w:rFonts w:ascii="Arial" w:hAnsi="Arial" w:cs="Arial"/>
        </w:rPr>
        <w:t xml:space="preserve"> </w:t>
      </w:r>
      <w:r w:rsidR="00D76CFE">
        <w:rPr>
          <w:rFonts w:ascii="Arial" w:hAnsi="Arial" w:cs="Arial"/>
        </w:rPr>
        <w:t>because</w:t>
      </w:r>
      <w:r>
        <w:rPr>
          <w:rFonts w:ascii="Arial" w:hAnsi="Arial" w:cs="Arial"/>
        </w:rPr>
        <w:t xml:space="preserve"> microeconomic issues such as inflation, geopolitical uncertainties, </w:t>
      </w:r>
      <w:r w:rsidR="00D76CFE">
        <w:rPr>
          <w:rFonts w:ascii="Arial" w:hAnsi="Arial" w:cs="Arial"/>
        </w:rPr>
        <w:t xml:space="preserve">and </w:t>
      </w:r>
      <w:r>
        <w:rPr>
          <w:rFonts w:ascii="Arial" w:hAnsi="Arial" w:cs="Arial"/>
        </w:rPr>
        <w:t xml:space="preserve">boundary problems may be </w:t>
      </w:r>
      <w:r w:rsidR="00001757">
        <w:rPr>
          <w:rFonts w:ascii="Arial" w:hAnsi="Arial" w:cs="Arial"/>
        </w:rPr>
        <w:t>disadvantageous</w:t>
      </w:r>
      <w:r>
        <w:rPr>
          <w:rFonts w:ascii="Arial" w:hAnsi="Arial" w:cs="Arial"/>
        </w:rPr>
        <w:t xml:space="preserve"> to the stock market. It might cause the market to perform poorly</w:t>
      </w:r>
      <w:r w:rsidR="004755AA">
        <w:rPr>
          <w:rFonts w:ascii="Arial" w:hAnsi="Arial" w:cs="Arial"/>
        </w:rPr>
        <w:t xml:space="preserve">. </w:t>
      </w:r>
      <w:r w:rsidR="004755AA">
        <w:rPr>
          <w:rFonts w:ascii="Arial" w:hAnsi="Arial" w:cs="Arial"/>
        </w:rPr>
        <w:lastRenderedPageBreak/>
        <w:t>However, there are many subjective elements in the forecast model such as comparing the performance and use of multiples that may not fully represent MAM’s features.</w:t>
      </w:r>
    </w:p>
    <w:p w14:paraId="095FECDC" w14:textId="77777777" w:rsidR="00F65BC0" w:rsidRDefault="00F65BC0" w:rsidP="008C05EA">
      <w:pPr>
        <w:tabs>
          <w:tab w:val="left" w:pos="636"/>
        </w:tabs>
        <w:spacing w:line="360" w:lineRule="auto"/>
        <w:jc w:val="both"/>
        <w:rPr>
          <w:rFonts w:ascii="Arial" w:hAnsi="Arial" w:cs="Arial"/>
        </w:rPr>
      </w:pPr>
    </w:p>
    <w:p w14:paraId="700F2A20" w14:textId="5486B357" w:rsidR="00471CCA" w:rsidRDefault="00562818" w:rsidP="00AC0619">
      <w:pPr>
        <w:pStyle w:val="Heading2"/>
        <w:rPr>
          <w:rFonts w:ascii="Arial" w:hAnsi="Arial" w:cs="Arial"/>
          <w:b/>
          <w:bCs/>
          <w:color w:val="000000" w:themeColor="text1"/>
          <w:sz w:val="22"/>
          <w:szCs w:val="22"/>
        </w:rPr>
      </w:pPr>
      <w:bookmarkStart w:id="12" w:name="_Toc185149307"/>
      <w:r w:rsidRPr="00AC0619">
        <w:rPr>
          <w:rFonts w:ascii="Arial" w:hAnsi="Arial" w:cs="Arial"/>
          <w:b/>
          <w:bCs/>
          <w:color w:val="000000" w:themeColor="text1"/>
          <w:sz w:val="22"/>
          <w:szCs w:val="22"/>
        </w:rPr>
        <w:t xml:space="preserve">3.4 </w:t>
      </w:r>
      <w:r w:rsidR="00AD762E" w:rsidRPr="00AC0619">
        <w:rPr>
          <w:rFonts w:ascii="Arial" w:hAnsi="Arial" w:cs="Arial"/>
          <w:b/>
          <w:bCs/>
          <w:color w:val="000000" w:themeColor="text1"/>
          <w:sz w:val="22"/>
          <w:szCs w:val="22"/>
        </w:rPr>
        <w:t>I</w:t>
      </w:r>
      <w:r w:rsidR="006E303B" w:rsidRPr="00AC0619">
        <w:rPr>
          <w:rFonts w:ascii="Arial" w:hAnsi="Arial" w:cs="Arial"/>
          <w:b/>
          <w:bCs/>
          <w:color w:val="000000" w:themeColor="text1"/>
          <w:sz w:val="22"/>
          <w:szCs w:val="22"/>
        </w:rPr>
        <w:t>nsights and Challenges of</w:t>
      </w:r>
      <w:r w:rsidR="00AD762E" w:rsidRPr="00AC0619">
        <w:rPr>
          <w:rFonts w:ascii="Arial" w:hAnsi="Arial" w:cs="Arial"/>
          <w:b/>
          <w:bCs/>
          <w:color w:val="000000" w:themeColor="text1"/>
          <w:sz w:val="22"/>
          <w:szCs w:val="22"/>
        </w:rPr>
        <w:t xml:space="preserve"> P/E and EBITDA Valuation</w:t>
      </w:r>
      <w:bookmarkEnd w:id="12"/>
    </w:p>
    <w:p w14:paraId="0FBE12CD" w14:textId="77777777" w:rsidR="00AC0619" w:rsidRPr="00AC0619" w:rsidRDefault="00AC0619" w:rsidP="00AC0619"/>
    <w:p w14:paraId="4A1F812D" w14:textId="37FA0E17" w:rsidR="00F477F9" w:rsidRDefault="00F13ABF" w:rsidP="008C05EA">
      <w:pPr>
        <w:tabs>
          <w:tab w:val="left" w:pos="636"/>
        </w:tabs>
        <w:spacing w:line="360" w:lineRule="auto"/>
        <w:jc w:val="both"/>
        <w:rPr>
          <w:rFonts w:ascii="Arial" w:hAnsi="Arial" w:cs="Arial"/>
        </w:rPr>
      </w:pPr>
      <w:r w:rsidRPr="00F13ABF">
        <w:rPr>
          <w:rFonts w:ascii="Arial" w:hAnsi="Arial" w:cs="Arial"/>
        </w:rPr>
        <w:t>The P</w:t>
      </w:r>
      <w:r>
        <w:rPr>
          <w:rFonts w:ascii="Arial" w:hAnsi="Arial" w:cs="Arial"/>
        </w:rPr>
        <w:t xml:space="preserve">/E ratio and </w:t>
      </w:r>
      <w:r w:rsidR="004D6C41">
        <w:rPr>
          <w:rFonts w:ascii="Arial" w:hAnsi="Arial" w:cs="Arial"/>
        </w:rPr>
        <w:t>EBITDA-based</w:t>
      </w:r>
      <w:r>
        <w:rPr>
          <w:rFonts w:ascii="Arial" w:hAnsi="Arial" w:cs="Arial"/>
        </w:rPr>
        <w:t xml:space="preserve"> valuation</w:t>
      </w:r>
      <w:r w:rsidR="004D6C41">
        <w:rPr>
          <w:rFonts w:ascii="Arial" w:hAnsi="Arial" w:cs="Arial"/>
        </w:rPr>
        <w:t xml:space="preserve">, despite being </w:t>
      </w:r>
      <w:r w:rsidR="007A473A">
        <w:rPr>
          <w:rFonts w:ascii="Arial" w:hAnsi="Arial" w:cs="Arial"/>
        </w:rPr>
        <w:t xml:space="preserve">widely used, have several limitations that can challenge the reliability </w:t>
      </w:r>
      <w:r w:rsidR="006C7A3F">
        <w:rPr>
          <w:rFonts w:ascii="Arial" w:hAnsi="Arial" w:cs="Arial"/>
        </w:rPr>
        <w:t>of the technique. The P/E ratio depends heavily on</w:t>
      </w:r>
      <w:r w:rsidR="004D6C41">
        <w:rPr>
          <w:rFonts w:ascii="Arial" w:hAnsi="Arial" w:cs="Arial"/>
        </w:rPr>
        <w:t xml:space="preserve"> </w:t>
      </w:r>
      <w:r w:rsidR="005234C6">
        <w:rPr>
          <w:rFonts w:ascii="Arial" w:hAnsi="Arial" w:cs="Arial"/>
        </w:rPr>
        <w:t>correct earnings</w:t>
      </w:r>
      <w:r w:rsidR="001E642E">
        <w:rPr>
          <w:rFonts w:ascii="Arial" w:hAnsi="Arial" w:cs="Arial"/>
        </w:rPr>
        <w:t xml:space="preserve"> and assumes </w:t>
      </w:r>
      <w:r w:rsidR="00D41B53">
        <w:rPr>
          <w:rFonts w:ascii="Arial" w:hAnsi="Arial" w:cs="Arial"/>
        </w:rPr>
        <w:t xml:space="preserve">continuous </w:t>
      </w:r>
      <w:proofErr w:type="gramStart"/>
      <w:r w:rsidR="00D41B53">
        <w:rPr>
          <w:rFonts w:ascii="Arial" w:hAnsi="Arial" w:cs="Arial"/>
        </w:rPr>
        <w:t>growth</w:t>
      </w:r>
      <w:r w:rsidR="00BF27D9">
        <w:rPr>
          <w:rFonts w:ascii="Arial" w:hAnsi="Arial" w:cs="Arial"/>
        </w:rPr>
        <w:t>,</w:t>
      </w:r>
      <w:proofErr w:type="gramEnd"/>
      <w:r w:rsidR="00BF27D9">
        <w:rPr>
          <w:rFonts w:ascii="Arial" w:hAnsi="Arial" w:cs="Arial"/>
        </w:rPr>
        <w:t xml:space="preserve"> however</w:t>
      </w:r>
      <w:r w:rsidR="001C555E">
        <w:rPr>
          <w:rFonts w:ascii="Arial" w:hAnsi="Arial" w:cs="Arial"/>
        </w:rPr>
        <w:t>,</w:t>
      </w:r>
      <w:r w:rsidR="00BF27D9">
        <w:rPr>
          <w:rFonts w:ascii="Arial" w:hAnsi="Arial" w:cs="Arial"/>
        </w:rPr>
        <w:t xml:space="preserve"> the main drawbacks of the method are that it can often be influenced </w:t>
      </w:r>
      <w:r w:rsidR="001C555E">
        <w:rPr>
          <w:rFonts w:ascii="Arial" w:hAnsi="Arial" w:cs="Arial"/>
        </w:rPr>
        <w:t>by some non-recurring components</w:t>
      </w:r>
      <w:r w:rsidR="00632325">
        <w:rPr>
          <w:rFonts w:ascii="Arial" w:hAnsi="Arial" w:cs="Arial"/>
        </w:rPr>
        <w:t>.</w:t>
      </w:r>
      <w:r w:rsidR="00A54C20">
        <w:rPr>
          <w:rFonts w:ascii="Arial" w:hAnsi="Arial" w:cs="Arial"/>
        </w:rPr>
        <w:t xml:space="preserve"> Companies like Morgan Advanced Material</w:t>
      </w:r>
      <w:r w:rsidR="00FE465E">
        <w:rPr>
          <w:rFonts w:ascii="Arial" w:hAnsi="Arial" w:cs="Arial"/>
        </w:rPr>
        <w:t xml:space="preserve">s </w:t>
      </w:r>
      <w:r w:rsidR="00C763EC">
        <w:rPr>
          <w:rFonts w:ascii="Arial" w:hAnsi="Arial" w:cs="Arial"/>
        </w:rPr>
        <w:t xml:space="preserve">are </w:t>
      </w:r>
      <w:r w:rsidR="00FE465E">
        <w:rPr>
          <w:rFonts w:ascii="Arial" w:hAnsi="Arial" w:cs="Arial"/>
        </w:rPr>
        <w:t xml:space="preserve">likely to </w:t>
      </w:r>
      <w:r w:rsidR="00BD3F4D">
        <w:rPr>
          <w:rFonts w:ascii="Arial" w:hAnsi="Arial" w:cs="Arial"/>
        </w:rPr>
        <w:t>be prone</w:t>
      </w:r>
      <w:r w:rsidR="00BE469B">
        <w:rPr>
          <w:rFonts w:ascii="Arial" w:hAnsi="Arial" w:cs="Arial"/>
        </w:rPr>
        <w:t xml:space="preserve"> </w:t>
      </w:r>
      <w:r w:rsidR="00C763EC">
        <w:rPr>
          <w:rFonts w:ascii="Arial" w:hAnsi="Arial" w:cs="Arial"/>
        </w:rPr>
        <w:t xml:space="preserve">to more misleading </w:t>
      </w:r>
      <w:r w:rsidR="001707C4">
        <w:rPr>
          <w:rFonts w:ascii="Arial" w:hAnsi="Arial" w:cs="Arial"/>
        </w:rPr>
        <w:t xml:space="preserve">P/E ratios if their earnings are not steady or if such a market is very dynamic leading to trouble in making </w:t>
      </w:r>
      <w:r w:rsidR="001926A2">
        <w:rPr>
          <w:rFonts w:ascii="Arial" w:hAnsi="Arial" w:cs="Arial"/>
        </w:rPr>
        <w:t>comparisons</w:t>
      </w:r>
      <w:r w:rsidR="00B52F8E">
        <w:rPr>
          <w:rFonts w:ascii="Arial" w:hAnsi="Arial" w:cs="Arial"/>
        </w:rPr>
        <w:t xml:space="preserve">. P/E figures can be wrong if they do not consider different capital </w:t>
      </w:r>
      <w:r w:rsidR="001926A2">
        <w:rPr>
          <w:rFonts w:ascii="Arial" w:hAnsi="Arial" w:cs="Arial"/>
        </w:rPr>
        <w:t>structures</w:t>
      </w:r>
      <w:r w:rsidR="00B52F8E">
        <w:rPr>
          <w:rFonts w:ascii="Arial" w:hAnsi="Arial" w:cs="Arial"/>
        </w:rPr>
        <w:t xml:space="preserve"> or risk </w:t>
      </w:r>
      <w:r w:rsidR="000654A2">
        <w:rPr>
          <w:rFonts w:ascii="Arial" w:hAnsi="Arial" w:cs="Arial"/>
        </w:rPr>
        <w:t>profiles</w:t>
      </w:r>
      <w:r w:rsidR="001926A2">
        <w:rPr>
          <w:rFonts w:ascii="Arial" w:hAnsi="Arial" w:cs="Arial"/>
        </w:rPr>
        <w:t xml:space="preserve"> thus causing</w:t>
      </w:r>
      <w:r w:rsidR="000654A2">
        <w:rPr>
          <w:rFonts w:ascii="Arial" w:hAnsi="Arial" w:cs="Arial"/>
        </w:rPr>
        <w:t xml:space="preserve"> impartiality issues throughout firms (</w:t>
      </w:r>
      <w:r w:rsidR="009C293A">
        <w:rPr>
          <w:rFonts w:ascii="Arial" w:hAnsi="Arial" w:cs="Arial"/>
        </w:rPr>
        <w:t>Damodaran, 2012)</w:t>
      </w:r>
    </w:p>
    <w:p w14:paraId="4C522973" w14:textId="7493A63F" w:rsidR="00E77DC7" w:rsidRDefault="00F660EA" w:rsidP="008C05EA">
      <w:pPr>
        <w:tabs>
          <w:tab w:val="left" w:pos="636"/>
        </w:tabs>
        <w:spacing w:line="360" w:lineRule="auto"/>
        <w:jc w:val="both"/>
        <w:rPr>
          <w:rFonts w:ascii="Arial" w:hAnsi="Arial" w:cs="Arial"/>
        </w:rPr>
      </w:pPr>
      <w:r>
        <w:rPr>
          <w:rFonts w:ascii="Arial" w:hAnsi="Arial" w:cs="Arial"/>
        </w:rPr>
        <w:t>Focusing</w:t>
      </w:r>
      <w:r w:rsidR="00163BD8">
        <w:rPr>
          <w:rFonts w:ascii="Arial" w:hAnsi="Arial" w:cs="Arial"/>
        </w:rPr>
        <w:t xml:space="preserve"> on </w:t>
      </w:r>
      <w:r w:rsidR="00914293">
        <w:rPr>
          <w:rFonts w:ascii="Arial" w:hAnsi="Arial" w:cs="Arial"/>
        </w:rPr>
        <w:t>EBITDA-based</w:t>
      </w:r>
      <w:r w:rsidR="00163BD8">
        <w:rPr>
          <w:rFonts w:ascii="Arial" w:hAnsi="Arial" w:cs="Arial"/>
        </w:rPr>
        <w:t xml:space="preserve"> valuation, </w:t>
      </w:r>
      <w:r w:rsidR="00914293">
        <w:rPr>
          <w:rFonts w:ascii="Arial" w:hAnsi="Arial" w:cs="Arial"/>
        </w:rPr>
        <w:t xml:space="preserve">useful </w:t>
      </w:r>
      <w:r w:rsidR="00F33189">
        <w:rPr>
          <w:rFonts w:ascii="Arial" w:hAnsi="Arial" w:cs="Arial"/>
        </w:rPr>
        <w:t xml:space="preserve">for operational performance </w:t>
      </w:r>
      <w:r>
        <w:rPr>
          <w:rFonts w:ascii="Arial" w:hAnsi="Arial" w:cs="Arial"/>
        </w:rPr>
        <w:t>ignores</w:t>
      </w:r>
      <w:r w:rsidR="00050389">
        <w:rPr>
          <w:rFonts w:ascii="Arial" w:hAnsi="Arial" w:cs="Arial"/>
        </w:rPr>
        <w:t xml:space="preserve"> crucial financial </w:t>
      </w:r>
      <w:r>
        <w:rPr>
          <w:rFonts w:ascii="Arial" w:hAnsi="Arial" w:cs="Arial"/>
        </w:rPr>
        <w:t>variables</w:t>
      </w:r>
      <w:r w:rsidR="00050389">
        <w:rPr>
          <w:rFonts w:ascii="Arial" w:hAnsi="Arial" w:cs="Arial"/>
        </w:rPr>
        <w:t xml:space="preserve"> like capital expenditure and working capital </w:t>
      </w:r>
      <w:r>
        <w:rPr>
          <w:rFonts w:ascii="Arial" w:hAnsi="Arial" w:cs="Arial"/>
        </w:rPr>
        <w:t>fluctuation.</w:t>
      </w:r>
      <w:r w:rsidR="007C75AF">
        <w:rPr>
          <w:rFonts w:ascii="Arial" w:hAnsi="Arial" w:cs="Arial"/>
        </w:rPr>
        <w:t xml:space="preserve"> EBITDA can </w:t>
      </w:r>
      <w:r w:rsidR="00465136">
        <w:rPr>
          <w:rFonts w:ascii="Arial" w:hAnsi="Arial" w:cs="Arial"/>
        </w:rPr>
        <w:t xml:space="preserve">give misleading data about the quality of capital-intensive industries if asset </w:t>
      </w:r>
      <w:r w:rsidR="00A41E69">
        <w:rPr>
          <w:rFonts w:ascii="Arial" w:hAnsi="Arial" w:cs="Arial"/>
        </w:rPr>
        <w:t>maintenance</w:t>
      </w:r>
      <w:r w:rsidR="00465136">
        <w:rPr>
          <w:rFonts w:ascii="Arial" w:hAnsi="Arial" w:cs="Arial"/>
        </w:rPr>
        <w:t xml:space="preserve"> and replacement cost</w:t>
      </w:r>
      <w:r w:rsidR="00A41E69">
        <w:rPr>
          <w:rFonts w:ascii="Arial" w:hAnsi="Arial" w:cs="Arial"/>
        </w:rPr>
        <w:t xml:space="preserve">s are ignored. The growth lines </w:t>
      </w:r>
      <w:r w:rsidR="004D1207">
        <w:rPr>
          <w:rFonts w:ascii="Arial" w:hAnsi="Arial" w:cs="Arial"/>
        </w:rPr>
        <w:t xml:space="preserve">and competitive market </w:t>
      </w:r>
      <w:r w:rsidR="00553F43">
        <w:rPr>
          <w:rFonts w:ascii="Arial" w:hAnsi="Arial" w:cs="Arial"/>
        </w:rPr>
        <w:t>with the method of comparable companies</w:t>
      </w:r>
      <w:r w:rsidR="009A4B8B">
        <w:rPr>
          <w:rFonts w:ascii="Arial" w:hAnsi="Arial" w:cs="Arial"/>
        </w:rPr>
        <w:t xml:space="preserve"> </w:t>
      </w:r>
      <w:r w:rsidR="000E3D6E">
        <w:rPr>
          <w:rFonts w:ascii="Arial" w:hAnsi="Arial" w:cs="Arial"/>
        </w:rPr>
        <w:t>lead</w:t>
      </w:r>
      <w:r w:rsidR="009A4B8B">
        <w:rPr>
          <w:rFonts w:ascii="Arial" w:hAnsi="Arial" w:cs="Arial"/>
        </w:rPr>
        <w:t xml:space="preserve"> to wrong conclusions in real situations. The use of historical data</w:t>
      </w:r>
      <w:r w:rsidR="000E3D6E">
        <w:rPr>
          <w:rFonts w:ascii="Arial" w:hAnsi="Arial" w:cs="Arial"/>
        </w:rPr>
        <w:t xml:space="preserve"> about the price fails to address the situation</w:t>
      </w:r>
      <w:r w:rsidR="005015AA">
        <w:rPr>
          <w:rFonts w:ascii="Arial" w:hAnsi="Arial" w:cs="Arial"/>
        </w:rPr>
        <w:t>.</w:t>
      </w:r>
    </w:p>
    <w:p w14:paraId="5D2643DD" w14:textId="59796C8E" w:rsidR="00256148" w:rsidRPr="00AC0619" w:rsidRDefault="006678B7" w:rsidP="00AC0619">
      <w:pPr>
        <w:pStyle w:val="Heading1"/>
        <w:rPr>
          <w:rFonts w:ascii="Arial" w:hAnsi="Arial" w:cs="Arial"/>
          <w:color w:val="000000" w:themeColor="text1"/>
          <w:sz w:val="24"/>
          <w:szCs w:val="24"/>
        </w:rPr>
      </w:pPr>
      <w:bookmarkStart w:id="13" w:name="_Toc185149308"/>
      <w:r w:rsidRPr="00AC0619">
        <w:rPr>
          <w:rFonts w:ascii="Arial" w:hAnsi="Arial" w:cs="Arial"/>
          <w:color w:val="000000" w:themeColor="text1"/>
          <w:sz w:val="24"/>
          <w:szCs w:val="24"/>
        </w:rPr>
        <w:t xml:space="preserve">4 </w:t>
      </w:r>
      <w:r w:rsidR="00256148" w:rsidRPr="00AC0619">
        <w:rPr>
          <w:rFonts w:ascii="Arial" w:hAnsi="Arial" w:cs="Arial"/>
          <w:color w:val="000000" w:themeColor="text1"/>
          <w:sz w:val="24"/>
          <w:szCs w:val="24"/>
        </w:rPr>
        <w:t>Conclusion</w:t>
      </w:r>
      <w:bookmarkEnd w:id="13"/>
    </w:p>
    <w:p w14:paraId="2A5068EA" w14:textId="7DF4A533" w:rsidR="005015AA" w:rsidRDefault="009F4925" w:rsidP="008C05EA">
      <w:pPr>
        <w:tabs>
          <w:tab w:val="left" w:pos="636"/>
        </w:tabs>
        <w:spacing w:line="360" w:lineRule="auto"/>
        <w:jc w:val="both"/>
        <w:rPr>
          <w:rFonts w:ascii="Arial" w:hAnsi="Arial" w:cs="Arial"/>
        </w:rPr>
      </w:pPr>
      <w:r>
        <w:rPr>
          <w:rFonts w:ascii="Arial" w:hAnsi="Arial" w:cs="Arial"/>
        </w:rPr>
        <w:t xml:space="preserve">The estimation of MAM through P/E and EBITDA is </w:t>
      </w:r>
      <w:r w:rsidR="003E0B50">
        <w:rPr>
          <w:rFonts w:ascii="Arial" w:hAnsi="Arial" w:cs="Arial"/>
        </w:rPr>
        <w:t xml:space="preserve">a </w:t>
      </w:r>
      <w:r>
        <w:rPr>
          <w:rFonts w:ascii="Arial" w:hAnsi="Arial" w:cs="Arial"/>
        </w:rPr>
        <w:t xml:space="preserve">clear and accurate estimate. </w:t>
      </w:r>
      <w:r w:rsidR="003E0B50">
        <w:rPr>
          <w:rFonts w:ascii="Arial" w:hAnsi="Arial" w:cs="Arial"/>
        </w:rPr>
        <w:t xml:space="preserve">The dissimilarity in market capitalisation exposes the weaknesses of these </w:t>
      </w:r>
      <w:r w:rsidR="008F4659">
        <w:rPr>
          <w:rFonts w:ascii="Arial" w:hAnsi="Arial" w:cs="Arial"/>
        </w:rPr>
        <w:t>models</w:t>
      </w:r>
      <w:r w:rsidR="003E0B50">
        <w:rPr>
          <w:rFonts w:ascii="Arial" w:hAnsi="Arial" w:cs="Arial"/>
        </w:rPr>
        <w:t xml:space="preserve"> and </w:t>
      </w:r>
      <w:r w:rsidR="008F4659">
        <w:rPr>
          <w:rFonts w:ascii="Arial" w:hAnsi="Arial" w:cs="Arial"/>
        </w:rPr>
        <w:t>the details of the market pric</w:t>
      </w:r>
      <w:r w:rsidR="00422B76">
        <w:rPr>
          <w:rFonts w:ascii="Arial" w:hAnsi="Arial" w:cs="Arial"/>
        </w:rPr>
        <w:t xml:space="preserve">ing, making the point that value can be determined based on the quantitative </w:t>
      </w:r>
      <w:r w:rsidR="00CD515E">
        <w:rPr>
          <w:rFonts w:ascii="Arial" w:hAnsi="Arial" w:cs="Arial"/>
        </w:rPr>
        <w:t>analysis as well as the qualitative decision.</w:t>
      </w:r>
    </w:p>
    <w:p w14:paraId="6F262497" w14:textId="77777777" w:rsidR="00AA7930" w:rsidRDefault="00AA7930" w:rsidP="008C05EA">
      <w:pPr>
        <w:tabs>
          <w:tab w:val="left" w:pos="636"/>
        </w:tabs>
        <w:spacing w:line="360" w:lineRule="auto"/>
        <w:jc w:val="both"/>
        <w:rPr>
          <w:rFonts w:ascii="Arial" w:hAnsi="Arial" w:cs="Arial"/>
        </w:rPr>
      </w:pPr>
    </w:p>
    <w:p w14:paraId="0AA64F9D" w14:textId="77777777" w:rsidR="00AA7930" w:rsidRDefault="00AA7930" w:rsidP="008C05EA">
      <w:pPr>
        <w:tabs>
          <w:tab w:val="left" w:pos="636"/>
        </w:tabs>
        <w:spacing w:line="360" w:lineRule="auto"/>
        <w:jc w:val="both"/>
        <w:rPr>
          <w:rFonts w:ascii="Arial" w:hAnsi="Arial" w:cs="Arial"/>
        </w:rPr>
      </w:pPr>
    </w:p>
    <w:p w14:paraId="6DEC2AD6" w14:textId="77777777" w:rsidR="00AA7930" w:rsidRDefault="00AA7930" w:rsidP="008C05EA">
      <w:pPr>
        <w:tabs>
          <w:tab w:val="left" w:pos="636"/>
        </w:tabs>
        <w:spacing w:line="360" w:lineRule="auto"/>
        <w:jc w:val="both"/>
        <w:rPr>
          <w:rFonts w:ascii="Arial" w:hAnsi="Arial" w:cs="Arial"/>
        </w:rPr>
      </w:pPr>
    </w:p>
    <w:p w14:paraId="2968A964" w14:textId="77777777" w:rsidR="00AA7930" w:rsidRDefault="00AA7930" w:rsidP="008C05EA">
      <w:pPr>
        <w:tabs>
          <w:tab w:val="left" w:pos="636"/>
        </w:tabs>
        <w:spacing w:line="360" w:lineRule="auto"/>
        <w:jc w:val="both"/>
        <w:rPr>
          <w:rFonts w:ascii="Arial" w:hAnsi="Arial" w:cs="Arial"/>
        </w:rPr>
      </w:pPr>
    </w:p>
    <w:p w14:paraId="72BAEB40" w14:textId="77777777" w:rsidR="00AA7930" w:rsidRDefault="00AA7930" w:rsidP="008C05EA">
      <w:pPr>
        <w:tabs>
          <w:tab w:val="left" w:pos="636"/>
        </w:tabs>
        <w:spacing w:line="360" w:lineRule="auto"/>
        <w:jc w:val="both"/>
        <w:rPr>
          <w:rFonts w:ascii="Arial" w:hAnsi="Arial" w:cs="Arial"/>
        </w:rPr>
      </w:pPr>
    </w:p>
    <w:p w14:paraId="7C9B98EA" w14:textId="77777777" w:rsidR="00AA7930" w:rsidRDefault="00AA7930" w:rsidP="008C05EA">
      <w:pPr>
        <w:tabs>
          <w:tab w:val="left" w:pos="636"/>
        </w:tabs>
        <w:spacing w:line="360" w:lineRule="auto"/>
        <w:jc w:val="both"/>
        <w:rPr>
          <w:rFonts w:ascii="Arial" w:hAnsi="Arial" w:cs="Arial"/>
        </w:rPr>
      </w:pPr>
    </w:p>
    <w:p w14:paraId="70952DA1" w14:textId="77777777" w:rsidR="00AA7930" w:rsidRDefault="00AA7930" w:rsidP="008C05EA">
      <w:pPr>
        <w:tabs>
          <w:tab w:val="left" w:pos="636"/>
        </w:tabs>
        <w:spacing w:line="360" w:lineRule="auto"/>
        <w:jc w:val="both"/>
        <w:rPr>
          <w:rFonts w:ascii="Arial" w:hAnsi="Arial" w:cs="Arial"/>
        </w:rPr>
      </w:pPr>
    </w:p>
    <w:p w14:paraId="477F6C18" w14:textId="0443A4B1" w:rsidR="00AA7930" w:rsidRPr="00AC0619" w:rsidRDefault="006678B7" w:rsidP="00AC0619">
      <w:pPr>
        <w:pStyle w:val="Heading1"/>
        <w:rPr>
          <w:rFonts w:ascii="Arial" w:hAnsi="Arial" w:cs="Arial"/>
          <w:sz w:val="24"/>
          <w:szCs w:val="24"/>
        </w:rPr>
      </w:pPr>
      <w:bookmarkStart w:id="14" w:name="_Toc185149309"/>
      <w:r w:rsidRPr="00AC0619">
        <w:rPr>
          <w:rFonts w:ascii="Arial" w:hAnsi="Arial" w:cs="Arial"/>
          <w:sz w:val="24"/>
          <w:szCs w:val="24"/>
        </w:rPr>
        <w:lastRenderedPageBreak/>
        <w:t xml:space="preserve">5 </w:t>
      </w:r>
      <w:r w:rsidR="00AA7930" w:rsidRPr="00AC0619">
        <w:rPr>
          <w:rFonts w:ascii="Arial" w:hAnsi="Arial" w:cs="Arial"/>
          <w:sz w:val="24"/>
          <w:szCs w:val="24"/>
        </w:rPr>
        <w:t>Reference List</w:t>
      </w:r>
      <w:bookmarkEnd w:id="14"/>
    </w:p>
    <w:p w14:paraId="68B548A4" w14:textId="79009E99"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Alford, A. W. (1992) ‘The Effect of the Set of Comparable Firms on the Accuracy of the Price-Earnings Valuation Method’, </w:t>
      </w:r>
      <w:r w:rsidRPr="00AA7930">
        <w:rPr>
          <w:rFonts w:ascii="Arial" w:eastAsia="Times New Roman" w:hAnsi="Arial" w:cs="Arial"/>
          <w:i/>
          <w:iCs/>
          <w:lang w:eastAsia="en-GB"/>
        </w:rPr>
        <w:t>Journal of Accounting Research</w:t>
      </w:r>
      <w:r w:rsidRPr="00AA7930">
        <w:rPr>
          <w:rFonts w:ascii="Arial" w:eastAsia="Times New Roman" w:hAnsi="Arial" w:cs="Arial"/>
          <w:lang w:eastAsia="en-GB"/>
        </w:rPr>
        <w:t xml:space="preserve">, 30(1), pp. 94–108.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11" w:history="1">
        <w:r w:rsidR="00624506" w:rsidRPr="00AA7930">
          <w:rPr>
            <w:rStyle w:val="Hyperlink"/>
            <w:rFonts w:ascii="Arial" w:eastAsia="Times New Roman" w:hAnsi="Arial" w:cs="Arial"/>
            <w:lang w:eastAsia="en-GB"/>
          </w:rPr>
          <w:t>https://doi.org/10.2307/2491093</w:t>
        </w:r>
      </w:hyperlink>
      <w:r w:rsidRPr="00AA7930">
        <w:rPr>
          <w:rFonts w:ascii="Arial" w:eastAsia="Times New Roman" w:hAnsi="Arial" w:cs="Arial"/>
          <w:lang w:eastAsia="en-GB"/>
        </w:rPr>
        <w:t>.</w:t>
      </w:r>
    </w:p>
    <w:p w14:paraId="1BA81BF7" w14:textId="77777777" w:rsidR="00534196" w:rsidRDefault="00534196" w:rsidP="00AA7930">
      <w:pPr>
        <w:spacing w:after="240" w:line="360" w:lineRule="auto"/>
        <w:rPr>
          <w:rFonts w:ascii="Arial" w:eastAsia="Times New Roman" w:hAnsi="Arial" w:cs="Arial"/>
          <w:lang w:eastAsia="en-GB"/>
        </w:rPr>
      </w:pPr>
    </w:p>
    <w:p w14:paraId="57CCB34F" w14:textId="7EFDBB8B" w:rsidR="00534196" w:rsidRDefault="00534196" w:rsidP="00AA7930">
      <w:pPr>
        <w:spacing w:after="240" w:line="360" w:lineRule="auto"/>
        <w:rPr>
          <w:rFonts w:ascii="Arial" w:eastAsia="Times New Roman" w:hAnsi="Arial" w:cs="Arial"/>
          <w:lang w:eastAsia="en-GB"/>
        </w:rPr>
      </w:pPr>
      <w:r w:rsidRPr="00534196">
        <w:rPr>
          <w:rFonts w:ascii="Arial" w:eastAsia="Times New Roman" w:hAnsi="Arial" w:cs="Arial"/>
          <w:lang w:eastAsia="en-GB"/>
        </w:rPr>
        <w:t>Bloomberg (202</w:t>
      </w:r>
      <w:r w:rsidR="004C3443">
        <w:rPr>
          <w:rFonts w:ascii="Arial" w:eastAsia="Times New Roman" w:hAnsi="Arial" w:cs="Arial"/>
          <w:lang w:eastAsia="en-GB"/>
        </w:rPr>
        <w:t>3</w:t>
      </w:r>
      <w:r w:rsidRPr="00534196">
        <w:rPr>
          <w:rFonts w:ascii="Arial" w:eastAsia="Times New Roman" w:hAnsi="Arial" w:cs="Arial"/>
          <w:lang w:eastAsia="en-GB"/>
        </w:rPr>
        <w:t xml:space="preserve">) </w:t>
      </w:r>
      <w:r>
        <w:rPr>
          <w:rFonts w:ascii="Arial" w:eastAsia="Times New Roman" w:hAnsi="Arial" w:cs="Arial"/>
          <w:i/>
          <w:iCs/>
          <w:lang w:eastAsia="en-GB"/>
        </w:rPr>
        <w:t>Morgan Advanced Material</w:t>
      </w:r>
      <w:r w:rsidR="004C3443">
        <w:rPr>
          <w:rFonts w:ascii="Arial" w:eastAsia="Times New Roman" w:hAnsi="Arial" w:cs="Arial"/>
          <w:i/>
          <w:iCs/>
          <w:lang w:eastAsia="en-GB"/>
        </w:rPr>
        <w:t xml:space="preserve"> Financial Analysis</w:t>
      </w:r>
      <w:r w:rsidRPr="00534196">
        <w:rPr>
          <w:rFonts w:ascii="Arial" w:eastAsia="Times New Roman" w:hAnsi="Arial" w:cs="Arial"/>
          <w:lang w:eastAsia="en-GB"/>
        </w:rPr>
        <w:t xml:space="preserve">. Bloomberg Terminal. Available at: [University Library Bloomberg Terminal] (Accessed: </w:t>
      </w:r>
      <w:r w:rsidR="004C3443">
        <w:rPr>
          <w:rFonts w:ascii="Arial" w:eastAsia="Times New Roman" w:hAnsi="Arial" w:cs="Arial"/>
          <w:lang w:eastAsia="en-GB"/>
        </w:rPr>
        <w:t>2</w:t>
      </w:r>
      <w:r w:rsidRPr="00534196">
        <w:rPr>
          <w:rFonts w:ascii="Arial" w:eastAsia="Times New Roman" w:hAnsi="Arial" w:cs="Arial"/>
          <w:lang w:eastAsia="en-GB"/>
        </w:rPr>
        <w:t xml:space="preserve"> December 2024).</w:t>
      </w:r>
    </w:p>
    <w:p w14:paraId="3DCE5AA7" w14:textId="77777777" w:rsidR="00624506" w:rsidRPr="00AA7930" w:rsidRDefault="00624506" w:rsidP="00AA7930">
      <w:pPr>
        <w:spacing w:after="240" w:line="360" w:lineRule="auto"/>
        <w:rPr>
          <w:rFonts w:ascii="Arial" w:eastAsia="Times New Roman" w:hAnsi="Arial" w:cs="Arial"/>
          <w:lang w:eastAsia="en-GB"/>
        </w:rPr>
      </w:pPr>
    </w:p>
    <w:p w14:paraId="0DB0ACF3" w14:textId="3CA4892D"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Brander, J. A. and Lewis, T. R. (1986) ‘Oligopoly and Financial Structure: The Limited Liability Effect’, </w:t>
      </w:r>
      <w:r w:rsidRPr="00AA7930">
        <w:rPr>
          <w:rFonts w:ascii="Arial" w:eastAsia="Times New Roman" w:hAnsi="Arial" w:cs="Arial"/>
          <w:i/>
          <w:iCs/>
          <w:lang w:eastAsia="en-GB"/>
        </w:rPr>
        <w:t>The American Economic Review</w:t>
      </w:r>
      <w:r w:rsidRPr="00AA7930">
        <w:rPr>
          <w:rFonts w:ascii="Arial" w:eastAsia="Times New Roman" w:hAnsi="Arial" w:cs="Arial"/>
          <w:lang w:eastAsia="en-GB"/>
        </w:rPr>
        <w:t xml:space="preserve">, 76(5), pp. 956–970. Available at: </w:t>
      </w:r>
      <w:hyperlink r:id="rId12" w:history="1">
        <w:r w:rsidR="00624506" w:rsidRPr="00AA7930">
          <w:rPr>
            <w:rStyle w:val="Hyperlink"/>
            <w:rFonts w:ascii="Arial" w:eastAsia="Times New Roman" w:hAnsi="Arial" w:cs="Arial"/>
            <w:lang w:eastAsia="en-GB"/>
          </w:rPr>
          <w:t>https://www.jstor.org/stable/1816462</w:t>
        </w:r>
      </w:hyperlink>
      <w:r w:rsidRPr="00AA7930">
        <w:rPr>
          <w:rFonts w:ascii="Arial" w:eastAsia="Times New Roman" w:hAnsi="Arial" w:cs="Arial"/>
          <w:lang w:eastAsia="en-GB"/>
        </w:rPr>
        <w:t>.</w:t>
      </w:r>
    </w:p>
    <w:p w14:paraId="1A96D3E9" w14:textId="77777777" w:rsidR="00624506" w:rsidRPr="00AA7930" w:rsidRDefault="00624506" w:rsidP="00AA7930">
      <w:pPr>
        <w:spacing w:after="240" w:line="360" w:lineRule="auto"/>
        <w:rPr>
          <w:rFonts w:ascii="Arial" w:eastAsia="Times New Roman" w:hAnsi="Arial" w:cs="Arial"/>
          <w:lang w:eastAsia="en-GB"/>
        </w:rPr>
      </w:pPr>
    </w:p>
    <w:p w14:paraId="4DE792EF" w14:textId="4DE58DAF"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Damodaran, A. (2012) ‘Equity Risk Premiums (ERP): Determinants, Estimation and Implications – The 2012 Edition’, </w:t>
      </w:r>
      <w:r w:rsidRPr="00AA7930">
        <w:rPr>
          <w:rFonts w:ascii="Arial" w:eastAsia="Times New Roman" w:hAnsi="Arial" w:cs="Arial"/>
          <w:i/>
          <w:iCs/>
          <w:lang w:eastAsia="en-GB"/>
        </w:rPr>
        <w:t>SSRN Electronic Journal</w:t>
      </w:r>
      <w:r w:rsidRPr="00AA7930">
        <w:rPr>
          <w:rFonts w:ascii="Arial" w:eastAsia="Times New Roman" w:hAnsi="Arial" w:cs="Arial"/>
          <w:lang w:eastAsia="en-GB"/>
        </w:rPr>
        <w:t xml:space="preserve">.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13" w:history="1">
        <w:r w:rsidR="00624506" w:rsidRPr="00AA7930">
          <w:rPr>
            <w:rStyle w:val="Hyperlink"/>
            <w:rFonts w:ascii="Arial" w:eastAsia="Times New Roman" w:hAnsi="Arial" w:cs="Arial"/>
            <w:lang w:eastAsia="en-GB"/>
          </w:rPr>
          <w:t>https://doi.org/10.2139/ssrn.2027211</w:t>
        </w:r>
      </w:hyperlink>
      <w:r w:rsidRPr="00AA7930">
        <w:rPr>
          <w:rFonts w:ascii="Arial" w:eastAsia="Times New Roman" w:hAnsi="Arial" w:cs="Arial"/>
          <w:lang w:eastAsia="en-GB"/>
        </w:rPr>
        <w:t>.</w:t>
      </w:r>
    </w:p>
    <w:p w14:paraId="53725DC9" w14:textId="77777777" w:rsidR="00624506" w:rsidRPr="00AA7930" w:rsidRDefault="00624506" w:rsidP="00AA7930">
      <w:pPr>
        <w:spacing w:after="240" w:line="360" w:lineRule="auto"/>
        <w:rPr>
          <w:rFonts w:ascii="Arial" w:eastAsia="Times New Roman" w:hAnsi="Arial" w:cs="Arial"/>
          <w:lang w:eastAsia="en-GB"/>
        </w:rPr>
      </w:pPr>
    </w:p>
    <w:p w14:paraId="47FCBE8E" w14:textId="2C72C622"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Durand, D. (1952) </w:t>
      </w:r>
      <w:r w:rsidRPr="00AA7930">
        <w:rPr>
          <w:rFonts w:ascii="Arial" w:eastAsia="Times New Roman" w:hAnsi="Arial" w:cs="Arial"/>
          <w:i/>
          <w:iCs/>
          <w:lang w:eastAsia="en-GB"/>
        </w:rPr>
        <w:t>Chapter Title: Costs of Debt and Equity Funds for Business: Trends and Problems of Measurement</w:t>
      </w:r>
      <w:r w:rsidRPr="00AA7930">
        <w:rPr>
          <w:rFonts w:ascii="Arial" w:eastAsia="Times New Roman" w:hAnsi="Arial" w:cs="Arial"/>
          <w:lang w:eastAsia="en-GB"/>
        </w:rPr>
        <w:t xml:space="preserve">. Available at: </w:t>
      </w:r>
      <w:hyperlink r:id="rId14" w:history="1">
        <w:r w:rsidR="00624506" w:rsidRPr="00AA7930">
          <w:rPr>
            <w:rStyle w:val="Hyperlink"/>
            <w:rFonts w:ascii="Arial" w:eastAsia="Times New Roman" w:hAnsi="Arial" w:cs="Arial"/>
            <w:lang w:eastAsia="en-GB"/>
          </w:rPr>
          <w:t>https://www.nber.org/system/files/chapters/c4790/c4790.pdf</w:t>
        </w:r>
      </w:hyperlink>
      <w:r w:rsidRPr="00AA7930">
        <w:rPr>
          <w:rFonts w:ascii="Arial" w:eastAsia="Times New Roman" w:hAnsi="Arial" w:cs="Arial"/>
          <w:lang w:eastAsia="en-GB"/>
        </w:rPr>
        <w:t>.</w:t>
      </w:r>
    </w:p>
    <w:p w14:paraId="1170B527" w14:textId="77777777" w:rsidR="00624506" w:rsidRPr="00AA7930" w:rsidRDefault="00624506" w:rsidP="00AA7930">
      <w:pPr>
        <w:spacing w:after="240" w:line="360" w:lineRule="auto"/>
        <w:rPr>
          <w:rFonts w:ascii="Arial" w:eastAsia="Times New Roman" w:hAnsi="Arial" w:cs="Arial"/>
          <w:lang w:eastAsia="en-GB"/>
        </w:rPr>
      </w:pPr>
    </w:p>
    <w:p w14:paraId="46271E5C" w14:textId="3CD12823" w:rsidR="00AA7930" w:rsidRDefault="00AA7930" w:rsidP="00AA7930">
      <w:pPr>
        <w:spacing w:after="240" w:line="360" w:lineRule="auto"/>
        <w:rPr>
          <w:rFonts w:ascii="Arial" w:eastAsia="Times New Roman" w:hAnsi="Arial" w:cs="Arial"/>
          <w:lang w:eastAsia="en-GB"/>
        </w:rPr>
      </w:pPr>
      <w:proofErr w:type="spellStart"/>
      <w:r w:rsidRPr="00AA7930">
        <w:rPr>
          <w:rFonts w:ascii="Arial" w:eastAsia="Times New Roman" w:hAnsi="Arial" w:cs="Arial"/>
          <w:lang w:eastAsia="en-GB"/>
        </w:rPr>
        <w:t>Fama</w:t>
      </w:r>
      <w:proofErr w:type="spellEnd"/>
      <w:r w:rsidRPr="00AA7930">
        <w:rPr>
          <w:rFonts w:ascii="Arial" w:eastAsia="Times New Roman" w:hAnsi="Arial" w:cs="Arial"/>
          <w:lang w:eastAsia="en-GB"/>
        </w:rPr>
        <w:t xml:space="preserve">, E. F. (1972) ‘Components of Investment Performance’, </w:t>
      </w:r>
      <w:r w:rsidRPr="00AA7930">
        <w:rPr>
          <w:rFonts w:ascii="Arial" w:eastAsia="Times New Roman" w:hAnsi="Arial" w:cs="Arial"/>
          <w:i/>
          <w:iCs/>
          <w:lang w:eastAsia="en-GB"/>
        </w:rPr>
        <w:t>The Journal of Finance</w:t>
      </w:r>
      <w:r w:rsidRPr="00AA7930">
        <w:rPr>
          <w:rFonts w:ascii="Arial" w:eastAsia="Times New Roman" w:hAnsi="Arial" w:cs="Arial"/>
          <w:lang w:eastAsia="en-GB"/>
        </w:rPr>
        <w:t xml:space="preserve">, 27(3), p. 551.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15" w:history="1">
        <w:r w:rsidR="00624506" w:rsidRPr="00AA7930">
          <w:rPr>
            <w:rStyle w:val="Hyperlink"/>
            <w:rFonts w:ascii="Arial" w:eastAsia="Times New Roman" w:hAnsi="Arial" w:cs="Arial"/>
            <w:lang w:eastAsia="en-GB"/>
          </w:rPr>
          <w:t>https://doi.org/10.2307/2978261</w:t>
        </w:r>
      </w:hyperlink>
      <w:r w:rsidRPr="00AA7930">
        <w:rPr>
          <w:rFonts w:ascii="Arial" w:eastAsia="Times New Roman" w:hAnsi="Arial" w:cs="Arial"/>
          <w:lang w:eastAsia="en-GB"/>
        </w:rPr>
        <w:t>.</w:t>
      </w:r>
    </w:p>
    <w:p w14:paraId="32CC52D6" w14:textId="77777777" w:rsidR="00865133" w:rsidRDefault="00865133" w:rsidP="00AA7930">
      <w:pPr>
        <w:spacing w:after="240" w:line="360" w:lineRule="auto"/>
        <w:rPr>
          <w:rFonts w:ascii="Arial" w:eastAsia="Times New Roman" w:hAnsi="Arial" w:cs="Arial"/>
          <w:lang w:eastAsia="en-GB"/>
        </w:rPr>
      </w:pPr>
    </w:p>
    <w:p w14:paraId="0C9DBA34" w14:textId="4CA324D7" w:rsidR="00865133" w:rsidRDefault="00865133" w:rsidP="00AA7930">
      <w:pPr>
        <w:spacing w:after="240" w:line="360" w:lineRule="auto"/>
        <w:rPr>
          <w:rFonts w:ascii="Arial" w:eastAsia="Times New Roman" w:hAnsi="Arial" w:cs="Arial"/>
          <w:lang w:eastAsia="en-GB"/>
        </w:rPr>
      </w:pPr>
      <w:r w:rsidRPr="00865133">
        <w:rPr>
          <w:rFonts w:ascii="Arial" w:eastAsia="Times New Roman" w:hAnsi="Arial" w:cs="Arial"/>
          <w:lang w:eastAsia="en-GB"/>
        </w:rPr>
        <w:t>Bureau van Dijk (</w:t>
      </w:r>
      <w:r w:rsidR="007D7EB3">
        <w:rPr>
          <w:rFonts w:ascii="Arial" w:eastAsia="Times New Roman" w:hAnsi="Arial" w:cs="Arial"/>
          <w:lang w:eastAsia="en-GB"/>
        </w:rPr>
        <w:t>2023</w:t>
      </w:r>
      <w:r w:rsidRPr="00865133">
        <w:rPr>
          <w:rFonts w:ascii="Arial" w:eastAsia="Times New Roman" w:hAnsi="Arial" w:cs="Arial"/>
          <w:lang w:eastAsia="en-GB"/>
        </w:rPr>
        <w:t xml:space="preserve">) </w:t>
      </w:r>
      <w:r w:rsidRPr="00865133">
        <w:rPr>
          <w:rFonts w:ascii="Arial" w:eastAsia="Times New Roman" w:hAnsi="Arial" w:cs="Arial"/>
          <w:i/>
          <w:iCs/>
          <w:lang w:eastAsia="en-GB"/>
        </w:rPr>
        <w:t>FAME: Financial Analysis Made Easy</w:t>
      </w:r>
      <w:r w:rsidRPr="00865133">
        <w:rPr>
          <w:rFonts w:ascii="Arial" w:eastAsia="Times New Roman" w:hAnsi="Arial" w:cs="Arial"/>
          <w:lang w:eastAsia="en-GB"/>
        </w:rPr>
        <w:t xml:space="preserve">. Available at: </w:t>
      </w:r>
      <w:hyperlink r:id="rId16" w:history="1">
        <w:r w:rsidR="007D7EB3" w:rsidRPr="00AA4C93">
          <w:rPr>
            <w:rStyle w:val="Hyperlink"/>
            <w:rFonts w:ascii="Arial" w:eastAsia="Times New Roman" w:hAnsi="Arial" w:cs="Arial"/>
            <w:lang w:eastAsia="en-GB"/>
          </w:rPr>
          <w:t>https://fame-r1-bvdinfo-com.oxfordbrookes.idm.oclc.org/version-20241203-2-0/fame/1/Companies/Report</w:t>
        </w:r>
      </w:hyperlink>
      <w:r w:rsidR="007D7EB3">
        <w:rPr>
          <w:rFonts w:ascii="Arial" w:eastAsia="Times New Roman" w:hAnsi="Arial" w:cs="Arial"/>
          <w:lang w:eastAsia="en-GB"/>
        </w:rPr>
        <w:t xml:space="preserve"> </w:t>
      </w:r>
      <w:r w:rsidRPr="00865133">
        <w:rPr>
          <w:rFonts w:ascii="Arial" w:eastAsia="Times New Roman" w:hAnsi="Arial" w:cs="Arial"/>
          <w:lang w:eastAsia="en-GB"/>
        </w:rPr>
        <w:t xml:space="preserve"> (Accessed: </w:t>
      </w:r>
      <w:r w:rsidR="007D7EB3">
        <w:rPr>
          <w:rFonts w:ascii="Arial" w:eastAsia="Times New Roman" w:hAnsi="Arial" w:cs="Arial"/>
          <w:lang w:eastAsia="en-GB"/>
        </w:rPr>
        <w:t>December 7</w:t>
      </w:r>
      <w:r w:rsidRPr="00865133">
        <w:rPr>
          <w:rFonts w:ascii="Arial" w:eastAsia="Times New Roman" w:hAnsi="Arial" w:cs="Arial"/>
          <w:lang w:eastAsia="en-GB"/>
        </w:rPr>
        <w:t>).</w:t>
      </w:r>
    </w:p>
    <w:p w14:paraId="0B1EE2B7" w14:textId="77777777" w:rsidR="00624506" w:rsidRPr="00AA7930" w:rsidRDefault="00624506" w:rsidP="00AA7930">
      <w:pPr>
        <w:spacing w:after="240" w:line="360" w:lineRule="auto"/>
        <w:rPr>
          <w:rFonts w:ascii="Arial" w:eastAsia="Times New Roman" w:hAnsi="Arial" w:cs="Arial"/>
          <w:lang w:eastAsia="en-GB"/>
        </w:rPr>
      </w:pPr>
    </w:p>
    <w:p w14:paraId="65C481EA" w14:textId="3D95B4D9" w:rsidR="00AA7930" w:rsidRDefault="00AA7930" w:rsidP="00AA7930">
      <w:pPr>
        <w:spacing w:after="240" w:line="360" w:lineRule="auto"/>
        <w:rPr>
          <w:rFonts w:ascii="Arial" w:eastAsia="Times New Roman" w:hAnsi="Arial" w:cs="Arial"/>
          <w:lang w:eastAsia="en-GB"/>
        </w:rPr>
      </w:pPr>
      <w:proofErr w:type="spellStart"/>
      <w:r w:rsidRPr="00AA7930">
        <w:rPr>
          <w:rFonts w:ascii="Arial" w:eastAsia="Times New Roman" w:hAnsi="Arial" w:cs="Arial"/>
          <w:lang w:eastAsia="en-GB"/>
        </w:rPr>
        <w:lastRenderedPageBreak/>
        <w:t>Galuh</w:t>
      </w:r>
      <w:proofErr w:type="spellEnd"/>
      <w:r w:rsidRPr="00AA7930">
        <w:rPr>
          <w:rFonts w:ascii="Arial" w:eastAsia="Times New Roman" w:hAnsi="Arial" w:cs="Arial"/>
          <w:lang w:eastAsia="en-GB"/>
        </w:rPr>
        <w:t xml:space="preserve"> </w:t>
      </w:r>
      <w:proofErr w:type="spellStart"/>
      <w:r w:rsidRPr="00AA7930">
        <w:rPr>
          <w:rFonts w:ascii="Arial" w:eastAsia="Times New Roman" w:hAnsi="Arial" w:cs="Arial"/>
          <w:lang w:eastAsia="en-GB"/>
        </w:rPr>
        <w:t>Adika</w:t>
      </w:r>
      <w:proofErr w:type="spellEnd"/>
      <w:r w:rsidRPr="00AA7930">
        <w:rPr>
          <w:rFonts w:ascii="Arial" w:eastAsia="Times New Roman" w:hAnsi="Arial" w:cs="Arial"/>
          <w:lang w:eastAsia="en-GB"/>
        </w:rPr>
        <w:t xml:space="preserve"> </w:t>
      </w:r>
      <w:proofErr w:type="spellStart"/>
      <w:r w:rsidRPr="00AA7930">
        <w:rPr>
          <w:rFonts w:ascii="Arial" w:eastAsia="Times New Roman" w:hAnsi="Arial" w:cs="Arial"/>
          <w:lang w:eastAsia="en-GB"/>
        </w:rPr>
        <w:t>Alifani</w:t>
      </w:r>
      <w:proofErr w:type="spellEnd"/>
      <w:r w:rsidRPr="00AA7930">
        <w:rPr>
          <w:rFonts w:ascii="Arial" w:eastAsia="Times New Roman" w:hAnsi="Arial" w:cs="Arial"/>
          <w:lang w:eastAsia="en-GB"/>
        </w:rPr>
        <w:t xml:space="preserve"> and </w:t>
      </w:r>
      <w:proofErr w:type="spellStart"/>
      <w:r w:rsidRPr="00AA7930">
        <w:rPr>
          <w:rFonts w:ascii="Arial" w:eastAsia="Times New Roman" w:hAnsi="Arial" w:cs="Arial"/>
          <w:lang w:eastAsia="en-GB"/>
        </w:rPr>
        <w:t>Anggoro</w:t>
      </w:r>
      <w:proofErr w:type="spellEnd"/>
      <w:r w:rsidRPr="00AA7930">
        <w:rPr>
          <w:rFonts w:ascii="Arial" w:eastAsia="Times New Roman" w:hAnsi="Arial" w:cs="Arial"/>
          <w:lang w:eastAsia="en-GB"/>
        </w:rPr>
        <w:t xml:space="preserve"> Budi Nugroho (2013) ‘Proving Modigliani and Miller theories of capital structure: The research on Indonesia’s cigarette companies’, </w:t>
      </w:r>
      <w:r w:rsidRPr="00AA7930">
        <w:rPr>
          <w:rFonts w:ascii="Arial" w:eastAsia="Times New Roman" w:hAnsi="Arial" w:cs="Arial"/>
          <w:i/>
          <w:iCs/>
          <w:lang w:eastAsia="en-GB"/>
        </w:rPr>
        <w:t xml:space="preserve">International Institute </w:t>
      </w:r>
      <w:proofErr w:type="spellStart"/>
      <w:r w:rsidRPr="00AA7930">
        <w:rPr>
          <w:rFonts w:ascii="Arial" w:eastAsia="Times New Roman" w:hAnsi="Arial" w:cs="Arial"/>
          <w:i/>
          <w:iCs/>
          <w:lang w:eastAsia="en-GB"/>
        </w:rPr>
        <w:t>forSocial</w:t>
      </w:r>
      <w:proofErr w:type="spellEnd"/>
      <w:r w:rsidRPr="00AA7930">
        <w:rPr>
          <w:rFonts w:ascii="Arial" w:eastAsia="Times New Roman" w:hAnsi="Arial" w:cs="Arial"/>
          <w:i/>
          <w:iCs/>
          <w:lang w:eastAsia="en-GB"/>
        </w:rPr>
        <w:t xml:space="preserve"> and Economic Sciences (IISES), 7th International Academic Conference, Prague, Czech Republic</w:t>
      </w:r>
      <w:r w:rsidRPr="00AA7930">
        <w:rPr>
          <w:rFonts w:ascii="Arial" w:eastAsia="Times New Roman" w:hAnsi="Arial" w:cs="Arial"/>
          <w:lang w:eastAsia="en-GB"/>
        </w:rPr>
        <w:t xml:space="preserve">, Vol. II (No.3). Available at: </w:t>
      </w:r>
      <w:hyperlink r:id="rId17" w:history="1">
        <w:r w:rsidR="00624506" w:rsidRPr="00AA7930">
          <w:rPr>
            <w:rStyle w:val="Hyperlink"/>
            <w:rFonts w:ascii="Arial" w:eastAsia="Times New Roman" w:hAnsi="Arial" w:cs="Arial"/>
            <w:lang w:eastAsia="en-GB"/>
          </w:rPr>
          <w:t>https://www.researchgate.net/publication/325011765</w:t>
        </w:r>
      </w:hyperlink>
      <w:r w:rsidRPr="00AA7930">
        <w:rPr>
          <w:rFonts w:ascii="Arial" w:eastAsia="Times New Roman" w:hAnsi="Arial" w:cs="Arial"/>
          <w:lang w:eastAsia="en-GB"/>
        </w:rPr>
        <w:t>.</w:t>
      </w:r>
    </w:p>
    <w:p w14:paraId="09511196" w14:textId="77777777" w:rsidR="00624506" w:rsidRPr="00AA7930" w:rsidRDefault="00624506" w:rsidP="00AA7930">
      <w:pPr>
        <w:spacing w:after="240" w:line="360" w:lineRule="auto"/>
        <w:rPr>
          <w:rFonts w:ascii="Arial" w:eastAsia="Times New Roman" w:hAnsi="Arial" w:cs="Arial"/>
          <w:lang w:eastAsia="en-GB"/>
        </w:rPr>
      </w:pPr>
    </w:p>
    <w:p w14:paraId="3EB8EDB0" w14:textId="77777777" w:rsidR="00AA7930" w:rsidRP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HARRIS, M. and RAVIV, A. (1991) ‘The Theory of Capital Structure’, </w:t>
      </w:r>
      <w:r w:rsidRPr="00AA7930">
        <w:rPr>
          <w:rFonts w:ascii="Arial" w:eastAsia="Times New Roman" w:hAnsi="Arial" w:cs="Arial"/>
          <w:i/>
          <w:iCs/>
          <w:lang w:eastAsia="en-GB"/>
        </w:rPr>
        <w:t>The Journal of Finance</w:t>
      </w:r>
      <w:r w:rsidRPr="00AA7930">
        <w:rPr>
          <w:rFonts w:ascii="Arial" w:eastAsia="Times New Roman" w:hAnsi="Arial" w:cs="Arial"/>
          <w:lang w:eastAsia="en-GB"/>
        </w:rPr>
        <w:t xml:space="preserve">, 46(1), pp. 297–355.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https://doi.org/10.1111/j.1540-6261.1991.tb03753.x.</w:t>
      </w:r>
    </w:p>
    <w:p w14:paraId="57834031" w14:textId="1FBAF9EB"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Jensen, M. C. and </w:t>
      </w:r>
      <w:proofErr w:type="spellStart"/>
      <w:r w:rsidRPr="00AA7930">
        <w:rPr>
          <w:rFonts w:ascii="Arial" w:eastAsia="Times New Roman" w:hAnsi="Arial" w:cs="Arial"/>
          <w:lang w:eastAsia="en-GB"/>
        </w:rPr>
        <w:t>Meckling</w:t>
      </w:r>
      <w:proofErr w:type="spellEnd"/>
      <w:r w:rsidRPr="00AA7930">
        <w:rPr>
          <w:rFonts w:ascii="Arial" w:eastAsia="Times New Roman" w:hAnsi="Arial" w:cs="Arial"/>
          <w:lang w:eastAsia="en-GB"/>
        </w:rPr>
        <w:t xml:space="preserve">, W. H. (1976) ‘Theory of the Firm: Managerial </w:t>
      </w:r>
      <w:proofErr w:type="spellStart"/>
      <w:r w:rsidRPr="00AA7930">
        <w:rPr>
          <w:rFonts w:ascii="Arial" w:eastAsia="Times New Roman" w:hAnsi="Arial" w:cs="Arial"/>
          <w:lang w:eastAsia="en-GB"/>
        </w:rPr>
        <w:t>behavior</w:t>
      </w:r>
      <w:proofErr w:type="spellEnd"/>
      <w:r w:rsidRPr="00AA7930">
        <w:rPr>
          <w:rFonts w:ascii="Arial" w:eastAsia="Times New Roman" w:hAnsi="Arial" w:cs="Arial"/>
          <w:lang w:eastAsia="en-GB"/>
        </w:rPr>
        <w:t xml:space="preserve">, Agency Costs and Ownership Structure’, </w:t>
      </w:r>
      <w:r w:rsidRPr="00AA7930">
        <w:rPr>
          <w:rFonts w:ascii="Arial" w:eastAsia="Times New Roman" w:hAnsi="Arial" w:cs="Arial"/>
          <w:i/>
          <w:iCs/>
          <w:lang w:eastAsia="en-GB"/>
        </w:rPr>
        <w:t>Journal of Financial Economics</w:t>
      </w:r>
      <w:r w:rsidRPr="00AA7930">
        <w:rPr>
          <w:rFonts w:ascii="Arial" w:eastAsia="Times New Roman" w:hAnsi="Arial" w:cs="Arial"/>
          <w:lang w:eastAsia="en-GB"/>
        </w:rPr>
        <w:t xml:space="preserve">, 3(4), pp. 305–360.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18" w:history="1">
        <w:r w:rsidR="00624506" w:rsidRPr="00AA7930">
          <w:rPr>
            <w:rStyle w:val="Hyperlink"/>
            <w:rFonts w:ascii="Arial" w:eastAsia="Times New Roman" w:hAnsi="Arial" w:cs="Arial"/>
            <w:lang w:eastAsia="en-GB"/>
          </w:rPr>
          <w:t>https://doi.org/10.1016/0304-405X(76)90026-X</w:t>
        </w:r>
      </w:hyperlink>
      <w:r w:rsidRPr="00AA7930">
        <w:rPr>
          <w:rFonts w:ascii="Arial" w:eastAsia="Times New Roman" w:hAnsi="Arial" w:cs="Arial"/>
          <w:lang w:eastAsia="en-GB"/>
        </w:rPr>
        <w:t>.</w:t>
      </w:r>
    </w:p>
    <w:p w14:paraId="4FF801AB" w14:textId="77777777" w:rsidR="00624506" w:rsidRPr="00AA7930" w:rsidRDefault="00624506" w:rsidP="00AA7930">
      <w:pPr>
        <w:spacing w:after="240" w:line="360" w:lineRule="auto"/>
        <w:rPr>
          <w:rFonts w:ascii="Arial" w:eastAsia="Times New Roman" w:hAnsi="Arial" w:cs="Arial"/>
          <w:lang w:eastAsia="en-GB"/>
        </w:rPr>
      </w:pPr>
    </w:p>
    <w:p w14:paraId="61428E09" w14:textId="31903284" w:rsidR="00AA7930" w:rsidRDefault="00AA7930" w:rsidP="00AA7930">
      <w:pPr>
        <w:spacing w:after="240" w:line="360" w:lineRule="auto"/>
        <w:rPr>
          <w:rFonts w:ascii="Arial" w:eastAsia="Times New Roman" w:hAnsi="Arial" w:cs="Arial"/>
          <w:lang w:eastAsia="en-GB"/>
        </w:rPr>
      </w:pPr>
      <w:proofErr w:type="spellStart"/>
      <w:r w:rsidRPr="00AA7930">
        <w:rPr>
          <w:rFonts w:ascii="Arial" w:eastAsia="Times New Roman" w:hAnsi="Arial" w:cs="Arial"/>
          <w:lang w:eastAsia="en-GB"/>
        </w:rPr>
        <w:t>MacKie</w:t>
      </w:r>
      <w:proofErr w:type="spellEnd"/>
      <w:r w:rsidRPr="00AA7930">
        <w:rPr>
          <w:rFonts w:ascii="Arial" w:eastAsia="Times New Roman" w:hAnsi="Arial" w:cs="Arial"/>
          <w:lang w:eastAsia="en-GB"/>
        </w:rPr>
        <w:t xml:space="preserve">-Mason, J. K. (1990) ‘Do Taxes Affect Corporate Financing Decisions?’, </w:t>
      </w:r>
      <w:r w:rsidRPr="00AA7930">
        <w:rPr>
          <w:rFonts w:ascii="Arial" w:eastAsia="Times New Roman" w:hAnsi="Arial" w:cs="Arial"/>
          <w:i/>
          <w:iCs/>
          <w:lang w:eastAsia="en-GB"/>
        </w:rPr>
        <w:t>The Journal of Finance</w:t>
      </w:r>
      <w:r w:rsidRPr="00AA7930">
        <w:rPr>
          <w:rFonts w:ascii="Arial" w:eastAsia="Times New Roman" w:hAnsi="Arial" w:cs="Arial"/>
          <w:lang w:eastAsia="en-GB"/>
        </w:rPr>
        <w:t xml:space="preserve">, 45(5), p. 1471.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19" w:history="1">
        <w:r w:rsidR="00624506" w:rsidRPr="00AA7930">
          <w:rPr>
            <w:rStyle w:val="Hyperlink"/>
            <w:rFonts w:ascii="Arial" w:eastAsia="Times New Roman" w:hAnsi="Arial" w:cs="Arial"/>
            <w:lang w:eastAsia="en-GB"/>
          </w:rPr>
          <w:t>https://doi.org/10.2307/2328746</w:t>
        </w:r>
      </w:hyperlink>
      <w:r w:rsidRPr="00AA7930">
        <w:rPr>
          <w:rFonts w:ascii="Arial" w:eastAsia="Times New Roman" w:hAnsi="Arial" w:cs="Arial"/>
          <w:lang w:eastAsia="en-GB"/>
        </w:rPr>
        <w:t>.</w:t>
      </w:r>
    </w:p>
    <w:p w14:paraId="48673A3C" w14:textId="77777777" w:rsidR="00624506" w:rsidRPr="00AA7930" w:rsidRDefault="00624506" w:rsidP="00AA7930">
      <w:pPr>
        <w:spacing w:after="240" w:line="360" w:lineRule="auto"/>
        <w:rPr>
          <w:rFonts w:ascii="Arial" w:eastAsia="Times New Roman" w:hAnsi="Arial" w:cs="Arial"/>
          <w:lang w:eastAsia="en-GB"/>
        </w:rPr>
      </w:pPr>
    </w:p>
    <w:p w14:paraId="514FE13C" w14:textId="21BA9AA0" w:rsidR="00AA7930" w:rsidRDefault="00AA7930" w:rsidP="00AA7930">
      <w:pPr>
        <w:spacing w:after="240" w:line="360" w:lineRule="auto"/>
        <w:rPr>
          <w:rFonts w:ascii="Arial" w:eastAsia="Times New Roman" w:hAnsi="Arial" w:cs="Arial"/>
          <w:lang w:eastAsia="en-GB"/>
        </w:rPr>
      </w:pPr>
      <w:proofErr w:type="spellStart"/>
      <w:r w:rsidRPr="00AA7930">
        <w:rPr>
          <w:rFonts w:ascii="Arial" w:eastAsia="Times New Roman" w:hAnsi="Arial" w:cs="Arial"/>
          <w:lang w:eastAsia="en-GB"/>
        </w:rPr>
        <w:t>Marzo</w:t>
      </w:r>
      <w:proofErr w:type="spellEnd"/>
      <w:r w:rsidRPr="00AA7930">
        <w:rPr>
          <w:rFonts w:ascii="Arial" w:eastAsia="Times New Roman" w:hAnsi="Arial" w:cs="Arial"/>
          <w:lang w:eastAsia="en-GB"/>
        </w:rPr>
        <w:t xml:space="preserve">, G. (2014) ‘Commentary on “Accounting for Value” by Stephen Penman’, </w:t>
      </w:r>
      <w:r w:rsidRPr="00AA7930">
        <w:rPr>
          <w:rFonts w:ascii="Arial" w:eastAsia="Times New Roman" w:hAnsi="Arial" w:cs="Arial"/>
          <w:i/>
          <w:iCs/>
          <w:lang w:eastAsia="en-GB"/>
        </w:rPr>
        <w:t>Accounting, Economics and Law</w:t>
      </w:r>
      <w:r w:rsidRPr="00AA7930">
        <w:rPr>
          <w:rFonts w:ascii="Arial" w:eastAsia="Times New Roman" w:hAnsi="Arial" w:cs="Arial"/>
          <w:lang w:eastAsia="en-GB"/>
        </w:rPr>
        <w:t xml:space="preserve">, 4(2).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20" w:history="1">
        <w:r w:rsidR="00624506" w:rsidRPr="00AA7930">
          <w:rPr>
            <w:rStyle w:val="Hyperlink"/>
            <w:rFonts w:ascii="Arial" w:eastAsia="Times New Roman" w:hAnsi="Arial" w:cs="Arial"/>
            <w:lang w:eastAsia="en-GB"/>
          </w:rPr>
          <w:t>https://doi.org/10.1515/ael-2013-0026</w:t>
        </w:r>
      </w:hyperlink>
      <w:r w:rsidRPr="00AA7930">
        <w:rPr>
          <w:rFonts w:ascii="Arial" w:eastAsia="Times New Roman" w:hAnsi="Arial" w:cs="Arial"/>
          <w:lang w:eastAsia="en-GB"/>
        </w:rPr>
        <w:t>.</w:t>
      </w:r>
    </w:p>
    <w:p w14:paraId="778CFAF3" w14:textId="77777777" w:rsidR="00624506" w:rsidRPr="00AA7930" w:rsidRDefault="00624506" w:rsidP="00AA7930">
      <w:pPr>
        <w:spacing w:after="240" w:line="360" w:lineRule="auto"/>
        <w:rPr>
          <w:rFonts w:ascii="Arial" w:eastAsia="Times New Roman" w:hAnsi="Arial" w:cs="Arial"/>
          <w:lang w:eastAsia="en-GB"/>
        </w:rPr>
      </w:pPr>
    </w:p>
    <w:p w14:paraId="00809F34" w14:textId="77777777" w:rsidR="00AA7930" w:rsidRDefault="00AA7930" w:rsidP="00AA7930">
      <w:pPr>
        <w:spacing w:after="240" w:line="360" w:lineRule="auto"/>
        <w:rPr>
          <w:rFonts w:ascii="Arial" w:eastAsia="Times New Roman" w:hAnsi="Arial" w:cs="Arial"/>
          <w:lang w:eastAsia="en-GB"/>
        </w:rPr>
      </w:pPr>
      <w:proofErr w:type="spellStart"/>
      <w:r w:rsidRPr="00AA7930">
        <w:rPr>
          <w:rFonts w:ascii="Arial" w:eastAsia="Times New Roman" w:hAnsi="Arial" w:cs="Arial"/>
          <w:lang w:eastAsia="en-GB"/>
        </w:rPr>
        <w:t>Masulis</w:t>
      </w:r>
      <w:proofErr w:type="spellEnd"/>
      <w:r w:rsidRPr="00AA7930">
        <w:rPr>
          <w:rFonts w:ascii="Arial" w:eastAsia="Times New Roman" w:hAnsi="Arial" w:cs="Arial"/>
          <w:lang w:eastAsia="en-GB"/>
        </w:rPr>
        <w:t xml:space="preserve">, R. W. (1980) </w:t>
      </w:r>
      <w:r w:rsidRPr="00AA7930">
        <w:rPr>
          <w:rFonts w:ascii="Arial" w:eastAsia="Times New Roman" w:hAnsi="Arial" w:cs="Arial"/>
          <w:i/>
          <w:iCs/>
          <w:lang w:eastAsia="en-GB"/>
        </w:rPr>
        <w:t>The Effects of Capital Structure Change on Security Prices: A Study of Exchange Offers</w:t>
      </w:r>
      <w:r w:rsidRPr="00AA7930">
        <w:rPr>
          <w:rFonts w:ascii="Arial" w:eastAsia="Times New Roman" w:hAnsi="Arial" w:cs="Arial"/>
          <w:lang w:eastAsia="en-GB"/>
        </w:rPr>
        <w:t xml:space="preserve">, </w:t>
      </w:r>
      <w:r w:rsidRPr="00AA7930">
        <w:rPr>
          <w:rFonts w:ascii="Arial" w:eastAsia="Times New Roman" w:hAnsi="Arial" w:cs="Arial"/>
          <w:i/>
          <w:iCs/>
          <w:lang w:eastAsia="en-GB"/>
        </w:rPr>
        <w:t>Ssrn.com</w:t>
      </w:r>
      <w:r w:rsidRPr="00AA7930">
        <w:rPr>
          <w:rFonts w:ascii="Arial" w:eastAsia="Times New Roman" w:hAnsi="Arial" w:cs="Arial"/>
          <w:lang w:eastAsia="en-GB"/>
        </w:rPr>
        <w:t>. Available at: https://ssrn.com/abstract=1542183 (Accessed: 8 December 2024).</w:t>
      </w:r>
    </w:p>
    <w:p w14:paraId="23C7E4BD" w14:textId="77777777" w:rsidR="00624506" w:rsidRPr="00AA7930" w:rsidRDefault="00624506" w:rsidP="00AA7930">
      <w:pPr>
        <w:spacing w:after="240" w:line="360" w:lineRule="auto"/>
        <w:rPr>
          <w:rFonts w:ascii="Arial" w:eastAsia="Times New Roman" w:hAnsi="Arial" w:cs="Arial"/>
          <w:lang w:eastAsia="en-GB"/>
        </w:rPr>
      </w:pPr>
    </w:p>
    <w:p w14:paraId="616850A6" w14:textId="21B4B929"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Mostafa, H. and </w:t>
      </w:r>
      <w:proofErr w:type="spellStart"/>
      <w:r w:rsidRPr="00AA7930">
        <w:rPr>
          <w:rFonts w:ascii="Arial" w:eastAsia="Times New Roman" w:hAnsi="Arial" w:cs="Arial"/>
          <w:lang w:eastAsia="en-GB"/>
        </w:rPr>
        <w:t>Boregowda</w:t>
      </w:r>
      <w:proofErr w:type="spellEnd"/>
      <w:r w:rsidRPr="00AA7930">
        <w:rPr>
          <w:rFonts w:ascii="Arial" w:eastAsia="Times New Roman" w:hAnsi="Arial" w:cs="Arial"/>
          <w:lang w:eastAsia="en-GB"/>
        </w:rPr>
        <w:t xml:space="preserve">, S. (2014) ‘A Brief Review of Capital Structure Theories’, </w:t>
      </w:r>
      <w:r w:rsidRPr="00AA7930">
        <w:rPr>
          <w:rFonts w:ascii="Arial" w:eastAsia="Times New Roman" w:hAnsi="Arial" w:cs="Arial"/>
          <w:i/>
          <w:iCs/>
          <w:lang w:eastAsia="en-GB"/>
        </w:rPr>
        <w:t>Research Journal of Recent Sciences</w:t>
      </w:r>
      <w:r w:rsidRPr="00AA7930">
        <w:rPr>
          <w:rFonts w:ascii="Arial" w:eastAsia="Times New Roman" w:hAnsi="Arial" w:cs="Arial"/>
          <w:lang w:eastAsia="en-GB"/>
        </w:rPr>
        <w:t xml:space="preserve">, 3(10), pp. 113–118. Available at: </w:t>
      </w:r>
      <w:hyperlink r:id="rId21" w:history="1">
        <w:r w:rsidR="004F0058" w:rsidRPr="00AA7930">
          <w:rPr>
            <w:rStyle w:val="Hyperlink"/>
            <w:rFonts w:ascii="Arial" w:eastAsia="Times New Roman" w:hAnsi="Arial" w:cs="Arial"/>
            <w:lang w:eastAsia="en-GB"/>
          </w:rPr>
          <w:t>https://www.isca.me/rjrs/archive/v3/i10/19.ISCA-RJRS-2013-772.pdf</w:t>
        </w:r>
      </w:hyperlink>
      <w:r w:rsidRPr="00AA7930">
        <w:rPr>
          <w:rFonts w:ascii="Arial" w:eastAsia="Times New Roman" w:hAnsi="Arial" w:cs="Arial"/>
          <w:lang w:eastAsia="en-GB"/>
        </w:rPr>
        <w:t>.</w:t>
      </w:r>
    </w:p>
    <w:p w14:paraId="5884D27A" w14:textId="77777777" w:rsidR="00624506" w:rsidRDefault="00624506" w:rsidP="00AA7930">
      <w:pPr>
        <w:spacing w:after="240" w:line="360" w:lineRule="auto"/>
        <w:rPr>
          <w:rFonts w:ascii="Arial" w:eastAsia="Times New Roman" w:hAnsi="Arial" w:cs="Arial"/>
          <w:lang w:eastAsia="en-GB"/>
        </w:rPr>
      </w:pPr>
    </w:p>
    <w:p w14:paraId="6BB4D47D" w14:textId="6C8F43F2" w:rsidR="00624506" w:rsidRDefault="00FA2AB0" w:rsidP="005A73C5">
      <w:pPr>
        <w:spacing w:after="240" w:line="360" w:lineRule="auto"/>
        <w:rPr>
          <w:rFonts w:ascii="Arial" w:eastAsia="Times New Roman" w:hAnsi="Arial" w:cs="Arial"/>
          <w:lang w:eastAsia="en-GB"/>
        </w:rPr>
      </w:pPr>
      <w:r>
        <w:rPr>
          <w:rFonts w:ascii="Arial" w:eastAsia="Times New Roman" w:hAnsi="Arial" w:cs="Arial"/>
          <w:lang w:eastAsia="en-GB"/>
        </w:rPr>
        <w:t xml:space="preserve">Morgan Advanced Material (2023) </w:t>
      </w:r>
      <w:r>
        <w:rPr>
          <w:rFonts w:ascii="Arial" w:eastAsia="Times New Roman" w:hAnsi="Arial" w:cs="Arial"/>
          <w:i/>
          <w:iCs/>
          <w:lang w:eastAsia="en-GB"/>
        </w:rPr>
        <w:t xml:space="preserve">Morgan Advanced Material Annual Report and Form 20-F Information 2023 </w:t>
      </w:r>
      <w:r>
        <w:rPr>
          <w:rFonts w:ascii="Arial" w:eastAsia="Times New Roman" w:hAnsi="Arial" w:cs="Arial"/>
          <w:lang w:eastAsia="en-GB"/>
        </w:rPr>
        <w:t xml:space="preserve">Available at </w:t>
      </w:r>
      <w:r w:rsidR="005A73C5">
        <w:rPr>
          <w:rFonts w:ascii="Arial" w:eastAsia="Times New Roman" w:hAnsi="Arial" w:cs="Arial"/>
          <w:lang w:eastAsia="en-GB"/>
        </w:rPr>
        <w:t>Morgan Advanced Material (202</w:t>
      </w:r>
      <w:r w:rsidR="00E824E9">
        <w:rPr>
          <w:rFonts w:ascii="Arial" w:eastAsia="Times New Roman" w:hAnsi="Arial" w:cs="Arial"/>
          <w:lang w:eastAsia="en-GB"/>
        </w:rPr>
        <w:t>3</w:t>
      </w:r>
      <w:r w:rsidR="005A73C5">
        <w:rPr>
          <w:rFonts w:ascii="Arial" w:eastAsia="Times New Roman" w:hAnsi="Arial" w:cs="Arial"/>
          <w:lang w:eastAsia="en-GB"/>
        </w:rPr>
        <w:t xml:space="preserve">) </w:t>
      </w:r>
      <w:r w:rsidR="005A73C5">
        <w:rPr>
          <w:rFonts w:ascii="Arial" w:eastAsia="Times New Roman" w:hAnsi="Arial" w:cs="Arial"/>
          <w:i/>
          <w:iCs/>
          <w:lang w:eastAsia="en-GB"/>
        </w:rPr>
        <w:t xml:space="preserve">Morgan Advanced Material </w:t>
      </w:r>
      <w:r w:rsidR="005A73C5">
        <w:rPr>
          <w:rFonts w:ascii="Arial" w:eastAsia="Times New Roman" w:hAnsi="Arial" w:cs="Arial"/>
          <w:i/>
          <w:iCs/>
          <w:lang w:eastAsia="en-GB"/>
        </w:rPr>
        <w:lastRenderedPageBreak/>
        <w:t>Annual Report and Form 20-F Information 202</w:t>
      </w:r>
      <w:r w:rsidR="005025A9">
        <w:rPr>
          <w:rFonts w:ascii="Arial" w:eastAsia="Times New Roman" w:hAnsi="Arial" w:cs="Arial"/>
          <w:i/>
          <w:iCs/>
          <w:lang w:eastAsia="en-GB"/>
        </w:rPr>
        <w:t>3</w:t>
      </w:r>
      <w:r w:rsidR="005A73C5">
        <w:rPr>
          <w:rFonts w:ascii="Arial" w:eastAsia="Times New Roman" w:hAnsi="Arial" w:cs="Arial"/>
          <w:i/>
          <w:iCs/>
          <w:lang w:eastAsia="en-GB"/>
        </w:rPr>
        <w:t xml:space="preserve"> </w:t>
      </w:r>
      <w:r w:rsidR="005A73C5">
        <w:rPr>
          <w:rFonts w:ascii="Arial" w:eastAsia="Times New Roman" w:hAnsi="Arial" w:cs="Arial"/>
          <w:lang w:eastAsia="en-GB"/>
        </w:rPr>
        <w:t xml:space="preserve">Available at </w:t>
      </w:r>
      <w:hyperlink r:id="rId22" w:history="1">
        <w:r w:rsidR="00624506" w:rsidRPr="0002031A">
          <w:rPr>
            <w:rStyle w:val="Hyperlink"/>
            <w:rFonts w:ascii="Arial" w:eastAsia="Times New Roman" w:hAnsi="Arial" w:cs="Arial"/>
            <w:lang w:eastAsia="en-GB"/>
          </w:rPr>
          <w:t>https://www.annualreports.com/HostedData/AnnualReports/PDF/LSE_MGAM_2023.pdf</w:t>
        </w:r>
      </w:hyperlink>
    </w:p>
    <w:p w14:paraId="135F6B18" w14:textId="4F2E8FBA" w:rsidR="005A73C5" w:rsidRDefault="005025A9" w:rsidP="005A73C5">
      <w:pPr>
        <w:spacing w:after="240" w:line="360" w:lineRule="auto"/>
        <w:rPr>
          <w:rFonts w:ascii="Arial" w:eastAsia="Times New Roman" w:hAnsi="Arial" w:cs="Arial"/>
          <w:lang w:eastAsia="en-GB"/>
        </w:rPr>
      </w:pPr>
      <w:r>
        <w:rPr>
          <w:rFonts w:ascii="Arial" w:eastAsia="Times New Roman" w:hAnsi="Arial" w:cs="Arial"/>
          <w:lang w:eastAsia="en-GB"/>
        </w:rPr>
        <w:t>(</w:t>
      </w:r>
      <w:r w:rsidR="005A73C5">
        <w:rPr>
          <w:rFonts w:ascii="Arial" w:eastAsia="Times New Roman" w:hAnsi="Arial" w:cs="Arial"/>
          <w:lang w:eastAsia="en-GB"/>
        </w:rPr>
        <w:t xml:space="preserve">Accessed </w:t>
      </w:r>
      <w:r w:rsidR="00C8297E">
        <w:rPr>
          <w:rFonts w:ascii="Arial" w:eastAsia="Times New Roman" w:hAnsi="Arial" w:cs="Arial"/>
          <w:lang w:eastAsia="en-GB"/>
        </w:rPr>
        <w:t>on</w:t>
      </w:r>
      <w:r w:rsidR="005A73C5">
        <w:rPr>
          <w:rFonts w:ascii="Arial" w:eastAsia="Times New Roman" w:hAnsi="Arial" w:cs="Arial"/>
          <w:lang w:eastAsia="en-GB"/>
        </w:rPr>
        <w:t xml:space="preserve"> 4 March 2024).</w:t>
      </w:r>
    </w:p>
    <w:p w14:paraId="72FA1928" w14:textId="77777777" w:rsidR="006B0010" w:rsidRDefault="006B0010" w:rsidP="005A73C5">
      <w:pPr>
        <w:spacing w:after="240" w:line="360" w:lineRule="auto"/>
        <w:rPr>
          <w:rFonts w:ascii="Arial" w:eastAsia="Times New Roman" w:hAnsi="Arial" w:cs="Arial"/>
          <w:lang w:eastAsia="en-GB"/>
        </w:rPr>
      </w:pPr>
    </w:p>
    <w:p w14:paraId="4EE4B8DF" w14:textId="77777777" w:rsidR="006B0010" w:rsidRDefault="006B0010" w:rsidP="006B0010">
      <w:pPr>
        <w:spacing w:after="240" w:line="360" w:lineRule="auto"/>
        <w:rPr>
          <w:rFonts w:ascii="Arial" w:eastAsia="Times New Roman" w:hAnsi="Arial" w:cs="Arial"/>
          <w:lang w:eastAsia="en-GB"/>
        </w:rPr>
      </w:pPr>
    </w:p>
    <w:p w14:paraId="7157E825" w14:textId="77777777" w:rsidR="006B0010" w:rsidRDefault="006B0010" w:rsidP="006B0010">
      <w:pPr>
        <w:spacing w:after="240" w:line="360" w:lineRule="auto"/>
        <w:rPr>
          <w:rFonts w:ascii="Arial" w:eastAsia="Times New Roman" w:hAnsi="Arial" w:cs="Arial"/>
          <w:lang w:eastAsia="en-GB"/>
        </w:rPr>
      </w:pPr>
    </w:p>
    <w:p w14:paraId="086EB533" w14:textId="01673CDD" w:rsidR="006B0010" w:rsidRDefault="006B0010" w:rsidP="006B0010">
      <w:pPr>
        <w:spacing w:after="240" w:line="360" w:lineRule="auto"/>
        <w:rPr>
          <w:rFonts w:ascii="Arial" w:eastAsia="Times New Roman" w:hAnsi="Arial" w:cs="Arial"/>
          <w:lang w:eastAsia="en-GB"/>
        </w:rPr>
      </w:pPr>
      <w:r>
        <w:rPr>
          <w:rFonts w:ascii="Arial" w:eastAsia="Times New Roman" w:hAnsi="Arial" w:cs="Arial"/>
          <w:lang w:eastAsia="en-GB"/>
        </w:rPr>
        <w:t>Morgan Advanced Material (202</w:t>
      </w:r>
      <w:r w:rsidR="00307FD1">
        <w:rPr>
          <w:rFonts w:ascii="Arial" w:eastAsia="Times New Roman" w:hAnsi="Arial" w:cs="Arial"/>
          <w:lang w:eastAsia="en-GB"/>
        </w:rPr>
        <w:t>1</w:t>
      </w:r>
      <w:r>
        <w:rPr>
          <w:rFonts w:ascii="Arial" w:eastAsia="Times New Roman" w:hAnsi="Arial" w:cs="Arial"/>
          <w:lang w:eastAsia="en-GB"/>
        </w:rPr>
        <w:t xml:space="preserve">) </w:t>
      </w:r>
      <w:r>
        <w:rPr>
          <w:rFonts w:ascii="Arial" w:eastAsia="Times New Roman" w:hAnsi="Arial" w:cs="Arial"/>
          <w:i/>
          <w:iCs/>
          <w:lang w:eastAsia="en-GB"/>
        </w:rPr>
        <w:t>Morgan Advanced Material Annual Report and Form 20-F Information 202</w:t>
      </w:r>
      <w:r w:rsidR="00307FD1">
        <w:rPr>
          <w:rFonts w:ascii="Arial" w:eastAsia="Times New Roman" w:hAnsi="Arial" w:cs="Arial"/>
          <w:i/>
          <w:iCs/>
          <w:lang w:eastAsia="en-GB"/>
        </w:rPr>
        <w:t>1</w:t>
      </w:r>
      <w:r>
        <w:rPr>
          <w:rFonts w:ascii="Arial" w:eastAsia="Times New Roman" w:hAnsi="Arial" w:cs="Arial"/>
          <w:i/>
          <w:iCs/>
          <w:lang w:eastAsia="en-GB"/>
        </w:rPr>
        <w:t xml:space="preserve"> </w:t>
      </w:r>
      <w:r>
        <w:rPr>
          <w:rFonts w:ascii="Arial" w:eastAsia="Times New Roman" w:hAnsi="Arial" w:cs="Arial"/>
          <w:lang w:eastAsia="en-GB"/>
        </w:rPr>
        <w:t xml:space="preserve">Available at </w:t>
      </w:r>
      <w:r w:rsidR="009046B0" w:rsidRPr="009046B0">
        <w:rPr>
          <w:rFonts w:ascii="Arial" w:eastAsia="Times New Roman" w:hAnsi="Arial" w:cs="Arial"/>
          <w:lang w:eastAsia="en-GB"/>
        </w:rPr>
        <w:t>https://www.annualreports.com/HostedData/AnnualReportArchive/M/LSE_MGAM_2021.pdf</w:t>
      </w:r>
    </w:p>
    <w:p w14:paraId="1A2A1A94" w14:textId="27DD9C65" w:rsidR="006B0010" w:rsidRPr="00AA7930" w:rsidRDefault="009046B0" w:rsidP="006B0010">
      <w:pPr>
        <w:spacing w:after="240" w:line="360" w:lineRule="auto"/>
        <w:rPr>
          <w:rFonts w:ascii="Arial" w:eastAsia="Times New Roman" w:hAnsi="Arial" w:cs="Arial"/>
          <w:lang w:eastAsia="en-GB"/>
        </w:rPr>
      </w:pPr>
      <w:r>
        <w:rPr>
          <w:rFonts w:ascii="Arial" w:eastAsia="Times New Roman" w:hAnsi="Arial" w:cs="Arial"/>
          <w:lang w:eastAsia="en-GB"/>
        </w:rPr>
        <w:t>(</w:t>
      </w:r>
      <w:r w:rsidR="006B0010">
        <w:rPr>
          <w:rFonts w:ascii="Arial" w:eastAsia="Times New Roman" w:hAnsi="Arial" w:cs="Arial"/>
          <w:lang w:eastAsia="en-GB"/>
        </w:rPr>
        <w:t>Accessed on 4 March 2024).</w:t>
      </w:r>
    </w:p>
    <w:p w14:paraId="504BD672" w14:textId="77777777" w:rsidR="006B0010" w:rsidRPr="00AA7930" w:rsidRDefault="006B0010" w:rsidP="005A73C5">
      <w:pPr>
        <w:spacing w:after="240" w:line="360" w:lineRule="auto"/>
        <w:rPr>
          <w:rFonts w:ascii="Arial" w:eastAsia="Times New Roman" w:hAnsi="Arial" w:cs="Arial"/>
          <w:lang w:eastAsia="en-GB"/>
        </w:rPr>
      </w:pPr>
    </w:p>
    <w:p w14:paraId="381BB3E7" w14:textId="7556B9C8" w:rsidR="00801FA0" w:rsidRDefault="00FC42CF" w:rsidP="00AA7930">
      <w:pPr>
        <w:spacing w:after="240" w:line="360" w:lineRule="auto"/>
        <w:rPr>
          <w:rFonts w:ascii="Arial" w:eastAsia="Times New Roman" w:hAnsi="Arial" w:cs="Arial"/>
          <w:lang w:eastAsia="en-GB"/>
        </w:rPr>
      </w:pPr>
      <w:r>
        <w:rPr>
          <w:rFonts w:ascii="Arial" w:eastAsia="Times New Roman" w:hAnsi="Arial" w:cs="Arial"/>
          <w:lang w:eastAsia="en-GB"/>
        </w:rPr>
        <w:t>Morgan Advanced Material (202</w:t>
      </w:r>
      <w:r w:rsidR="00BA49C3">
        <w:rPr>
          <w:rFonts w:ascii="Arial" w:eastAsia="Times New Roman" w:hAnsi="Arial" w:cs="Arial"/>
          <w:lang w:eastAsia="en-GB"/>
        </w:rPr>
        <w:t>0</w:t>
      </w:r>
      <w:r w:rsidR="00741DFF">
        <w:rPr>
          <w:rFonts w:ascii="Arial" w:eastAsia="Times New Roman" w:hAnsi="Arial" w:cs="Arial"/>
          <w:lang w:eastAsia="en-GB"/>
        </w:rPr>
        <w:t>)</w:t>
      </w:r>
      <w:r w:rsidR="00A65CD2">
        <w:rPr>
          <w:rFonts w:ascii="Arial" w:eastAsia="Times New Roman" w:hAnsi="Arial" w:cs="Arial"/>
          <w:lang w:eastAsia="en-GB"/>
        </w:rPr>
        <w:t xml:space="preserve"> </w:t>
      </w:r>
      <w:r w:rsidR="00A65CD2">
        <w:rPr>
          <w:rFonts w:ascii="Arial" w:eastAsia="Times New Roman" w:hAnsi="Arial" w:cs="Arial"/>
          <w:i/>
          <w:iCs/>
          <w:lang w:eastAsia="en-GB"/>
        </w:rPr>
        <w:t>Morgan Advanced Material Annual Report</w:t>
      </w:r>
      <w:r w:rsidR="00576CF6">
        <w:rPr>
          <w:rFonts w:ascii="Arial" w:eastAsia="Times New Roman" w:hAnsi="Arial" w:cs="Arial"/>
          <w:i/>
          <w:iCs/>
          <w:lang w:eastAsia="en-GB"/>
        </w:rPr>
        <w:t xml:space="preserve"> and Form 20-F Information 202</w:t>
      </w:r>
      <w:r w:rsidR="00BA49C3">
        <w:rPr>
          <w:rFonts w:ascii="Arial" w:eastAsia="Times New Roman" w:hAnsi="Arial" w:cs="Arial"/>
          <w:i/>
          <w:iCs/>
          <w:lang w:eastAsia="en-GB"/>
        </w:rPr>
        <w:t>0</w:t>
      </w:r>
      <w:r w:rsidR="00676721">
        <w:rPr>
          <w:rFonts w:ascii="Arial" w:eastAsia="Times New Roman" w:hAnsi="Arial" w:cs="Arial"/>
          <w:i/>
          <w:iCs/>
          <w:lang w:eastAsia="en-GB"/>
        </w:rPr>
        <w:t xml:space="preserve"> </w:t>
      </w:r>
      <w:r w:rsidR="00676721">
        <w:rPr>
          <w:rFonts w:ascii="Arial" w:eastAsia="Times New Roman" w:hAnsi="Arial" w:cs="Arial"/>
          <w:lang w:eastAsia="en-GB"/>
        </w:rPr>
        <w:t>Available at</w:t>
      </w:r>
      <w:r w:rsidR="0060651D">
        <w:rPr>
          <w:rFonts w:ascii="Arial" w:eastAsia="Times New Roman" w:hAnsi="Arial" w:cs="Arial"/>
          <w:lang w:eastAsia="en-GB"/>
        </w:rPr>
        <w:t xml:space="preserve"> </w:t>
      </w:r>
      <w:hyperlink r:id="rId23" w:history="1">
        <w:r w:rsidR="00801FA0" w:rsidRPr="0002031A">
          <w:rPr>
            <w:rStyle w:val="Hyperlink"/>
            <w:rFonts w:ascii="Arial" w:eastAsia="Times New Roman" w:hAnsi="Arial" w:cs="Arial"/>
            <w:lang w:eastAsia="en-GB"/>
          </w:rPr>
          <w:t>https://www.annualreports.com/HostedData/AnnualReportArchive/M/LSE_MGAM_2020.pdf</w:t>
        </w:r>
      </w:hyperlink>
    </w:p>
    <w:p w14:paraId="77535D5C" w14:textId="7135CD8E" w:rsidR="009C3EC3" w:rsidRDefault="0060651D" w:rsidP="00AA7930">
      <w:pPr>
        <w:spacing w:after="240" w:line="360" w:lineRule="auto"/>
        <w:rPr>
          <w:rFonts w:ascii="Arial" w:eastAsia="Times New Roman" w:hAnsi="Arial" w:cs="Arial"/>
          <w:lang w:eastAsia="en-GB"/>
        </w:rPr>
      </w:pPr>
      <w:r>
        <w:rPr>
          <w:rFonts w:ascii="Arial" w:eastAsia="Times New Roman" w:hAnsi="Arial" w:cs="Arial"/>
          <w:lang w:eastAsia="en-GB"/>
        </w:rPr>
        <w:t>(Acces</w:t>
      </w:r>
      <w:r w:rsidR="00127CB6">
        <w:rPr>
          <w:rFonts w:ascii="Arial" w:eastAsia="Times New Roman" w:hAnsi="Arial" w:cs="Arial"/>
          <w:lang w:eastAsia="en-GB"/>
        </w:rPr>
        <w:t>s</w:t>
      </w:r>
      <w:r>
        <w:rPr>
          <w:rFonts w:ascii="Arial" w:eastAsia="Times New Roman" w:hAnsi="Arial" w:cs="Arial"/>
          <w:lang w:eastAsia="en-GB"/>
        </w:rPr>
        <w:t>ed</w:t>
      </w:r>
      <w:r w:rsidR="00127CB6">
        <w:rPr>
          <w:rFonts w:ascii="Arial" w:eastAsia="Times New Roman" w:hAnsi="Arial" w:cs="Arial"/>
          <w:lang w:eastAsia="en-GB"/>
        </w:rPr>
        <w:t xml:space="preserve"> </w:t>
      </w:r>
      <w:r w:rsidR="00C8297E">
        <w:rPr>
          <w:rFonts w:ascii="Arial" w:eastAsia="Times New Roman" w:hAnsi="Arial" w:cs="Arial"/>
          <w:lang w:eastAsia="en-GB"/>
        </w:rPr>
        <w:t>on</w:t>
      </w:r>
      <w:r w:rsidR="00127CB6">
        <w:rPr>
          <w:rFonts w:ascii="Arial" w:eastAsia="Times New Roman" w:hAnsi="Arial" w:cs="Arial"/>
          <w:lang w:eastAsia="en-GB"/>
        </w:rPr>
        <w:t xml:space="preserve"> 4 March 2024)</w:t>
      </w:r>
      <w:r w:rsidR="00DF537B">
        <w:rPr>
          <w:rFonts w:ascii="Arial" w:eastAsia="Times New Roman" w:hAnsi="Arial" w:cs="Arial"/>
          <w:lang w:eastAsia="en-GB"/>
        </w:rPr>
        <w:t>.</w:t>
      </w:r>
    </w:p>
    <w:p w14:paraId="5D2F1383" w14:textId="77777777" w:rsidR="00B77811" w:rsidRPr="00AA7930" w:rsidRDefault="00B77811" w:rsidP="00AA7930">
      <w:pPr>
        <w:spacing w:after="240" w:line="360" w:lineRule="auto"/>
        <w:rPr>
          <w:rFonts w:ascii="Arial" w:eastAsia="Times New Roman" w:hAnsi="Arial" w:cs="Arial"/>
          <w:lang w:eastAsia="en-GB"/>
        </w:rPr>
      </w:pPr>
    </w:p>
    <w:p w14:paraId="46E090BB" w14:textId="0DF6CB3B" w:rsidR="00770C8A" w:rsidRDefault="00770C8A" w:rsidP="00770C8A">
      <w:pPr>
        <w:spacing w:after="240" w:line="360" w:lineRule="auto"/>
        <w:rPr>
          <w:rFonts w:ascii="Arial" w:eastAsia="Times New Roman" w:hAnsi="Arial" w:cs="Arial"/>
          <w:lang w:eastAsia="en-GB"/>
        </w:rPr>
      </w:pPr>
      <w:r>
        <w:rPr>
          <w:rFonts w:ascii="Arial" w:eastAsia="Times New Roman" w:hAnsi="Arial" w:cs="Arial"/>
          <w:lang w:eastAsia="en-GB"/>
        </w:rPr>
        <w:t>Morgan Advanced Material (20</w:t>
      </w:r>
      <w:r w:rsidR="00C8297E">
        <w:rPr>
          <w:rFonts w:ascii="Arial" w:eastAsia="Times New Roman" w:hAnsi="Arial" w:cs="Arial"/>
          <w:lang w:eastAsia="en-GB"/>
        </w:rPr>
        <w:t>19</w:t>
      </w:r>
      <w:r>
        <w:rPr>
          <w:rFonts w:ascii="Arial" w:eastAsia="Times New Roman" w:hAnsi="Arial" w:cs="Arial"/>
          <w:lang w:eastAsia="en-GB"/>
        </w:rPr>
        <w:t xml:space="preserve">) </w:t>
      </w:r>
      <w:r>
        <w:rPr>
          <w:rFonts w:ascii="Arial" w:eastAsia="Times New Roman" w:hAnsi="Arial" w:cs="Arial"/>
          <w:i/>
          <w:iCs/>
          <w:lang w:eastAsia="en-GB"/>
        </w:rPr>
        <w:t>Morgan Advanced Material Annual Report and Form 20-F Information 20</w:t>
      </w:r>
      <w:r w:rsidR="000F70EA">
        <w:rPr>
          <w:rFonts w:ascii="Arial" w:eastAsia="Times New Roman" w:hAnsi="Arial" w:cs="Arial"/>
          <w:i/>
          <w:iCs/>
          <w:lang w:eastAsia="en-GB"/>
        </w:rPr>
        <w:t>19</w:t>
      </w:r>
      <w:r>
        <w:rPr>
          <w:rFonts w:ascii="Arial" w:eastAsia="Times New Roman" w:hAnsi="Arial" w:cs="Arial"/>
          <w:i/>
          <w:iCs/>
          <w:lang w:eastAsia="en-GB"/>
        </w:rPr>
        <w:t xml:space="preserve"> </w:t>
      </w:r>
      <w:r>
        <w:rPr>
          <w:rFonts w:ascii="Arial" w:eastAsia="Times New Roman" w:hAnsi="Arial" w:cs="Arial"/>
          <w:lang w:eastAsia="en-GB"/>
        </w:rPr>
        <w:t xml:space="preserve">Available at </w:t>
      </w:r>
      <w:r w:rsidR="00C8297E" w:rsidRPr="00C8297E">
        <w:rPr>
          <w:rFonts w:ascii="Arial" w:eastAsia="Times New Roman" w:hAnsi="Arial" w:cs="Arial"/>
          <w:lang w:eastAsia="en-GB"/>
        </w:rPr>
        <w:t>https://www.annualreports.com/HostedData/AnnualReportArchive/M/LSE_MGAM_2019.pdf</w:t>
      </w:r>
      <w:r>
        <w:rPr>
          <w:rFonts w:ascii="Arial" w:eastAsia="Times New Roman" w:hAnsi="Arial" w:cs="Arial"/>
          <w:lang w:eastAsia="en-GB"/>
        </w:rPr>
        <w:t xml:space="preserve"> (Accessed </w:t>
      </w:r>
      <w:r w:rsidR="00C8297E">
        <w:rPr>
          <w:rFonts w:ascii="Arial" w:eastAsia="Times New Roman" w:hAnsi="Arial" w:cs="Arial"/>
          <w:lang w:eastAsia="en-GB"/>
        </w:rPr>
        <w:t>on</w:t>
      </w:r>
      <w:r>
        <w:rPr>
          <w:rFonts w:ascii="Arial" w:eastAsia="Times New Roman" w:hAnsi="Arial" w:cs="Arial"/>
          <w:lang w:eastAsia="en-GB"/>
        </w:rPr>
        <w:t xml:space="preserve"> 4 March 2024).</w:t>
      </w:r>
    </w:p>
    <w:p w14:paraId="1E58D206" w14:textId="77777777" w:rsidR="00C8297E" w:rsidRDefault="00C8297E" w:rsidP="00770C8A">
      <w:pPr>
        <w:spacing w:after="240" w:line="360" w:lineRule="auto"/>
        <w:rPr>
          <w:rFonts w:ascii="Arial" w:eastAsia="Times New Roman" w:hAnsi="Arial" w:cs="Arial"/>
          <w:lang w:eastAsia="en-GB"/>
        </w:rPr>
      </w:pPr>
    </w:p>
    <w:p w14:paraId="279630DD" w14:textId="2354517B" w:rsidR="00484380" w:rsidRDefault="00C8297E" w:rsidP="00C8297E">
      <w:pPr>
        <w:spacing w:after="240" w:line="360" w:lineRule="auto"/>
        <w:rPr>
          <w:rFonts w:ascii="Arial" w:eastAsia="Times New Roman" w:hAnsi="Arial" w:cs="Arial"/>
          <w:lang w:eastAsia="en-GB"/>
        </w:rPr>
      </w:pPr>
      <w:r>
        <w:rPr>
          <w:rFonts w:ascii="Arial" w:eastAsia="Times New Roman" w:hAnsi="Arial" w:cs="Arial"/>
          <w:lang w:eastAsia="en-GB"/>
        </w:rPr>
        <w:t xml:space="preserve">Morgan Advanced Material (2017) </w:t>
      </w:r>
      <w:r>
        <w:rPr>
          <w:rFonts w:ascii="Arial" w:eastAsia="Times New Roman" w:hAnsi="Arial" w:cs="Arial"/>
          <w:i/>
          <w:iCs/>
          <w:lang w:eastAsia="en-GB"/>
        </w:rPr>
        <w:t xml:space="preserve">Morgan Advanced Material Annual Report and Form 20-F Information 2017 </w:t>
      </w:r>
      <w:r>
        <w:rPr>
          <w:rFonts w:ascii="Arial" w:eastAsia="Times New Roman" w:hAnsi="Arial" w:cs="Arial"/>
          <w:lang w:eastAsia="en-GB"/>
        </w:rPr>
        <w:t xml:space="preserve">Available at </w:t>
      </w:r>
      <w:hyperlink r:id="rId24" w:history="1">
        <w:r w:rsidR="00484380" w:rsidRPr="0002031A">
          <w:rPr>
            <w:rStyle w:val="Hyperlink"/>
            <w:rFonts w:ascii="Arial" w:eastAsia="Times New Roman" w:hAnsi="Arial" w:cs="Arial"/>
            <w:lang w:eastAsia="en-GB"/>
          </w:rPr>
          <w:t>https://www.annualreports.com/HostedData/AnnualReportArchive/M/LSE_MGAM_2017.pdf</w:t>
        </w:r>
      </w:hyperlink>
    </w:p>
    <w:p w14:paraId="2F5A76A2" w14:textId="6CEEFE14" w:rsidR="00C8297E" w:rsidRDefault="00C8297E" w:rsidP="00C8297E">
      <w:pPr>
        <w:spacing w:after="240" w:line="360" w:lineRule="auto"/>
        <w:rPr>
          <w:rFonts w:ascii="Arial" w:eastAsia="Times New Roman" w:hAnsi="Arial" w:cs="Arial"/>
          <w:lang w:eastAsia="en-GB"/>
        </w:rPr>
      </w:pPr>
      <w:r>
        <w:rPr>
          <w:rFonts w:ascii="Arial" w:eastAsia="Times New Roman" w:hAnsi="Arial" w:cs="Arial"/>
          <w:lang w:eastAsia="en-GB"/>
        </w:rPr>
        <w:t>(Accessed on 4 March 2024).</w:t>
      </w:r>
    </w:p>
    <w:p w14:paraId="45273404" w14:textId="77777777" w:rsidR="00C8297E" w:rsidRDefault="00C8297E" w:rsidP="00C8297E">
      <w:pPr>
        <w:spacing w:after="240" w:line="360" w:lineRule="auto"/>
        <w:rPr>
          <w:rFonts w:ascii="Arial" w:eastAsia="Times New Roman" w:hAnsi="Arial" w:cs="Arial"/>
          <w:lang w:eastAsia="en-GB"/>
        </w:rPr>
      </w:pPr>
    </w:p>
    <w:p w14:paraId="28682C1D" w14:textId="772DB9A4" w:rsidR="00A3099C" w:rsidRDefault="00C8297E" w:rsidP="00C8297E">
      <w:pPr>
        <w:spacing w:after="240" w:line="360" w:lineRule="auto"/>
        <w:rPr>
          <w:rFonts w:ascii="Arial" w:eastAsia="Times New Roman" w:hAnsi="Arial" w:cs="Arial"/>
          <w:lang w:eastAsia="en-GB"/>
        </w:rPr>
      </w:pPr>
      <w:r>
        <w:rPr>
          <w:rFonts w:ascii="Arial" w:eastAsia="Times New Roman" w:hAnsi="Arial" w:cs="Arial"/>
          <w:lang w:eastAsia="en-GB"/>
        </w:rPr>
        <w:lastRenderedPageBreak/>
        <w:t>Morgan Advanced Material (201</w:t>
      </w:r>
      <w:r w:rsidR="00ED4B75">
        <w:rPr>
          <w:rFonts w:ascii="Arial" w:eastAsia="Times New Roman" w:hAnsi="Arial" w:cs="Arial"/>
          <w:lang w:eastAsia="en-GB"/>
        </w:rPr>
        <w:t>5</w:t>
      </w:r>
      <w:r>
        <w:rPr>
          <w:rFonts w:ascii="Arial" w:eastAsia="Times New Roman" w:hAnsi="Arial" w:cs="Arial"/>
          <w:lang w:eastAsia="en-GB"/>
        </w:rPr>
        <w:t xml:space="preserve">) </w:t>
      </w:r>
      <w:r>
        <w:rPr>
          <w:rFonts w:ascii="Arial" w:eastAsia="Times New Roman" w:hAnsi="Arial" w:cs="Arial"/>
          <w:i/>
          <w:iCs/>
          <w:lang w:eastAsia="en-GB"/>
        </w:rPr>
        <w:t xml:space="preserve">Morgan Advanced Material Annual Report and Form 20-F Information 2015 </w:t>
      </w:r>
      <w:r>
        <w:rPr>
          <w:rFonts w:ascii="Arial" w:eastAsia="Times New Roman" w:hAnsi="Arial" w:cs="Arial"/>
          <w:lang w:eastAsia="en-GB"/>
        </w:rPr>
        <w:t xml:space="preserve">Available at </w:t>
      </w:r>
      <w:hyperlink r:id="rId25" w:history="1">
        <w:r w:rsidR="00A3099C" w:rsidRPr="0002031A">
          <w:rPr>
            <w:rStyle w:val="Hyperlink"/>
            <w:rFonts w:ascii="Arial" w:eastAsia="Times New Roman" w:hAnsi="Arial" w:cs="Arial"/>
            <w:lang w:eastAsia="en-GB"/>
          </w:rPr>
          <w:t>https://www.annualreports.com/HostedData/AnnualReportArchive/M/LSE_MGAM_2015.pdf</w:t>
        </w:r>
      </w:hyperlink>
    </w:p>
    <w:p w14:paraId="262B2695" w14:textId="3501FD88" w:rsidR="00C8297E" w:rsidRDefault="00C8297E" w:rsidP="00C8297E">
      <w:pPr>
        <w:spacing w:after="240" w:line="360" w:lineRule="auto"/>
        <w:rPr>
          <w:rFonts w:ascii="Arial" w:eastAsia="Times New Roman" w:hAnsi="Arial" w:cs="Arial"/>
          <w:lang w:eastAsia="en-GB"/>
        </w:rPr>
      </w:pPr>
      <w:r>
        <w:rPr>
          <w:rFonts w:ascii="Arial" w:eastAsia="Times New Roman" w:hAnsi="Arial" w:cs="Arial"/>
          <w:lang w:eastAsia="en-GB"/>
        </w:rPr>
        <w:t xml:space="preserve">(Accessed </w:t>
      </w:r>
      <w:r w:rsidR="00ED4B75">
        <w:rPr>
          <w:rFonts w:ascii="Arial" w:eastAsia="Times New Roman" w:hAnsi="Arial" w:cs="Arial"/>
          <w:lang w:eastAsia="en-GB"/>
        </w:rPr>
        <w:t>on</w:t>
      </w:r>
      <w:r>
        <w:rPr>
          <w:rFonts w:ascii="Arial" w:eastAsia="Times New Roman" w:hAnsi="Arial" w:cs="Arial"/>
          <w:lang w:eastAsia="en-GB"/>
        </w:rPr>
        <w:t xml:space="preserve"> 4 March 2024).</w:t>
      </w:r>
    </w:p>
    <w:p w14:paraId="2027913E" w14:textId="77777777" w:rsidR="00C8297E" w:rsidRDefault="00C8297E" w:rsidP="00C8297E">
      <w:pPr>
        <w:spacing w:after="240" w:line="360" w:lineRule="auto"/>
        <w:rPr>
          <w:rFonts w:ascii="Arial" w:eastAsia="Times New Roman" w:hAnsi="Arial" w:cs="Arial"/>
          <w:lang w:eastAsia="en-GB"/>
        </w:rPr>
      </w:pPr>
    </w:p>
    <w:p w14:paraId="01A712F7" w14:textId="02709448" w:rsidR="00941F47" w:rsidRDefault="00C8297E" w:rsidP="00C8297E">
      <w:pPr>
        <w:spacing w:after="240" w:line="360" w:lineRule="auto"/>
        <w:rPr>
          <w:rFonts w:ascii="Arial" w:eastAsia="Times New Roman" w:hAnsi="Arial" w:cs="Arial"/>
          <w:lang w:eastAsia="en-GB"/>
        </w:rPr>
      </w:pPr>
      <w:r>
        <w:rPr>
          <w:rFonts w:ascii="Arial" w:eastAsia="Times New Roman" w:hAnsi="Arial" w:cs="Arial"/>
          <w:lang w:eastAsia="en-GB"/>
        </w:rPr>
        <w:t>Morgan Advanced Material (201</w:t>
      </w:r>
      <w:r w:rsidR="00ED4B75">
        <w:rPr>
          <w:rFonts w:ascii="Arial" w:eastAsia="Times New Roman" w:hAnsi="Arial" w:cs="Arial"/>
          <w:lang w:eastAsia="en-GB"/>
        </w:rPr>
        <w:t>3</w:t>
      </w:r>
      <w:r>
        <w:rPr>
          <w:rFonts w:ascii="Arial" w:eastAsia="Times New Roman" w:hAnsi="Arial" w:cs="Arial"/>
          <w:lang w:eastAsia="en-GB"/>
        </w:rPr>
        <w:t xml:space="preserve">) </w:t>
      </w:r>
      <w:r>
        <w:rPr>
          <w:rFonts w:ascii="Arial" w:eastAsia="Times New Roman" w:hAnsi="Arial" w:cs="Arial"/>
          <w:i/>
          <w:iCs/>
          <w:lang w:eastAsia="en-GB"/>
        </w:rPr>
        <w:t>Morgan Advanced Material Annual Report and Form 20-F Information 201</w:t>
      </w:r>
      <w:r w:rsidR="00ED4B75">
        <w:rPr>
          <w:rFonts w:ascii="Arial" w:eastAsia="Times New Roman" w:hAnsi="Arial" w:cs="Arial"/>
          <w:i/>
          <w:iCs/>
          <w:lang w:eastAsia="en-GB"/>
        </w:rPr>
        <w:t>3</w:t>
      </w:r>
      <w:r>
        <w:rPr>
          <w:rFonts w:ascii="Arial" w:eastAsia="Times New Roman" w:hAnsi="Arial" w:cs="Arial"/>
          <w:i/>
          <w:iCs/>
          <w:lang w:eastAsia="en-GB"/>
        </w:rPr>
        <w:t xml:space="preserve"> </w:t>
      </w:r>
      <w:r>
        <w:rPr>
          <w:rFonts w:ascii="Arial" w:eastAsia="Times New Roman" w:hAnsi="Arial" w:cs="Arial"/>
          <w:lang w:eastAsia="en-GB"/>
        </w:rPr>
        <w:t xml:space="preserve">Available at </w:t>
      </w:r>
      <w:hyperlink r:id="rId26" w:history="1">
        <w:r w:rsidR="00941F47" w:rsidRPr="0002031A">
          <w:rPr>
            <w:rStyle w:val="Hyperlink"/>
            <w:rFonts w:ascii="Arial" w:eastAsia="Times New Roman" w:hAnsi="Arial" w:cs="Arial"/>
            <w:lang w:eastAsia="en-GB"/>
          </w:rPr>
          <w:t>https://www.annualreports.com/HostedData/AnnualReportArchive/M/LSE_MGAM_2013.pdf</w:t>
        </w:r>
      </w:hyperlink>
    </w:p>
    <w:p w14:paraId="1D85EF85" w14:textId="49F2C61D" w:rsidR="00C8297E" w:rsidRDefault="00C8297E" w:rsidP="00C8297E">
      <w:pPr>
        <w:spacing w:after="240" w:line="360" w:lineRule="auto"/>
        <w:rPr>
          <w:rFonts w:ascii="Arial" w:eastAsia="Times New Roman" w:hAnsi="Arial" w:cs="Arial"/>
          <w:lang w:eastAsia="en-GB"/>
        </w:rPr>
      </w:pPr>
      <w:r>
        <w:rPr>
          <w:rFonts w:ascii="Arial" w:eastAsia="Times New Roman" w:hAnsi="Arial" w:cs="Arial"/>
          <w:lang w:eastAsia="en-GB"/>
        </w:rPr>
        <w:t xml:space="preserve">(Accessed </w:t>
      </w:r>
      <w:r w:rsidR="00ED4B75">
        <w:rPr>
          <w:rFonts w:ascii="Arial" w:eastAsia="Times New Roman" w:hAnsi="Arial" w:cs="Arial"/>
          <w:lang w:eastAsia="en-GB"/>
        </w:rPr>
        <w:t>on</w:t>
      </w:r>
      <w:r>
        <w:rPr>
          <w:rFonts w:ascii="Arial" w:eastAsia="Times New Roman" w:hAnsi="Arial" w:cs="Arial"/>
          <w:lang w:eastAsia="en-GB"/>
        </w:rPr>
        <w:t xml:space="preserve"> 4 March 2024).</w:t>
      </w:r>
    </w:p>
    <w:p w14:paraId="41EDB951" w14:textId="77777777" w:rsidR="00EE568B" w:rsidRDefault="00EE568B" w:rsidP="00AA7930">
      <w:pPr>
        <w:spacing w:after="240" w:line="360" w:lineRule="auto"/>
        <w:rPr>
          <w:rFonts w:ascii="Arial" w:eastAsia="Times New Roman" w:hAnsi="Arial" w:cs="Arial"/>
          <w:lang w:eastAsia="en-GB"/>
        </w:rPr>
      </w:pPr>
    </w:p>
    <w:p w14:paraId="79EAEA70" w14:textId="5AD53F64"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Myers, S. C. (1984) ‘The Capital Structure Puzzle’, </w:t>
      </w:r>
      <w:r w:rsidRPr="00AA7930">
        <w:rPr>
          <w:rFonts w:ascii="Arial" w:eastAsia="Times New Roman" w:hAnsi="Arial" w:cs="Arial"/>
          <w:i/>
          <w:iCs/>
          <w:lang w:eastAsia="en-GB"/>
        </w:rPr>
        <w:t>The Journal of Finance</w:t>
      </w:r>
      <w:r w:rsidRPr="00AA7930">
        <w:rPr>
          <w:rFonts w:ascii="Arial" w:eastAsia="Times New Roman" w:hAnsi="Arial" w:cs="Arial"/>
          <w:lang w:eastAsia="en-GB"/>
        </w:rPr>
        <w:t xml:space="preserve">, 39(3), pp. 574–592.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27" w:history="1">
        <w:r w:rsidR="00EE568B" w:rsidRPr="00AA7930">
          <w:rPr>
            <w:rStyle w:val="Hyperlink"/>
            <w:rFonts w:ascii="Arial" w:eastAsia="Times New Roman" w:hAnsi="Arial" w:cs="Arial"/>
            <w:lang w:eastAsia="en-GB"/>
          </w:rPr>
          <w:t>https://doi.org/10.1111/j.1540-6261.1984.tb03646.x</w:t>
        </w:r>
      </w:hyperlink>
      <w:r w:rsidRPr="00AA7930">
        <w:rPr>
          <w:rFonts w:ascii="Arial" w:eastAsia="Times New Roman" w:hAnsi="Arial" w:cs="Arial"/>
          <w:lang w:eastAsia="en-GB"/>
        </w:rPr>
        <w:t>.</w:t>
      </w:r>
    </w:p>
    <w:p w14:paraId="6AA304C3" w14:textId="77777777" w:rsidR="00EE568B" w:rsidRPr="00AA7930" w:rsidRDefault="00EE568B" w:rsidP="00AA7930">
      <w:pPr>
        <w:spacing w:after="240" w:line="360" w:lineRule="auto"/>
        <w:rPr>
          <w:rFonts w:ascii="Arial" w:eastAsia="Times New Roman" w:hAnsi="Arial" w:cs="Arial"/>
          <w:lang w:eastAsia="en-GB"/>
        </w:rPr>
      </w:pPr>
    </w:p>
    <w:p w14:paraId="4430B2D7" w14:textId="77777777"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Myers, S. C. (2001) ‘Capital Structure’, </w:t>
      </w:r>
      <w:r w:rsidRPr="00AA7930">
        <w:rPr>
          <w:rFonts w:ascii="Arial" w:eastAsia="Times New Roman" w:hAnsi="Arial" w:cs="Arial"/>
          <w:i/>
          <w:iCs/>
          <w:lang w:eastAsia="en-GB"/>
        </w:rPr>
        <w:t>Journal of Economic Perspectives</w:t>
      </w:r>
      <w:r w:rsidRPr="00AA7930">
        <w:rPr>
          <w:rFonts w:ascii="Arial" w:eastAsia="Times New Roman" w:hAnsi="Arial" w:cs="Arial"/>
          <w:lang w:eastAsia="en-GB"/>
        </w:rPr>
        <w:t>, 15(2), pp. 81–102.</w:t>
      </w:r>
    </w:p>
    <w:p w14:paraId="54EED441" w14:textId="77777777" w:rsidR="00EE568B" w:rsidRPr="00AA7930" w:rsidRDefault="00EE568B" w:rsidP="00AA7930">
      <w:pPr>
        <w:spacing w:after="240" w:line="360" w:lineRule="auto"/>
        <w:rPr>
          <w:rFonts w:ascii="Arial" w:eastAsia="Times New Roman" w:hAnsi="Arial" w:cs="Arial"/>
          <w:lang w:eastAsia="en-GB"/>
        </w:rPr>
      </w:pPr>
    </w:p>
    <w:p w14:paraId="1B49A82A" w14:textId="10030AAF"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Nhleko, A. S. and </w:t>
      </w:r>
      <w:proofErr w:type="spellStart"/>
      <w:r w:rsidRPr="00AA7930">
        <w:rPr>
          <w:rFonts w:ascii="Arial" w:eastAsia="Times New Roman" w:hAnsi="Arial" w:cs="Arial"/>
          <w:lang w:eastAsia="en-GB"/>
        </w:rPr>
        <w:t>Musingwini</w:t>
      </w:r>
      <w:proofErr w:type="spellEnd"/>
      <w:r w:rsidRPr="00AA7930">
        <w:rPr>
          <w:rFonts w:ascii="Arial" w:eastAsia="Times New Roman" w:hAnsi="Arial" w:cs="Arial"/>
          <w:lang w:eastAsia="en-GB"/>
        </w:rPr>
        <w:t xml:space="preserve">, C. (2016) ‘Estimating cost of equity in project discount rates: comparison of the Capital Asset Pricing Model and Gordon’s Wealth Growth Model’, </w:t>
      </w:r>
      <w:r w:rsidRPr="00AA7930">
        <w:rPr>
          <w:rFonts w:ascii="Arial" w:eastAsia="Times New Roman" w:hAnsi="Arial" w:cs="Arial"/>
          <w:i/>
          <w:iCs/>
          <w:lang w:eastAsia="en-GB"/>
        </w:rPr>
        <w:t>Journal of the Southern African Institute of Mining and Metallurgy</w:t>
      </w:r>
      <w:r w:rsidRPr="00AA7930">
        <w:rPr>
          <w:rFonts w:ascii="Arial" w:eastAsia="Times New Roman" w:hAnsi="Arial" w:cs="Arial"/>
          <w:lang w:eastAsia="en-GB"/>
        </w:rPr>
        <w:t xml:space="preserve">, 116(2).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28" w:history="1">
        <w:r w:rsidR="00EE568B" w:rsidRPr="00AA7930">
          <w:rPr>
            <w:rStyle w:val="Hyperlink"/>
            <w:rFonts w:ascii="Arial" w:eastAsia="Times New Roman" w:hAnsi="Arial" w:cs="Arial"/>
            <w:lang w:eastAsia="en-GB"/>
          </w:rPr>
          <w:t>https://doi.org/10.17159/2411-9717/2016/v116n3a1</w:t>
        </w:r>
      </w:hyperlink>
      <w:r w:rsidRPr="00AA7930">
        <w:rPr>
          <w:rFonts w:ascii="Arial" w:eastAsia="Times New Roman" w:hAnsi="Arial" w:cs="Arial"/>
          <w:lang w:eastAsia="en-GB"/>
        </w:rPr>
        <w:t>.</w:t>
      </w:r>
    </w:p>
    <w:p w14:paraId="7A4FA81D" w14:textId="77777777" w:rsidR="00EE568B" w:rsidRPr="00AA7930" w:rsidRDefault="00EE568B" w:rsidP="00AA7930">
      <w:pPr>
        <w:spacing w:after="240" w:line="360" w:lineRule="auto"/>
        <w:rPr>
          <w:rFonts w:ascii="Arial" w:eastAsia="Times New Roman" w:hAnsi="Arial" w:cs="Arial"/>
          <w:lang w:eastAsia="en-GB"/>
        </w:rPr>
      </w:pPr>
    </w:p>
    <w:p w14:paraId="73C526BA" w14:textId="77777777"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Ross, S. A. (1977) ‘The Determination of Financial Structure: The Incentive-Signalling Approach’, </w:t>
      </w:r>
      <w:r w:rsidRPr="00AA7930">
        <w:rPr>
          <w:rFonts w:ascii="Arial" w:eastAsia="Times New Roman" w:hAnsi="Arial" w:cs="Arial"/>
          <w:i/>
          <w:iCs/>
          <w:lang w:eastAsia="en-GB"/>
        </w:rPr>
        <w:t>The Bell Journal of Economics</w:t>
      </w:r>
      <w:r w:rsidRPr="00AA7930">
        <w:rPr>
          <w:rFonts w:ascii="Arial" w:eastAsia="Times New Roman" w:hAnsi="Arial" w:cs="Arial"/>
          <w:lang w:eastAsia="en-GB"/>
        </w:rPr>
        <w:t>, 8(1), pp. 23–40.</w:t>
      </w:r>
    </w:p>
    <w:p w14:paraId="404CF896" w14:textId="77777777" w:rsidR="00EE568B" w:rsidRPr="00AA7930" w:rsidRDefault="00EE568B" w:rsidP="00AA7930">
      <w:pPr>
        <w:spacing w:after="240" w:line="360" w:lineRule="auto"/>
        <w:rPr>
          <w:rFonts w:ascii="Arial" w:eastAsia="Times New Roman" w:hAnsi="Arial" w:cs="Arial"/>
          <w:lang w:eastAsia="en-GB"/>
        </w:rPr>
      </w:pPr>
    </w:p>
    <w:p w14:paraId="6D6B94BE" w14:textId="7BF5D09C"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t xml:space="preserve">Taggart, R. A. (1977) ‘A Model of Corporate Financing Decisions’, </w:t>
      </w:r>
      <w:r w:rsidRPr="00AA7930">
        <w:rPr>
          <w:rFonts w:ascii="Arial" w:eastAsia="Times New Roman" w:hAnsi="Arial" w:cs="Arial"/>
          <w:i/>
          <w:iCs/>
          <w:lang w:eastAsia="en-GB"/>
        </w:rPr>
        <w:t>The Journal of Finance</w:t>
      </w:r>
      <w:r w:rsidRPr="00AA7930">
        <w:rPr>
          <w:rFonts w:ascii="Arial" w:eastAsia="Times New Roman" w:hAnsi="Arial" w:cs="Arial"/>
          <w:lang w:eastAsia="en-GB"/>
        </w:rPr>
        <w:t xml:space="preserve">, 32(5), p. 1467. </w:t>
      </w:r>
      <w:proofErr w:type="spellStart"/>
      <w:r w:rsidRPr="00AA7930">
        <w:rPr>
          <w:rFonts w:ascii="Arial" w:eastAsia="Times New Roman" w:hAnsi="Arial" w:cs="Arial"/>
          <w:lang w:eastAsia="en-GB"/>
        </w:rPr>
        <w:t>doi</w:t>
      </w:r>
      <w:proofErr w:type="spellEnd"/>
      <w:r w:rsidRPr="00AA7930">
        <w:rPr>
          <w:rFonts w:ascii="Arial" w:eastAsia="Times New Roman" w:hAnsi="Arial" w:cs="Arial"/>
          <w:lang w:eastAsia="en-GB"/>
        </w:rPr>
        <w:t xml:space="preserve">: </w:t>
      </w:r>
      <w:hyperlink r:id="rId29" w:history="1">
        <w:r w:rsidR="00EE568B" w:rsidRPr="00AA7930">
          <w:rPr>
            <w:rStyle w:val="Hyperlink"/>
            <w:rFonts w:ascii="Arial" w:eastAsia="Times New Roman" w:hAnsi="Arial" w:cs="Arial"/>
            <w:lang w:eastAsia="en-GB"/>
          </w:rPr>
          <w:t>https://doi.org/10.2307/2326804</w:t>
        </w:r>
      </w:hyperlink>
      <w:r w:rsidRPr="00AA7930">
        <w:rPr>
          <w:rFonts w:ascii="Arial" w:eastAsia="Times New Roman" w:hAnsi="Arial" w:cs="Arial"/>
          <w:lang w:eastAsia="en-GB"/>
        </w:rPr>
        <w:t>.</w:t>
      </w:r>
    </w:p>
    <w:p w14:paraId="0A5E680A" w14:textId="77777777" w:rsidR="00EE568B" w:rsidRPr="00AA7930" w:rsidRDefault="00EE568B" w:rsidP="00AA7930">
      <w:pPr>
        <w:spacing w:after="240" w:line="360" w:lineRule="auto"/>
        <w:rPr>
          <w:rFonts w:ascii="Arial" w:eastAsia="Times New Roman" w:hAnsi="Arial" w:cs="Arial"/>
          <w:lang w:eastAsia="en-GB"/>
        </w:rPr>
      </w:pPr>
    </w:p>
    <w:p w14:paraId="533641DF" w14:textId="77777777" w:rsidR="00AA7930" w:rsidRDefault="00AA7930" w:rsidP="00AA7930">
      <w:pPr>
        <w:spacing w:after="240" w:line="360" w:lineRule="auto"/>
        <w:rPr>
          <w:rFonts w:ascii="Arial" w:eastAsia="Times New Roman" w:hAnsi="Arial" w:cs="Arial"/>
          <w:lang w:eastAsia="en-GB"/>
        </w:rPr>
      </w:pPr>
      <w:r w:rsidRPr="00AA7930">
        <w:rPr>
          <w:rFonts w:ascii="Arial" w:eastAsia="Times New Roman" w:hAnsi="Arial" w:cs="Arial"/>
          <w:lang w:eastAsia="en-GB"/>
        </w:rPr>
        <w:lastRenderedPageBreak/>
        <w:t xml:space="preserve">Wald, J. K. (1999) ‘How Firm Characteristics Affect Capital Structure: An International Comparison’, </w:t>
      </w:r>
      <w:r w:rsidRPr="00AA7930">
        <w:rPr>
          <w:rFonts w:ascii="Arial" w:eastAsia="Times New Roman" w:hAnsi="Arial" w:cs="Arial"/>
          <w:i/>
          <w:iCs/>
          <w:lang w:eastAsia="en-GB"/>
        </w:rPr>
        <w:t>Journal of Financial Research</w:t>
      </w:r>
      <w:r w:rsidRPr="00AA7930">
        <w:rPr>
          <w:rFonts w:ascii="Arial" w:eastAsia="Times New Roman" w:hAnsi="Arial" w:cs="Arial"/>
          <w:lang w:eastAsia="en-GB"/>
        </w:rPr>
        <w:t>, 22(2), pp. 161–187.</w:t>
      </w:r>
    </w:p>
    <w:p w14:paraId="0EC12F4E" w14:textId="77777777" w:rsidR="00222E73" w:rsidRDefault="00222E73" w:rsidP="00AA7930">
      <w:pPr>
        <w:spacing w:after="240" w:line="360" w:lineRule="auto"/>
        <w:rPr>
          <w:rFonts w:ascii="Arial" w:eastAsia="Times New Roman" w:hAnsi="Arial" w:cs="Arial"/>
          <w:lang w:eastAsia="en-GB"/>
        </w:rPr>
      </w:pPr>
    </w:p>
    <w:p w14:paraId="5A42C267" w14:textId="0705945F" w:rsidR="00222E73" w:rsidRDefault="00222E73" w:rsidP="00AA7930">
      <w:pPr>
        <w:spacing w:after="240" w:line="360" w:lineRule="auto"/>
        <w:rPr>
          <w:rFonts w:ascii="Arial" w:eastAsia="Times New Roman" w:hAnsi="Arial" w:cs="Arial"/>
          <w:lang w:eastAsia="en-GB"/>
        </w:rPr>
      </w:pPr>
      <w:r w:rsidRPr="00222E73">
        <w:rPr>
          <w:rFonts w:ascii="Arial" w:eastAsia="Times New Roman" w:hAnsi="Arial" w:cs="Arial"/>
          <w:lang w:eastAsia="en-GB"/>
        </w:rPr>
        <w:t>Yahoo Finance (202</w:t>
      </w:r>
      <w:r w:rsidR="00DC1DDF">
        <w:rPr>
          <w:rFonts w:ascii="Arial" w:eastAsia="Times New Roman" w:hAnsi="Arial" w:cs="Arial"/>
          <w:lang w:eastAsia="en-GB"/>
        </w:rPr>
        <w:t>3</w:t>
      </w:r>
      <w:r w:rsidRPr="00222E73">
        <w:rPr>
          <w:rFonts w:ascii="Arial" w:eastAsia="Times New Roman" w:hAnsi="Arial" w:cs="Arial"/>
          <w:lang w:eastAsia="en-GB"/>
        </w:rPr>
        <w:t xml:space="preserve">) </w:t>
      </w:r>
      <w:r w:rsidR="002D680D">
        <w:rPr>
          <w:rFonts w:ascii="Arial" w:eastAsia="Times New Roman" w:hAnsi="Arial" w:cs="Arial"/>
          <w:i/>
          <w:iCs/>
          <w:lang w:eastAsia="en-GB"/>
        </w:rPr>
        <w:t>Morgan Advanced Material</w:t>
      </w:r>
      <w:r w:rsidRPr="00222E73">
        <w:rPr>
          <w:rFonts w:ascii="Arial" w:eastAsia="Times New Roman" w:hAnsi="Arial" w:cs="Arial"/>
          <w:i/>
          <w:iCs/>
          <w:lang w:eastAsia="en-GB"/>
        </w:rPr>
        <w:t xml:space="preserve"> stock prices and financial data</w:t>
      </w:r>
      <w:r w:rsidRPr="00222E73">
        <w:rPr>
          <w:rFonts w:ascii="Arial" w:eastAsia="Times New Roman" w:hAnsi="Arial" w:cs="Arial"/>
          <w:lang w:eastAsia="en-GB"/>
        </w:rPr>
        <w:t xml:space="preserve">. Available at: </w:t>
      </w:r>
      <w:hyperlink r:id="rId30" w:history="1">
        <w:r w:rsidR="001D2CE6" w:rsidRPr="00AA4C93">
          <w:rPr>
            <w:rStyle w:val="Hyperlink"/>
            <w:rFonts w:ascii="Arial" w:eastAsia="Times New Roman" w:hAnsi="Arial" w:cs="Arial"/>
            <w:lang w:eastAsia="en-GB"/>
          </w:rPr>
          <w:t>https://uk.finance.yahoo.com/quote/MGAM.L/</w:t>
        </w:r>
      </w:hyperlink>
      <w:r w:rsidR="001D2CE6">
        <w:rPr>
          <w:rFonts w:ascii="Arial" w:eastAsia="Times New Roman" w:hAnsi="Arial" w:cs="Arial"/>
          <w:lang w:eastAsia="en-GB"/>
        </w:rPr>
        <w:t xml:space="preserve"> </w:t>
      </w:r>
      <w:r w:rsidRPr="00222E73">
        <w:rPr>
          <w:rFonts w:ascii="Arial" w:eastAsia="Times New Roman" w:hAnsi="Arial" w:cs="Arial"/>
          <w:lang w:eastAsia="en-GB"/>
        </w:rPr>
        <w:t xml:space="preserve"> (Accessed: </w:t>
      </w:r>
      <w:r w:rsidR="00DC1DDF">
        <w:rPr>
          <w:rFonts w:ascii="Arial" w:eastAsia="Times New Roman" w:hAnsi="Arial" w:cs="Arial"/>
          <w:lang w:eastAsia="en-GB"/>
        </w:rPr>
        <w:t>5</w:t>
      </w:r>
      <w:r w:rsidRPr="00222E73">
        <w:rPr>
          <w:rFonts w:ascii="Arial" w:eastAsia="Times New Roman" w:hAnsi="Arial" w:cs="Arial"/>
          <w:lang w:eastAsia="en-GB"/>
        </w:rPr>
        <w:t xml:space="preserve"> December 2024).</w:t>
      </w:r>
    </w:p>
    <w:p w14:paraId="5D1ECA33" w14:textId="7FB382A3" w:rsidR="001D2CE6" w:rsidRPr="00AA7930" w:rsidRDefault="001D2CE6" w:rsidP="001D2CE6">
      <w:pPr>
        <w:spacing w:after="240" w:line="360" w:lineRule="auto"/>
        <w:rPr>
          <w:rFonts w:ascii="Arial" w:eastAsia="Times New Roman" w:hAnsi="Arial" w:cs="Arial"/>
          <w:lang w:eastAsia="en-GB"/>
        </w:rPr>
      </w:pPr>
      <w:r w:rsidRPr="00222E73">
        <w:rPr>
          <w:rFonts w:ascii="Arial" w:eastAsia="Times New Roman" w:hAnsi="Arial" w:cs="Arial"/>
          <w:lang w:eastAsia="en-GB"/>
        </w:rPr>
        <w:t>Yahoo Finance (202</w:t>
      </w:r>
      <w:r w:rsidR="00DC1DDF">
        <w:rPr>
          <w:rFonts w:ascii="Arial" w:eastAsia="Times New Roman" w:hAnsi="Arial" w:cs="Arial"/>
          <w:lang w:eastAsia="en-GB"/>
        </w:rPr>
        <w:t>3</w:t>
      </w:r>
      <w:r w:rsidRPr="00222E73">
        <w:rPr>
          <w:rFonts w:ascii="Arial" w:eastAsia="Times New Roman" w:hAnsi="Arial" w:cs="Arial"/>
          <w:lang w:eastAsia="en-GB"/>
        </w:rPr>
        <w:t xml:space="preserve">) </w:t>
      </w:r>
      <w:r w:rsidR="00DC1DDF">
        <w:rPr>
          <w:rFonts w:ascii="Arial" w:eastAsia="Times New Roman" w:hAnsi="Arial" w:cs="Arial"/>
          <w:i/>
          <w:iCs/>
          <w:lang w:eastAsia="en-GB"/>
        </w:rPr>
        <w:t>Bodycote PLC</w:t>
      </w:r>
      <w:r w:rsidRPr="00222E73">
        <w:rPr>
          <w:rFonts w:ascii="Arial" w:eastAsia="Times New Roman" w:hAnsi="Arial" w:cs="Arial"/>
          <w:lang w:eastAsia="en-GB"/>
        </w:rPr>
        <w:t xml:space="preserve">. Available at: </w:t>
      </w:r>
      <w:hyperlink r:id="rId31" w:history="1">
        <w:r w:rsidR="00C06CD9" w:rsidRPr="00AA4C93">
          <w:rPr>
            <w:rStyle w:val="Hyperlink"/>
            <w:rFonts w:ascii="Arial" w:eastAsia="Times New Roman" w:hAnsi="Arial" w:cs="Arial"/>
            <w:lang w:eastAsia="en-GB"/>
          </w:rPr>
          <w:t>https://uk.finance.yahoo.com/quote/BOY.L/</w:t>
        </w:r>
      </w:hyperlink>
      <w:r w:rsidR="00C06CD9">
        <w:rPr>
          <w:rFonts w:ascii="Arial" w:eastAsia="Times New Roman" w:hAnsi="Arial" w:cs="Arial"/>
          <w:lang w:eastAsia="en-GB"/>
        </w:rPr>
        <w:t xml:space="preserve"> </w:t>
      </w:r>
      <w:r w:rsidRPr="00222E73">
        <w:rPr>
          <w:rFonts w:ascii="Arial" w:eastAsia="Times New Roman" w:hAnsi="Arial" w:cs="Arial"/>
          <w:lang w:eastAsia="en-GB"/>
        </w:rPr>
        <w:t xml:space="preserve">(Accessed: </w:t>
      </w:r>
      <w:r w:rsidR="00DC1DDF">
        <w:rPr>
          <w:rFonts w:ascii="Arial" w:eastAsia="Times New Roman" w:hAnsi="Arial" w:cs="Arial"/>
          <w:lang w:eastAsia="en-GB"/>
        </w:rPr>
        <w:t>5</w:t>
      </w:r>
      <w:r w:rsidRPr="00222E73">
        <w:rPr>
          <w:rFonts w:ascii="Arial" w:eastAsia="Times New Roman" w:hAnsi="Arial" w:cs="Arial"/>
          <w:lang w:eastAsia="en-GB"/>
        </w:rPr>
        <w:t xml:space="preserve"> December 2024).</w:t>
      </w:r>
    </w:p>
    <w:p w14:paraId="72666432" w14:textId="77777777" w:rsidR="001D2CE6" w:rsidRDefault="001D2CE6" w:rsidP="00AA7930">
      <w:pPr>
        <w:spacing w:after="240" w:line="360" w:lineRule="auto"/>
        <w:rPr>
          <w:rFonts w:ascii="Arial" w:eastAsia="Times New Roman" w:hAnsi="Arial" w:cs="Arial"/>
          <w:lang w:eastAsia="en-GB"/>
        </w:rPr>
      </w:pPr>
    </w:p>
    <w:p w14:paraId="2F449CE1" w14:textId="6BE7D2C7" w:rsidR="001D2CE6" w:rsidRPr="00AA7930" w:rsidRDefault="001D2CE6" w:rsidP="001D2CE6">
      <w:pPr>
        <w:spacing w:after="240" w:line="360" w:lineRule="auto"/>
        <w:rPr>
          <w:rFonts w:ascii="Arial" w:eastAsia="Times New Roman" w:hAnsi="Arial" w:cs="Arial"/>
          <w:lang w:eastAsia="en-GB"/>
        </w:rPr>
      </w:pPr>
      <w:r w:rsidRPr="00222E73">
        <w:rPr>
          <w:rFonts w:ascii="Arial" w:eastAsia="Times New Roman" w:hAnsi="Arial" w:cs="Arial"/>
          <w:lang w:eastAsia="en-GB"/>
        </w:rPr>
        <w:t>Yahoo Finance (202</w:t>
      </w:r>
      <w:r w:rsidR="00DC1DDF">
        <w:rPr>
          <w:rFonts w:ascii="Arial" w:eastAsia="Times New Roman" w:hAnsi="Arial" w:cs="Arial"/>
          <w:lang w:eastAsia="en-GB"/>
        </w:rPr>
        <w:t>3</w:t>
      </w:r>
      <w:r w:rsidRPr="00222E73">
        <w:rPr>
          <w:rFonts w:ascii="Arial" w:eastAsia="Times New Roman" w:hAnsi="Arial" w:cs="Arial"/>
          <w:lang w:eastAsia="en-GB"/>
        </w:rPr>
        <w:t xml:space="preserve">) </w:t>
      </w:r>
      <w:r w:rsidR="00C06CD9">
        <w:rPr>
          <w:rFonts w:ascii="Arial" w:eastAsia="Times New Roman" w:hAnsi="Arial" w:cs="Arial"/>
          <w:i/>
          <w:iCs/>
          <w:lang w:eastAsia="en-GB"/>
        </w:rPr>
        <w:t>Volex PLC</w:t>
      </w:r>
      <w:r w:rsidRPr="00222E73">
        <w:rPr>
          <w:rFonts w:ascii="Arial" w:eastAsia="Times New Roman" w:hAnsi="Arial" w:cs="Arial"/>
          <w:lang w:eastAsia="en-GB"/>
        </w:rPr>
        <w:t xml:space="preserve"> Available at:</w:t>
      </w:r>
      <w:r w:rsidR="00C81182">
        <w:rPr>
          <w:rFonts w:ascii="Arial" w:eastAsia="Times New Roman" w:hAnsi="Arial" w:cs="Arial"/>
          <w:lang w:eastAsia="en-GB"/>
        </w:rPr>
        <w:t xml:space="preserve"> </w:t>
      </w:r>
      <w:r w:rsidR="00D73AAA" w:rsidRPr="00D73AAA">
        <w:rPr>
          <w:rFonts w:ascii="Arial" w:eastAsia="Times New Roman" w:hAnsi="Arial" w:cs="Arial"/>
          <w:lang w:eastAsia="en-GB"/>
        </w:rPr>
        <w:t>https://uk.finance.yahoo.com/quote/VLXGF/</w:t>
      </w:r>
      <w:r>
        <w:rPr>
          <w:rFonts w:ascii="Arial" w:eastAsia="Times New Roman" w:hAnsi="Arial" w:cs="Arial"/>
          <w:lang w:eastAsia="en-GB"/>
        </w:rPr>
        <w:t xml:space="preserve"> </w:t>
      </w:r>
      <w:r w:rsidRPr="00222E73">
        <w:rPr>
          <w:rFonts w:ascii="Arial" w:eastAsia="Times New Roman" w:hAnsi="Arial" w:cs="Arial"/>
          <w:lang w:eastAsia="en-GB"/>
        </w:rPr>
        <w:t xml:space="preserve"> (Accessed: </w:t>
      </w:r>
      <w:r w:rsidR="00DC1DDF">
        <w:rPr>
          <w:rFonts w:ascii="Arial" w:eastAsia="Times New Roman" w:hAnsi="Arial" w:cs="Arial"/>
          <w:lang w:eastAsia="en-GB"/>
        </w:rPr>
        <w:t>5</w:t>
      </w:r>
      <w:r w:rsidRPr="00222E73">
        <w:rPr>
          <w:rFonts w:ascii="Arial" w:eastAsia="Times New Roman" w:hAnsi="Arial" w:cs="Arial"/>
          <w:lang w:eastAsia="en-GB"/>
        </w:rPr>
        <w:t xml:space="preserve"> December 2024).</w:t>
      </w:r>
    </w:p>
    <w:p w14:paraId="49C8968E" w14:textId="77777777" w:rsidR="001D2CE6" w:rsidRPr="00AA7930" w:rsidRDefault="001D2CE6" w:rsidP="00AA7930">
      <w:pPr>
        <w:spacing w:after="240" w:line="360" w:lineRule="auto"/>
        <w:rPr>
          <w:rFonts w:ascii="Arial" w:eastAsia="Times New Roman" w:hAnsi="Arial" w:cs="Arial"/>
          <w:lang w:eastAsia="en-GB"/>
        </w:rPr>
      </w:pPr>
    </w:p>
    <w:p w14:paraId="311FFD83" w14:textId="77777777" w:rsidR="00AA7930" w:rsidRPr="00AA7930" w:rsidRDefault="00AA7930" w:rsidP="008C05EA">
      <w:pPr>
        <w:tabs>
          <w:tab w:val="left" w:pos="636"/>
        </w:tabs>
        <w:spacing w:line="360" w:lineRule="auto"/>
        <w:jc w:val="both"/>
        <w:rPr>
          <w:rFonts w:ascii="Arial" w:hAnsi="Arial" w:cs="Arial"/>
          <w:b/>
          <w:bCs/>
          <w:sz w:val="24"/>
          <w:szCs w:val="24"/>
        </w:rPr>
      </w:pPr>
    </w:p>
    <w:p w14:paraId="0F6AB0B7" w14:textId="77777777" w:rsidR="00F477F9" w:rsidRDefault="00F477F9" w:rsidP="00F477F9">
      <w:pPr>
        <w:jc w:val="right"/>
        <w:rPr>
          <w:rFonts w:ascii="Arial" w:hAnsi="Arial" w:cs="Arial"/>
        </w:rPr>
      </w:pPr>
    </w:p>
    <w:p w14:paraId="1B5B03F5" w14:textId="77777777" w:rsidR="00F477F9" w:rsidRDefault="00F477F9" w:rsidP="00F477F9">
      <w:pPr>
        <w:jc w:val="right"/>
        <w:rPr>
          <w:rFonts w:ascii="Arial" w:hAnsi="Arial" w:cs="Arial"/>
        </w:rPr>
      </w:pPr>
    </w:p>
    <w:p w14:paraId="39B1E669" w14:textId="77777777" w:rsidR="00F477F9" w:rsidRPr="00F477F9" w:rsidRDefault="00F477F9" w:rsidP="00F477F9">
      <w:pPr>
        <w:jc w:val="right"/>
        <w:rPr>
          <w:rFonts w:ascii="Arial" w:hAnsi="Arial" w:cs="Arial"/>
        </w:rPr>
      </w:pPr>
    </w:p>
    <w:sectPr w:rsidR="00F477F9" w:rsidRPr="00F477F9" w:rsidSect="003720EA">
      <w:footerReference w:type="default" r:id="rId32"/>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6D413" w14:textId="77777777" w:rsidR="00995773" w:rsidRDefault="00995773" w:rsidP="00C41316">
      <w:pPr>
        <w:spacing w:after="0" w:line="240" w:lineRule="auto"/>
      </w:pPr>
      <w:r>
        <w:separator/>
      </w:r>
    </w:p>
  </w:endnote>
  <w:endnote w:type="continuationSeparator" w:id="0">
    <w:p w14:paraId="5D37FFDC" w14:textId="77777777" w:rsidR="00995773" w:rsidRDefault="00995773" w:rsidP="00C41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7327728"/>
      <w:docPartObj>
        <w:docPartGallery w:val="Page Numbers (Bottom of Page)"/>
        <w:docPartUnique/>
      </w:docPartObj>
    </w:sdtPr>
    <w:sdtEndPr>
      <w:rPr>
        <w:noProof/>
      </w:rPr>
    </w:sdtEndPr>
    <w:sdtContent>
      <w:p w14:paraId="519DBD8D" w14:textId="0D485448" w:rsidR="00C41316" w:rsidRDefault="00C41316">
        <w:pPr>
          <w:pStyle w:val="Footer"/>
        </w:pPr>
        <w:r>
          <w:fldChar w:fldCharType="begin"/>
        </w:r>
        <w:r>
          <w:instrText xml:space="preserve"> PAGE   \* MERGEFORMAT </w:instrText>
        </w:r>
        <w:r>
          <w:fldChar w:fldCharType="separate"/>
        </w:r>
        <w:r>
          <w:rPr>
            <w:noProof/>
          </w:rPr>
          <w:t>2</w:t>
        </w:r>
        <w:r>
          <w:rPr>
            <w:noProof/>
          </w:rPr>
          <w:fldChar w:fldCharType="end"/>
        </w:r>
      </w:p>
    </w:sdtContent>
  </w:sdt>
  <w:p w14:paraId="7DE57FF2" w14:textId="77777777" w:rsidR="00C41316" w:rsidRDefault="00C41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73C55" w14:textId="77777777" w:rsidR="00995773" w:rsidRDefault="00995773" w:rsidP="00C41316">
      <w:pPr>
        <w:spacing w:after="0" w:line="240" w:lineRule="auto"/>
      </w:pPr>
      <w:r>
        <w:separator/>
      </w:r>
    </w:p>
  </w:footnote>
  <w:footnote w:type="continuationSeparator" w:id="0">
    <w:p w14:paraId="1C60E067" w14:textId="77777777" w:rsidR="00995773" w:rsidRDefault="00995773" w:rsidP="00C413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3B"/>
    <w:rsid w:val="00001757"/>
    <w:rsid w:val="000022F5"/>
    <w:rsid w:val="00002600"/>
    <w:rsid w:val="00004A03"/>
    <w:rsid w:val="00004B51"/>
    <w:rsid w:val="000120AC"/>
    <w:rsid w:val="00012345"/>
    <w:rsid w:val="0001707D"/>
    <w:rsid w:val="000203AA"/>
    <w:rsid w:val="0002318B"/>
    <w:rsid w:val="00023623"/>
    <w:rsid w:val="000238D2"/>
    <w:rsid w:val="00024626"/>
    <w:rsid w:val="00024AC7"/>
    <w:rsid w:val="00025EFC"/>
    <w:rsid w:val="00030783"/>
    <w:rsid w:val="000333EC"/>
    <w:rsid w:val="0003417C"/>
    <w:rsid w:val="000375BA"/>
    <w:rsid w:val="00047F39"/>
    <w:rsid w:val="00050389"/>
    <w:rsid w:val="0005407B"/>
    <w:rsid w:val="000557FE"/>
    <w:rsid w:val="000624BA"/>
    <w:rsid w:val="00063BEE"/>
    <w:rsid w:val="000654A2"/>
    <w:rsid w:val="00066F3B"/>
    <w:rsid w:val="00070F09"/>
    <w:rsid w:val="00073BF7"/>
    <w:rsid w:val="00075790"/>
    <w:rsid w:val="00082C4E"/>
    <w:rsid w:val="00083310"/>
    <w:rsid w:val="000849F1"/>
    <w:rsid w:val="00085092"/>
    <w:rsid w:val="000861EB"/>
    <w:rsid w:val="00091CA4"/>
    <w:rsid w:val="00091CAA"/>
    <w:rsid w:val="00092384"/>
    <w:rsid w:val="00092AD1"/>
    <w:rsid w:val="00092FE7"/>
    <w:rsid w:val="00096164"/>
    <w:rsid w:val="000A0039"/>
    <w:rsid w:val="000A54EF"/>
    <w:rsid w:val="000A55E4"/>
    <w:rsid w:val="000B28EA"/>
    <w:rsid w:val="000B342F"/>
    <w:rsid w:val="000B540E"/>
    <w:rsid w:val="000B5916"/>
    <w:rsid w:val="000C1E27"/>
    <w:rsid w:val="000C2D4A"/>
    <w:rsid w:val="000C3ED5"/>
    <w:rsid w:val="000C564A"/>
    <w:rsid w:val="000C5DC9"/>
    <w:rsid w:val="000C7DD0"/>
    <w:rsid w:val="000D13C4"/>
    <w:rsid w:val="000D2246"/>
    <w:rsid w:val="000D63AA"/>
    <w:rsid w:val="000E1BF0"/>
    <w:rsid w:val="000E3D6E"/>
    <w:rsid w:val="000F1319"/>
    <w:rsid w:val="000F1C72"/>
    <w:rsid w:val="000F54FF"/>
    <w:rsid w:val="000F70EA"/>
    <w:rsid w:val="000F7531"/>
    <w:rsid w:val="000F7BA7"/>
    <w:rsid w:val="000F7C20"/>
    <w:rsid w:val="00111420"/>
    <w:rsid w:val="00116F9B"/>
    <w:rsid w:val="00120009"/>
    <w:rsid w:val="00123CF7"/>
    <w:rsid w:val="00123D02"/>
    <w:rsid w:val="00124CB3"/>
    <w:rsid w:val="00127CB6"/>
    <w:rsid w:val="00130728"/>
    <w:rsid w:val="001310B8"/>
    <w:rsid w:val="00134EC0"/>
    <w:rsid w:val="0013514A"/>
    <w:rsid w:val="00140133"/>
    <w:rsid w:val="00140151"/>
    <w:rsid w:val="00141DAC"/>
    <w:rsid w:val="00146C98"/>
    <w:rsid w:val="00150FF3"/>
    <w:rsid w:val="0015214B"/>
    <w:rsid w:val="00153325"/>
    <w:rsid w:val="00155AAE"/>
    <w:rsid w:val="001568DE"/>
    <w:rsid w:val="00157C37"/>
    <w:rsid w:val="00157C70"/>
    <w:rsid w:val="00162227"/>
    <w:rsid w:val="001635DB"/>
    <w:rsid w:val="00163748"/>
    <w:rsid w:val="00163BD8"/>
    <w:rsid w:val="00164095"/>
    <w:rsid w:val="00167C44"/>
    <w:rsid w:val="001707C4"/>
    <w:rsid w:val="00172B6B"/>
    <w:rsid w:val="00173E8B"/>
    <w:rsid w:val="00173FA1"/>
    <w:rsid w:val="0017589B"/>
    <w:rsid w:val="00175C31"/>
    <w:rsid w:val="001801D3"/>
    <w:rsid w:val="00182006"/>
    <w:rsid w:val="00182377"/>
    <w:rsid w:val="00184316"/>
    <w:rsid w:val="00184E41"/>
    <w:rsid w:val="00185394"/>
    <w:rsid w:val="001926A2"/>
    <w:rsid w:val="00195D82"/>
    <w:rsid w:val="001968B3"/>
    <w:rsid w:val="0019691C"/>
    <w:rsid w:val="001A2D4C"/>
    <w:rsid w:val="001B31FF"/>
    <w:rsid w:val="001C0369"/>
    <w:rsid w:val="001C0DEF"/>
    <w:rsid w:val="001C1F6A"/>
    <w:rsid w:val="001C2016"/>
    <w:rsid w:val="001C46C5"/>
    <w:rsid w:val="001C555E"/>
    <w:rsid w:val="001C70BB"/>
    <w:rsid w:val="001C73A4"/>
    <w:rsid w:val="001D010E"/>
    <w:rsid w:val="001D0243"/>
    <w:rsid w:val="001D1202"/>
    <w:rsid w:val="001D1593"/>
    <w:rsid w:val="001D1727"/>
    <w:rsid w:val="001D2873"/>
    <w:rsid w:val="001D2CD2"/>
    <w:rsid w:val="001D2CE6"/>
    <w:rsid w:val="001D3E4A"/>
    <w:rsid w:val="001E1DA0"/>
    <w:rsid w:val="001E2894"/>
    <w:rsid w:val="001E3F80"/>
    <w:rsid w:val="001E642E"/>
    <w:rsid w:val="001E6696"/>
    <w:rsid w:val="001E6FF1"/>
    <w:rsid w:val="001E7688"/>
    <w:rsid w:val="001E7E28"/>
    <w:rsid w:val="001F67EC"/>
    <w:rsid w:val="00200F6E"/>
    <w:rsid w:val="002034FA"/>
    <w:rsid w:val="0020747A"/>
    <w:rsid w:val="00211332"/>
    <w:rsid w:val="00211F2E"/>
    <w:rsid w:val="0021472E"/>
    <w:rsid w:val="00216631"/>
    <w:rsid w:val="002228AF"/>
    <w:rsid w:val="00222E73"/>
    <w:rsid w:val="00223A43"/>
    <w:rsid w:val="00232BCF"/>
    <w:rsid w:val="00236492"/>
    <w:rsid w:val="002370DB"/>
    <w:rsid w:val="002371AC"/>
    <w:rsid w:val="00241852"/>
    <w:rsid w:val="002418B6"/>
    <w:rsid w:val="0024214D"/>
    <w:rsid w:val="002427B5"/>
    <w:rsid w:val="00246B5B"/>
    <w:rsid w:val="00250F0B"/>
    <w:rsid w:val="00251A93"/>
    <w:rsid w:val="00254CE1"/>
    <w:rsid w:val="00254F51"/>
    <w:rsid w:val="00255A3B"/>
    <w:rsid w:val="00255A46"/>
    <w:rsid w:val="00256148"/>
    <w:rsid w:val="002565C7"/>
    <w:rsid w:val="002614F0"/>
    <w:rsid w:val="00262B70"/>
    <w:rsid w:val="00262E53"/>
    <w:rsid w:val="00265AD1"/>
    <w:rsid w:val="002678EE"/>
    <w:rsid w:val="00270EB8"/>
    <w:rsid w:val="00271E59"/>
    <w:rsid w:val="002729B3"/>
    <w:rsid w:val="00273D34"/>
    <w:rsid w:val="00274E45"/>
    <w:rsid w:val="00283B7E"/>
    <w:rsid w:val="00286EA7"/>
    <w:rsid w:val="00295784"/>
    <w:rsid w:val="002A3716"/>
    <w:rsid w:val="002A5703"/>
    <w:rsid w:val="002B3882"/>
    <w:rsid w:val="002C4386"/>
    <w:rsid w:val="002C484A"/>
    <w:rsid w:val="002D20DC"/>
    <w:rsid w:val="002D4541"/>
    <w:rsid w:val="002D46A9"/>
    <w:rsid w:val="002D62C5"/>
    <w:rsid w:val="002D680D"/>
    <w:rsid w:val="002E2597"/>
    <w:rsid w:val="002F0A84"/>
    <w:rsid w:val="002F4EDC"/>
    <w:rsid w:val="002F5FA0"/>
    <w:rsid w:val="00302C46"/>
    <w:rsid w:val="0030385B"/>
    <w:rsid w:val="00303CD0"/>
    <w:rsid w:val="0030462E"/>
    <w:rsid w:val="00307FD1"/>
    <w:rsid w:val="00311EEE"/>
    <w:rsid w:val="00313D27"/>
    <w:rsid w:val="00314F14"/>
    <w:rsid w:val="0031578F"/>
    <w:rsid w:val="00317366"/>
    <w:rsid w:val="0032355F"/>
    <w:rsid w:val="003303AA"/>
    <w:rsid w:val="00330441"/>
    <w:rsid w:val="00330FCB"/>
    <w:rsid w:val="00331ACA"/>
    <w:rsid w:val="00332B0E"/>
    <w:rsid w:val="00333CAB"/>
    <w:rsid w:val="0033422B"/>
    <w:rsid w:val="00335907"/>
    <w:rsid w:val="00335A4A"/>
    <w:rsid w:val="00335BD5"/>
    <w:rsid w:val="00340AA8"/>
    <w:rsid w:val="00341945"/>
    <w:rsid w:val="003440F8"/>
    <w:rsid w:val="00344B2C"/>
    <w:rsid w:val="00350075"/>
    <w:rsid w:val="00353A29"/>
    <w:rsid w:val="00356015"/>
    <w:rsid w:val="00357FDA"/>
    <w:rsid w:val="00361C9E"/>
    <w:rsid w:val="00363864"/>
    <w:rsid w:val="003704D2"/>
    <w:rsid w:val="00370E84"/>
    <w:rsid w:val="00371221"/>
    <w:rsid w:val="003720EA"/>
    <w:rsid w:val="0037282E"/>
    <w:rsid w:val="00373B45"/>
    <w:rsid w:val="003760B3"/>
    <w:rsid w:val="00380B8D"/>
    <w:rsid w:val="00385E4E"/>
    <w:rsid w:val="0038653C"/>
    <w:rsid w:val="00386622"/>
    <w:rsid w:val="00386B9C"/>
    <w:rsid w:val="003906A0"/>
    <w:rsid w:val="00392A32"/>
    <w:rsid w:val="00392E04"/>
    <w:rsid w:val="003A23FD"/>
    <w:rsid w:val="003A2844"/>
    <w:rsid w:val="003A3082"/>
    <w:rsid w:val="003A3494"/>
    <w:rsid w:val="003A3D70"/>
    <w:rsid w:val="003A508E"/>
    <w:rsid w:val="003B01E3"/>
    <w:rsid w:val="003B4FA3"/>
    <w:rsid w:val="003B62D7"/>
    <w:rsid w:val="003B74D2"/>
    <w:rsid w:val="003C004A"/>
    <w:rsid w:val="003C14F5"/>
    <w:rsid w:val="003C2B37"/>
    <w:rsid w:val="003C2F7E"/>
    <w:rsid w:val="003C5AC0"/>
    <w:rsid w:val="003C609B"/>
    <w:rsid w:val="003D2082"/>
    <w:rsid w:val="003E0B50"/>
    <w:rsid w:val="003E4045"/>
    <w:rsid w:val="003E5849"/>
    <w:rsid w:val="003E61B5"/>
    <w:rsid w:val="003E79B5"/>
    <w:rsid w:val="003F1369"/>
    <w:rsid w:val="003F16B4"/>
    <w:rsid w:val="004003FB"/>
    <w:rsid w:val="00402C58"/>
    <w:rsid w:val="004035E1"/>
    <w:rsid w:val="00407EAC"/>
    <w:rsid w:val="004116C3"/>
    <w:rsid w:val="00414D18"/>
    <w:rsid w:val="00416465"/>
    <w:rsid w:val="0042086F"/>
    <w:rsid w:val="00420A92"/>
    <w:rsid w:val="00422B76"/>
    <w:rsid w:val="00430503"/>
    <w:rsid w:val="004336C6"/>
    <w:rsid w:val="004368E8"/>
    <w:rsid w:val="00436A0F"/>
    <w:rsid w:val="00437241"/>
    <w:rsid w:val="00440853"/>
    <w:rsid w:val="00440D70"/>
    <w:rsid w:val="0044190C"/>
    <w:rsid w:val="00441C88"/>
    <w:rsid w:val="00445233"/>
    <w:rsid w:val="004462F4"/>
    <w:rsid w:val="00446C69"/>
    <w:rsid w:val="0044713E"/>
    <w:rsid w:val="004512C2"/>
    <w:rsid w:val="004528E1"/>
    <w:rsid w:val="0045478F"/>
    <w:rsid w:val="004565DE"/>
    <w:rsid w:val="00456B48"/>
    <w:rsid w:val="00460BF0"/>
    <w:rsid w:val="004612B5"/>
    <w:rsid w:val="0046369C"/>
    <w:rsid w:val="00465136"/>
    <w:rsid w:val="0047085D"/>
    <w:rsid w:val="00471CCA"/>
    <w:rsid w:val="00474360"/>
    <w:rsid w:val="004751EB"/>
    <w:rsid w:val="004755AA"/>
    <w:rsid w:val="00475FD4"/>
    <w:rsid w:val="00477E7C"/>
    <w:rsid w:val="00481286"/>
    <w:rsid w:val="0048352C"/>
    <w:rsid w:val="00483B83"/>
    <w:rsid w:val="00484380"/>
    <w:rsid w:val="004A3BE9"/>
    <w:rsid w:val="004A571B"/>
    <w:rsid w:val="004B5781"/>
    <w:rsid w:val="004B62FA"/>
    <w:rsid w:val="004C2C39"/>
    <w:rsid w:val="004C3443"/>
    <w:rsid w:val="004C43EB"/>
    <w:rsid w:val="004C4881"/>
    <w:rsid w:val="004C4A39"/>
    <w:rsid w:val="004C4B44"/>
    <w:rsid w:val="004C5C75"/>
    <w:rsid w:val="004C6547"/>
    <w:rsid w:val="004C6A81"/>
    <w:rsid w:val="004D0C46"/>
    <w:rsid w:val="004D0FE8"/>
    <w:rsid w:val="004D1207"/>
    <w:rsid w:val="004D314A"/>
    <w:rsid w:val="004D5FBA"/>
    <w:rsid w:val="004D6883"/>
    <w:rsid w:val="004D6A5C"/>
    <w:rsid w:val="004D6C41"/>
    <w:rsid w:val="004E1D36"/>
    <w:rsid w:val="004E4B01"/>
    <w:rsid w:val="004E4E8F"/>
    <w:rsid w:val="004E519A"/>
    <w:rsid w:val="004E6F41"/>
    <w:rsid w:val="004E7151"/>
    <w:rsid w:val="004F0058"/>
    <w:rsid w:val="004F032E"/>
    <w:rsid w:val="004F0894"/>
    <w:rsid w:val="004F11BD"/>
    <w:rsid w:val="004F3359"/>
    <w:rsid w:val="004F4308"/>
    <w:rsid w:val="004F564D"/>
    <w:rsid w:val="005015AA"/>
    <w:rsid w:val="005025A9"/>
    <w:rsid w:val="005028AA"/>
    <w:rsid w:val="00504F77"/>
    <w:rsid w:val="00506B45"/>
    <w:rsid w:val="00507CCC"/>
    <w:rsid w:val="005102CA"/>
    <w:rsid w:val="00511B91"/>
    <w:rsid w:val="00511D52"/>
    <w:rsid w:val="0051279C"/>
    <w:rsid w:val="00516F7B"/>
    <w:rsid w:val="0051718E"/>
    <w:rsid w:val="0051729C"/>
    <w:rsid w:val="00522685"/>
    <w:rsid w:val="005234C6"/>
    <w:rsid w:val="00527FF7"/>
    <w:rsid w:val="005301DB"/>
    <w:rsid w:val="00533296"/>
    <w:rsid w:val="005336EE"/>
    <w:rsid w:val="00534196"/>
    <w:rsid w:val="00534B1B"/>
    <w:rsid w:val="00540197"/>
    <w:rsid w:val="00541546"/>
    <w:rsid w:val="005445D8"/>
    <w:rsid w:val="005472A9"/>
    <w:rsid w:val="005515D3"/>
    <w:rsid w:val="00553F43"/>
    <w:rsid w:val="005544C2"/>
    <w:rsid w:val="005548E4"/>
    <w:rsid w:val="005556B8"/>
    <w:rsid w:val="00557BA7"/>
    <w:rsid w:val="0056078A"/>
    <w:rsid w:val="00560D17"/>
    <w:rsid w:val="0056159B"/>
    <w:rsid w:val="00562818"/>
    <w:rsid w:val="00564563"/>
    <w:rsid w:val="00566AEC"/>
    <w:rsid w:val="00566BB9"/>
    <w:rsid w:val="005675AE"/>
    <w:rsid w:val="0057207F"/>
    <w:rsid w:val="00573DE1"/>
    <w:rsid w:val="00575B78"/>
    <w:rsid w:val="00575B8E"/>
    <w:rsid w:val="00576CF6"/>
    <w:rsid w:val="005772E3"/>
    <w:rsid w:val="00577F90"/>
    <w:rsid w:val="00581748"/>
    <w:rsid w:val="00581EA6"/>
    <w:rsid w:val="00583DA7"/>
    <w:rsid w:val="00590A4A"/>
    <w:rsid w:val="0059305F"/>
    <w:rsid w:val="00593624"/>
    <w:rsid w:val="00595F38"/>
    <w:rsid w:val="00597DE3"/>
    <w:rsid w:val="005A022C"/>
    <w:rsid w:val="005A0AF2"/>
    <w:rsid w:val="005A2A6B"/>
    <w:rsid w:val="005A2C03"/>
    <w:rsid w:val="005A332C"/>
    <w:rsid w:val="005A4106"/>
    <w:rsid w:val="005A5C96"/>
    <w:rsid w:val="005A73C5"/>
    <w:rsid w:val="005B2993"/>
    <w:rsid w:val="005B3E60"/>
    <w:rsid w:val="005B52C8"/>
    <w:rsid w:val="005B7129"/>
    <w:rsid w:val="005C3586"/>
    <w:rsid w:val="005C3AF8"/>
    <w:rsid w:val="005C537D"/>
    <w:rsid w:val="005C5C3E"/>
    <w:rsid w:val="005C6777"/>
    <w:rsid w:val="005C7541"/>
    <w:rsid w:val="005D23DD"/>
    <w:rsid w:val="005E060B"/>
    <w:rsid w:val="005E245F"/>
    <w:rsid w:val="005E3183"/>
    <w:rsid w:val="005E334E"/>
    <w:rsid w:val="005E442B"/>
    <w:rsid w:val="005E4BF4"/>
    <w:rsid w:val="005E5D23"/>
    <w:rsid w:val="005F58B8"/>
    <w:rsid w:val="0060084F"/>
    <w:rsid w:val="00600D57"/>
    <w:rsid w:val="00604419"/>
    <w:rsid w:val="0060651D"/>
    <w:rsid w:val="00613304"/>
    <w:rsid w:val="00614BF0"/>
    <w:rsid w:val="00615192"/>
    <w:rsid w:val="006164BF"/>
    <w:rsid w:val="00620B5E"/>
    <w:rsid w:val="00623013"/>
    <w:rsid w:val="00624506"/>
    <w:rsid w:val="006273E5"/>
    <w:rsid w:val="006279D1"/>
    <w:rsid w:val="00630851"/>
    <w:rsid w:val="006311DC"/>
    <w:rsid w:val="00632325"/>
    <w:rsid w:val="00633554"/>
    <w:rsid w:val="00633BF1"/>
    <w:rsid w:val="006347E4"/>
    <w:rsid w:val="00636739"/>
    <w:rsid w:val="00637594"/>
    <w:rsid w:val="006377E3"/>
    <w:rsid w:val="006411AF"/>
    <w:rsid w:val="006436AF"/>
    <w:rsid w:val="00643701"/>
    <w:rsid w:val="00646BF5"/>
    <w:rsid w:val="00647895"/>
    <w:rsid w:val="00647D31"/>
    <w:rsid w:val="0065079C"/>
    <w:rsid w:val="006509AA"/>
    <w:rsid w:val="00650C86"/>
    <w:rsid w:val="00650E07"/>
    <w:rsid w:val="00653979"/>
    <w:rsid w:val="00661AD4"/>
    <w:rsid w:val="00662C66"/>
    <w:rsid w:val="006653E5"/>
    <w:rsid w:val="00666D3B"/>
    <w:rsid w:val="006678B7"/>
    <w:rsid w:val="0067174E"/>
    <w:rsid w:val="006734CA"/>
    <w:rsid w:val="00673D3E"/>
    <w:rsid w:val="00676721"/>
    <w:rsid w:val="00676B4E"/>
    <w:rsid w:val="00677322"/>
    <w:rsid w:val="00680BBB"/>
    <w:rsid w:val="00685310"/>
    <w:rsid w:val="006877B9"/>
    <w:rsid w:val="00687B9F"/>
    <w:rsid w:val="00687E5C"/>
    <w:rsid w:val="00693F0A"/>
    <w:rsid w:val="00695FF5"/>
    <w:rsid w:val="006A00FF"/>
    <w:rsid w:val="006A2D6F"/>
    <w:rsid w:val="006A3982"/>
    <w:rsid w:val="006A3AAC"/>
    <w:rsid w:val="006A69D3"/>
    <w:rsid w:val="006B0010"/>
    <w:rsid w:val="006B2EAE"/>
    <w:rsid w:val="006B4DFE"/>
    <w:rsid w:val="006B7607"/>
    <w:rsid w:val="006C26A4"/>
    <w:rsid w:val="006C3BED"/>
    <w:rsid w:val="006C6C5C"/>
    <w:rsid w:val="006C6F5E"/>
    <w:rsid w:val="006C7A3F"/>
    <w:rsid w:val="006D0AB7"/>
    <w:rsid w:val="006D1F2C"/>
    <w:rsid w:val="006D2E76"/>
    <w:rsid w:val="006D43EF"/>
    <w:rsid w:val="006D61EE"/>
    <w:rsid w:val="006D7708"/>
    <w:rsid w:val="006D79D7"/>
    <w:rsid w:val="006D7CA6"/>
    <w:rsid w:val="006E300E"/>
    <w:rsid w:val="006E303B"/>
    <w:rsid w:val="006E5060"/>
    <w:rsid w:val="006E514B"/>
    <w:rsid w:val="006E5636"/>
    <w:rsid w:val="006E7259"/>
    <w:rsid w:val="006F0414"/>
    <w:rsid w:val="00701358"/>
    <w:rsid w:val="00705E4F"/>
    <w:rsid w:val="0071031F"/>
    <w:rsid w:val="007108D6"/>
    <w:rsid w:val="0071139A"/>
    <w:rsid w:val="00713BF9"/>
    <w:rsid w:val="007158EA"/>
    <w:rsid w:val="007169D3"/>
    <w:rsid w:val="00720BD5"/>
    <w:rsid w:val="007227EE"/>
    <w:rsid w:val="00722E8A"/>
    <w:rsid w:val="00726D32"/>
    <w:rsid w:val="0072778E"/>
    <w:rsid w:val="007311C9"/>
    <w:rsid w:val="007313BA"/>
    <w:rsid w:val="0073184B"/>
    <w:rsid w:val="00735958"/>
    <w:rsid w:val="00737795"/>
    <w:rsid w:val="00740957"/>
    <w:rsid w:val="00741DFF"/>
    <w:rsid w:val="00744973"/>
    <w:rsid w:val="00745533"/>
    <w:rsid w:val="007504C8"/>
    <w:rsid w:val="007505E9"/>
    <w:rsid w:val="00750940"/>
    <w:rsid w:val="0075175B"/>
    <w:rsid w:val="00752F6E"/>
    <w:rsid w:val="0075563A"/>
    <w:rsid w:val="00755A23"/>
    <w:rsid w:val="00763DDD"/>
    <w:rsid w:val="0076444E"/>
    <w:rsid w:val="00770C8A"/>
    <w:rsid w:val="00775FDC"/>
    <w:rsid w:val="0078026A"/>
    <w:rsid w:val="0078039B"/>
    <w:rsid w:val="007824DF"/>
    <w:rsid w:val="00785659"/>
    <w:rsid w:val="00786FA5"/>
    <w:rsid w:val="00791980"/>
    <w:rsid w:val="007924BE"/>
    <w:rsid w:val="007938D4"/>
    <w:rsid w:val="007956E0"/>
    <w:rsid w:val="007978B3"/>
    <w:rsid w:val="00797F5C"/>
    <w:rsid w:val="007A1FD3"/>
    <w:rsid w:val="007A25A1"/>
    <w:rsid w:val="007A3FA3"/>
    <w:rsid w:val="007A473A"/>
    <w:rsid w:val="007A63BA"/>
    <w:rsid w:val="007A718E"/>
    <w:rsid w:val="007A7608"/>
    <w:rsid w:val="007A7DAF"/>
    <w:rsid w:val="007B12C6"/>
    <w:rsid w:val="007B5D6D"/>
    <w:rsid w:val="007B6459"/>
    <w:rsid w:val="007B669B"/>
    <w:rsid w:val="007B6767"/>
    <w:rsid w:val="007C1BD9"/>
    <w:rsid w:val="007C649C"/>
    <w:rsid w:val="007C6ED4"/>
    <w:rsid w:val="007C75AF"/>
    <w:rsid w:val="007C7764"/>
    <w:rsid w:val="007D0F64"/>
    <w:rsid w:val="007D1433"/>
    <w:rsid w:val="007D257A"/>
    <w:rsid w:val="007D628D"/>
    <w:rsid w:val="007D7EB3"/>
    <w:rsid w:val="007E3527"/>
    <w:rsid w:val="007E672D"/>
    <w:rsid w:val="007E6A9D"/>
    <w:rsid w:val="007E74B2"/>
    <w:rsid w:val="007F1DEA"/>
    <w:rsid w:val="007F3911"/>
    <w:rsid w:val="00800AAE"/>
    <w:rsid w:val="00801969"/>
    <w:rsid w:val="00801FA0"/>
    <w:rsid w:val="00804394"/>
    <w:rsid w:val="00806854"/>
    <w:rsid w:val="00812C45"/>
    <w:rsid w:val="008141A2"/>
    <w:rsid w:val="00814A7E"/>
    <w:rsid w:val="00815D74"/>
    <w:rsid w:val="0081638D"/>
    <w:rsid w:val="008214C9"/>
    <w:rsid w:val="008220E9"/>
    <w:rsid w:val="00826EBB"/>
    <w:rsid w:val="00826ED0"/>
    <w:rsid w:val="00827CA3"/>
    <w:rsid w:val="00831F2F"/>
    <w:rsid w:val="0083335E"/>
    <w:rsid w:val="008338BB"/>
    <w:rsid w:val="008355C4"/>
    <w:rsid w:val="008373B7"/>
    <w:rsid w:val="00841CC8"/>
    <w:rsid w:val="00844669"/>
    <w:rsid w:val="00845112"/>
    <w:rsid w:val="00845D7D"/>
    <w:rsid w:val="00846AEB"/>
    <w:rsid w:val="00846F14"/>
    <w:rsid w:val="00847397"/>
    <w:rsid w:val="00852F62"/>
    <w:rsid w:val="00855050"/>
    <w:rsid w:val="00857C08"/>
    <w:rsid w:val="008602A3"/>
    <w:rsid w:val="008631C6"/>
    <w:rsid w:val="0086481F"/>
    <w:rsid w:val="00865133"/>
    <w:rsid w:val="00872268"/>
    <w:rsid w:val="00874810"/>
    <w:rsid w:val="00875185"/>
    <w:rsid w:val="00880511"/>
    <w:rsid w:val="00881098"/>
    <w:rsid w:val="0088251E"/>
    <w:rsid w:val="00885213"/>
    <w:rsid w:val="0088681F"/>
    <w:rsid w:val="00887F2C"/>
    <w:rsid w:val="00890199"/>
    <w:rsid w:val="008920A8"/>
    <w:rsid w:val="008948B3"/>
    <w:rsid w:val="00895366"/>
    <w:rsid w:val="008A3ACE"/>
    <w:rsid w:val="008B0898"/>
    <w:rsid w:val="008B2445"/>
    <w:rsid w:val="008B2F47"/>
    <w:rsid w:val="008B306B"/>
    <w:rsid w:val="008B4814"/>
    <w:rsid w:val="008C05EA"/>
    <w:rsid w:val="008C2145"/>
    <w:rsid w:val="008C294F"/>
    <w:rsid w:val="008C2B54"/>
    <w:rsid w:val="008C37A0"/>
    <w:rsid w:val="008C5C71"/>
    <w:rsid w:val="008C5E45"/>
    <w:rsid w:val="008D35D8"/>
    <w:rsid w:val="008D4FB7"/>
    <w:rsid w:val="008D71D1"/>
    <w:rsid w:val="008E0DA0"/>
    <w:rsid w:val="008E53BE"/>
    <w:rsid w:val="008E659B"/>
    <w:rsid w:val="008F00AC"/>
    <w:rsid w:val="008F4157"/>
    <w:rsid w:val="008F4659"/>
    <w:rsid w:val="008F50C6"/>
    <w:rsid w:val="008F6633"/>
    <w:rsid w:val="00901352"/>
    <w:rsid w:val="009031C9"/>
    <w:rsid w:val="00903EF1"/>
    <w:rsid w:val="009046B0"/>
    <w:rsid w:val="009053A2"/>
    <w:rsid w:val="009053F5"/>
    <w:rsid w:val="00905594"/>
    <w:rsid w:val="00907F37"/>
    <w:rsid w:val="009108BC"/>
    <w:rsid w:val="0091207B"/>
    <w:rsid w:val="00912F7F"/>
    <w:rsid w:val="00913C56"/>
    <w:rsid w:val="00914293"/>
    <w:rsid w:val="00920528"/>
    <w:rsid w:val="00921061"/>
    <w:rsid w:val="00923931"/>
    <w:rsid w:val="00924291"/>
    <w:rsid w:val="00931777"/>
    <w:rsid w:val="00931CDB"/>
    <w:rsid w:val="00932926"/>
    <w:rsid w:val="00941F47"/>
    <w:rsid w:val="0094330F"/>
    <w:rsid w:val="009454EC"/>
    <w:rsid w:val="00947B10"/>
    <w:rsid w:val="009539CF"/>
    <w:rsid w:val="009551EF"/>
    <w:rsid w:val="00955DEA"/>
    <w:rsid w:val="00961CE6"/>
    <w:rsid w:val="00961EB9"/>
    <w:rsid w:val="00964788"/>
    <w:rsid w:val="00966DF1"/>
    <w:rsid w:val="00967739"/>
    <w:rsid w:val="00972FEA"/>
    <w:rsid w:val="00980E0A"/>
    <w:rsid w:val="0098168B"/>
    <w:rsid w:val="00983039"/>
    <w:rsid w:val="00983106"/>
    <w:rsid w:val="00984847"/>
    <w:rsid w:val="0098602D"/>
    <w:rsid w:val="00990011"/>
    <w:rsid w:val="00991105"/>
    <w:rsid w:val="00991FE7"/>
    <w:rsid w:val="00995773"/>
    <w:rsid w:val="00995E5B"/>
    <w:rsid w:val="0099680F"/>
    <w:rsid w:val="009A036C"/>
    <w:rsid w:val="009A0AB6"/>
    <w:rsid w:val="009A2218"/>
    <w:rsid w:val="009A4B8B"/>
    <w:rsid w:val="009A78AB"/>
    <w:rsid w:val="009B297D"/>
    <w:rsid w:val="009B2F02"/>
    <w:rsid w:val="009B539B"/>
    <w:rsid w:val="009B5CCC"/>
    <w:rsid w:val="009C0B32"/>
    <w:rsid w:val="009C1B04"/>
    <w:rsid w:val="009C1B6A"/>
    <w:rsid w:val="009C2182"/>
    <w:rsid w:val="009C293A"/>
    <w:rsid w:val="009C2AE4"/>
    <w:rsid w:val="009C3EC3"/>
    <w:rsid w:val="009C7627"/>
    <w:rsid w:val="009E5299"/>
    <w:rsid w:val="009E5536"/>
    <w:rsid w:val="009E65E5"/>
    <w:rsid w:val="009E7412"/>
    <w:rsid w:val="009F4530"/>
    <w:rsid w:val="009F487E"/>
    <w:rsid w:val="009F4925"/>
    <w:rsid w:val="009F5EB1"/>
    <w:rsid w:val="009F63B8"/>
    <w:rsid w:val="00A00C4D"/>
    <w:rsid w:val="00A01014"/>
    <w:rsid w:val="00A0230B"/>
    <w:rsid w:val="00A025E4"/>
    <w:rsid w:val="00A03207"/>
    <w:rsid w:val="00A03C76"/>
    <w:rsid w:val="00A045F8"/>
    <w:rsid w:val="00A05D8F"/>
    <w:rsid w:val="00A16D0F"/>
    <w:rsid w:val="00A20537"/>
    <w:rsid w:val="00A236A1"/>
    <w:rsid w:val="00A3099C"/>
    <w:rsid w:val="00A31E69"/>
    <w:rsid w:val="00A337D3"/>
    <w:rsid w:val="00A33B10"/>
    <w:rsid w:val="00A4040D"/>
    <w:rsid w:val="00A409E8"/>
    <w:rsid w:val="00A41E69"/>
    <w:rsid w:val="00A425B8"/>
    <w:rsid w:val="00A50E8C"/>
    <w:rsid w:val="00A52732"/>
    <w:rsid w:val="00A537DF"/>
    <w:rsid w:val="00A54C20"/>
    <w:rsid w:val="00A551C1"/>
    <w:rsid w:val="00A552B8"/>
    <w:rsid w:val="00A570B5"/>
    <w:rsid w:val="00A60CF2"/>
    <w:rsid w:val="00A6109F"/>
    <w:rsid w:val="00A64E60"/>
    <w:rsid w:val="00A65177"/>
    <w:rsid w:val="00A65CD2"/>
    <w:rsid w:val="00A67C21"/>
    <w:rsid w:val="00A70159"/>
    <w:rsid w:val="00A703BC"/>
    <w:rsid w:val="00A70A59"/>
    <w:rsid w:val="00A7199B"/>
    <w:rsid w:val="00A7587E"/>
    <w:rsid w:val="00A759FC"/>
    <w:rsid w:val="00A75D39"/>
    <w:rsid w:val="00A8086D"/>
    <w:rsid w:val="00A813EE"/>
    <w:rsid w:val="00A85977"/>
    <w:rsid w:val="00A85DEA"/>
    <w:rsid w:val="00A9078D"/>
    <w:rsid w:val="00A91099"/>
    <w:rsid w:val="00A91783"/>
    <w:rsid w:val="00A93D06"/>
    <w:rsid w:val="00A9732A"/>
    <w:rsid w:val="00AA0A1C"/>
    <w:rsid w:val="00AA1E81"/>
    <w:rsid w:val="00AA20DB"/>
    <w:rsid w:val="00AA6A7E"/>
    <w:rsid w:val="00AA6D11"/>
    <w:rsid w:val="00AA7930"/>
    <w:rsid w:val="00AC0619"/>
    <w:rsid w:val="00AC1313"/>
    <w:rsid w:val="00AC2F46"/>
    <w:rsid w:val="00AC7693"/>
    <w:rsid w:val="00AC78B8"/>
    <w:rsid w:val="00AD022C"/>
    <w:rsid w:val="00AD07A1"/>
    <w:rsid w:val="00AD0DF1"/>
    <w:rsid w:val="00AD24F7"/>
    <w:rsid w:val="00AD6492"/>
    <w:rsid w:val="00AD69E2"/>
    <w:rsid w:val="00AD762E"/>
    <w:rsid w:val="00AE60C9"/>
    <w:rsid w:val="00AE737B"/>
    <w:rsid w:val="00AE7949"/>
    <w:rsid w:val="00AF0505"/>
    <w:rsid w:val="00AF13A4"/>
    <w:rsid w:val="00AF6372"/>
    <w:rsid w:val="00AF644A"/>
    <w:rsid w:val="00B01067"/>
    <w:rsid w:val="00B03DEC"/>
    <w:rsid w:val="00B043C7"/>
    <w:rsid w:val="00B046BB"/>
    <w:rsid w:val="00B04B70"/>
    <w:rsid w:val="00B06FC3"/>
    <w:rsid w:val="00B07F9F"/>
    <w:rsid w:val="00B106F1"/>
    <w:rsid w:val="00B10844"/>
    <w:rsid w:val="00B131AE"/>
    <w:rsid w:val="00B14775"/>
    <w:rsid w:val="00B14FA0"/>
    <w:rsid w:val="00B17674"/>
    <w:rsid w:val="00B1794B"/>
    <w:rsid w:val="00B219CC"/>
    <w:rsid w:val="00B25AD9"/>
    <w:rsid w:val="00B2662F"/>
    <w:rsid w:val="00B32CBE"/>
    <w:rsid w:val="00B34EF8"/>
    <w:rsid w:val="00B407D1"/>
    <w:rsid w:val="00B412A1"/>
    <w:rsid w:val="00B42C9B"/>
    <w:rsid w:val="00B50A08"/>
    <w:rsid w:val="00B514AC"/>
    <w:rsid w:val="00B5236E"/>
    <w:rsid w:val="00B52F8E"/>
    <w:rsid w:val="00B55DD6"/>
    <w:rsid w:val="00B55E2D"/>
    <w:rsid w:val="00B578C7"/>
    <w:rsid w:val="00B657FD"/>
    <w:rsid w:val="00B65ADF"/>
    <w:rsid w:val="00B66900"/>
    <w:rsid w:val="00B66DF8"/>
    <w:rsid w:val="00B7161D"/>
    <w:rsid w:val="00B72C1D"/>
    <w:rsid w:val="00B73037"/>
    <w:rsid w:val="00B740CE"/>
    <w:rsid w:val="00B77811"/>
    <w:rsid w:val="00B84D42"/>
    <w:rsid w:val="00B8657E"/>
    <w:rsid w:val="00B8722F"/>
    <w:rsid w:val="00B937F4"/>
    <w:rsid w:val="00B94C6F"/>
    <w:rsid w:val="00B9529F"/>
    <w:rsid w:val="00B952F4"/>
    <w:rsid w:val="00BA1273"/>
    <w:rsid w:val="00BA49C3"/>
    <w:rsid w:val="00BA5B41"/>
    <w:rsid w:val="00BA6B21"/>
    <w:rsid w:val="00BB298F"/>
    <w:rsid w:val="00BB769E"/>
    <w:rsid w:val="00BB7E72"/>
    <w:rsid w:val="00BC0F89"/>
    <w:rsid w:val="00BC17C6"/>
    <w:rsid w:val="00BC7CC2"/>
    <w:rsid w:val="00BD3F4D"/>
    <w:rsid w:val="00BD483F"/>
    <w:rsid w:val="00BD7D67"/>
    <w:rsid w:val="00BE02A7"/>
    <w:rsid w:val="00BE2919"/>
    <w:rsid w:val="00BE469B"/>
    <w:rsid w:val="00BE527C"/>
    <w:rsid w:val="00BE7628"/>
    <w:rsid w:val="00BE7A35"/>
    <w:rsid w:val="00BF10E7"/>
    <w:rsid w:val="00BF27D9"/>
    <w:rsid w:val="00BF3036"/>
    <w:rsid w:val="00BF4F04"/>
    <w:rsid w:val="00BF5F72"/>
    <w:rsid w:val="00BF7C07"/>
    <w:rsid w:val="00C00EE6"/>
    <w:rsid w:val="00C01D2C"/>
    <w:rsid w:val="00C03306"/>
    <w:rsid w:val="00C050A9"/>
    <w:rsid w:val="00C06CD9"/>
    <w:rsid w:val="00C1020A"/>
    <w:rsid w:val="00C11B09"/>
    <w:rsid w:val="00C11E78"/>
    <w:rsid w:val="00C13417"/>
    <w:rsid w:val="00C17276"/>
    <w:rsid w:val="00C20A65"/>
    <w:rsid w:val="00C21936"/>
    <w:rsid w:val="00C21A63"/>
    <w:rsid w:val="00C236FF"/>
    <w:rsid w:val="00C243A3"/>
    <w:rsid w:val="00C25A26"/>
    <w:rsid w:val="00C276F7"/>
    <w:rsid w:val="00C30375"/>
    <w:rsid w:val="00C3361F"/>
    <w:rsid w:val="00C33C75"/>
    <w:rsid w:val="00C358D6"/>
    <w:rsid w:val="00C3597B"/>
    <w:rsid w:val="00C36E1B"/>
    <w:rsid w:val="00C41151"/>
    <w:rsid w:val="00C41316"/>
    <w:rsid w:val="00C44A6E"/>
    <w:rsid w:val="00C453CD"/>
    <w:rsid w:val="00C4737E"/>
    <w:rsid w:val="00C5640A"/>
    <w:rsid w:val="00C65EC8"/>
    <w:rsid w:val="00C6748A"/>
    <w:rsid w:val="00C677F7"/>
    <w:rsid w:val="00C7138B"/>
    <w:rsid w:val="00C763EC"/>
    <w:rsid w:val="00C77144"/>
    <w:rsid w:val="00C77E94"/>
    <w:rsid w:val="00C81182"/>
    <w:rsid w:val="00C816DF"/>
    <w:rsid w:val="00C818FD"/>
    <w:rsid w:val="00C81A54"/>
    <w:rsid w:val="00C8297E"/>
    <w:rsid w:val="00C83F44"/>
    <w:rsid w:val="00C915D4"/>
    <w:rsid w:val="00C93B9A"/>
    <w:rsid w:val="00C93EC9"/>
    <w:rsid w:val="00C94290"/>
    <w:rsid w:val="00CA17AE"/>
    <w:rsid w:val="00CA344B"/>
    <w:rsid w:val="00CB5E09"/>
    <w:rsid w:val="00CB62EC"/>
    <w:rsid w:val="00CB6CC5"/>
    <w:rsid w:val="00CB6FC3"/>
    <w:rsid w:val="00CB7B8A"/>
    <w:rsid w:val="00CC0361"/>
    <w:rsid w:val="00CC4071"/>
    <w:rsid w:val="00CC7088"/>
    <w:rsid w:val="00CD17D5"/>
    <w:rsid w:val="00CD1E8B"/>
    <w:rsid w:val="00CD2536"/>
    <w:rsid w:val="00CD3201"/>
    <w:rsid w:val="00CD32C5"/>
    <w:rsid w:val="00CD515E"/>
    <w:rsid w:val="00CD7009"/>
    <w:rsid w:val="00CE063D"/>
    <w:rsid w:val="00CE0E69"/>
    <w:rsid w:val="00CE5017"/>
    <w:rsid w:val="00CE73F6"/>
    <w:rsid w:val="00CF2627"/>
    <w:rsid w:val="00CF4526"/>
    <w:rsid w:val="00CF5FBE"/>
    <w:rsid w:val="00CF6F0E"/>
    <w:rsid w:val="00CF751E"/>
    <w:rsid w:val="00D00642"/>
    <w:rsid w:val="00D00CAA"/>
    <w:rsid w:val="00D01168"/>
    <w:rsid w:val="00D02750"/>
    <w:rsid w:val="00D1125B"/>
    <w:rsid w:val="00D13A3E"/>
    <w:rsid w:val="00D15206"/>
    <w:rsid w:val="00D17F48"/>
    <w:rsid w:val="00D21B66"/>
    <w:rsid w:val="00D31830"/>
    <w:rsid w:val="00D353C3"/>
    <w:rsid w:val="00D403A9"/>
    <w:rsid w:val="00D41B53"/>
    <w:rsid w:val="00D41BD2"/>
    <w:rsid w:val="00D42F70"/>
    <w:rsid w:val="00D44E92"/>
    <w:rsid w:val="00D506C6"/>
    <w:rsid w:val="00D525BB"/>
    <w:rsid w:val="00D5283F"/>
    <w:rsid w:val="00D53221"/>
    <w:rsid w:val="00D54794"/>
    <w:rsid w:val="00D54805"/>
    <w:rsid w:val="00D60611"/>
    <w:rsid w:val="00D606B4"/>
    <w:rsid w:val="00D61D50"/>
    <w:rsid w:val="00D6209A"/>
    <w:rsid w:val="00D649F3"/>
    <w:rsid w:val="00D720D8"/>
    <w:rsid w:val="00D73AAA"/>
    <w:rsid w:val="00D73DC1"/>
    <w:rsid w:val="00D763E7"/>
    <w:rsid w:val="00D76CFE"/>
    <w:rsid w:val="00D8264B"/>
    <w:rsid w:val="00D9197B"/>
    <w:rsid w:val="00D93BEC"/>
    <w:rsid w:val="00D97D5C"/>
    <w:rsid w:val="00DA1193"/>
    <w:rsid w:val="00DA34F8"/>
    <w:rsid w:val="00DA3F2C"/>
    <w:rsid w:val="00DA4CBD"/>
    <w:rsid w:val="00DB3933"/>
    <w:rsid w:val="00DB3EEF"/>
    <w:rsid w:val="00DB3F52"/>
    <w:rsid w:val="00DB5396"/>
    <w:rsid w:val="00DC0B71"/>
    <w:rsid w:val="00DC1DDF"/>
    <w:rsid w:val="00DC48C5"/>
    <w:rsid w:val="00DC5FA2"/>
    <w:rsid w:val="00DC6299"/>
    <w:rsid w:val="00DC7A33"/>
    <w:rsid w:val="00DD07F4"/>
    <w:rsid w:val="00DD18FD"/>
    <w:rsid w:val="00DD45F4"/>
    <w:rsid w:val="00DD6410"/>
    <w:rsid w:val="00DE24BE"/>
    <w:rsid w:val="00DE4DB6"/>
    <w:rsid w:val="00DE6D85"/>
    <w:rsid w:val="00DF06FE"/>
    <w:rsid w:val="00DF30BD"/>
    <w:rsid w:val="00DF38EB"/>
    <w:rsid w:val="00DF40AF"/>
    <w:rsid w:val="00DF4655"/>
    <w:rsid w:val="00DF537B"/>
    <w:rsid w:val="00DF57AF"/>
    <w:rsid w:val="00E01AB8"/>
    <w:rsid w:val="00E0390E"/>
    <w:rsid w:val="00E05865"/>
    <w:rsid w:val="00E07707"/>
    <w:rsid w:val="00E102B8"/>
    <w:rsid w:val="00E10A82"/>
    <w:rsid w:val="00E15343"/>
    <w:rsid w:val="00E15CBE"/>
    <w:rsid w:val="00E20039"/>
    <w:rsid w:val="00E212C9"/>
    <w:rsid w:val="00E2205C"/>
    <w:rsid w:val="00E22EEC"/>
    <w:rsid w:val="00E2321D"/>
    <w:rsid w:val="00E24484"/>
    <w:rsid w:val="00E24A58"/>
    <w:rsid w:val="00E25E2D"/>
    <w:rsid w:val="00E26D99"/>
    <w:rsid w:val="00E2710A"/>
    <w:rsid w:val="00E27505"/>
    <w:rsid w:val="00E30587"/>
    <w:rsid w:val="00E30B4C"/>
    <w:rsid w:val="00E31130"/>
    <w:rsid w:val="00E3266D"/>
    <w:rsid w:val="00E37BDE"/>
    <w:rsid w:val="00E40631"/>
    <w:rsid w:val="00E40D49"/>
    <w:rsid w:val="00E4299A"/>
    <w:rsid w:val="00E44D9F"/>
    <w:rsid w:val="00E44F03"/>
    <w:rsid w:val="00E45D4E"/>
    <w:rsid w:val="00E476AF"/>
    <w:rsid w:val="00E509F3"/>
    <w:rsid w:val="00E5740A"/>
    <w:rsid w:val="00E631D3"/>
    <w:rsid w:val="00E639EC"/>
    <w:rsid w:val="00E6786D"/>
    <w:rsid w:val="00E71654"/>
    <w:rsid w:val="00E72731"/>
    <w:rsid w:val="00E73E02"/>
    <w:rsid w:val="00E76780"/>
    <w:rsid w:val="00E77DC7"/>
    <w:rsid w:val="00E824E9"/>
    <w:rsid w:val="00E83031"/>
    <w:rsid w:val="00E83F48"/>
    <w:rsid w:val="00E84887"/>
    <w:rsid w:val="00E84FEE"/>
    <w:rsid w:val="00E86210"/>
    <w:rsid w:val="00E92897"/>
    <w:rsid w:val="00E94998"/>
    <w:rsid w:val="00EA2128"/>
    <w:rsid w:val="00EA257E"/>
    <w:rsid w:val="00EA4C79"/>
    <w:rsid w:val="00EA5E86"/>
    <w:rsid w:val="00EA71FE"/>
    <w:rsid w:val="00EA7B92"/>
    <w:rsid w:val="00EB1049"/>
    <w:rsid w:val="00EB29E2"/>
    <w:rsid w:val="00EB3698"/>
    <w:rsid w:val="00EB399F"/>
    <w:rsid w:val="00EB7FB7"/>
    <w:rsid w:val="00EC0DC4"/>
    <w:rsid w:val="00EC1CEA"/>
    <w:rsid w:val="00EC4039"/>
    <w:rsid w:val="00EC48F9"/>
    <w:rsid w:val="00ED18E4"/>
    <w:rsid w:val="00ED4B75"/>
    <w:rsid w:val="00ED5074"/>
    <w:rsid w:val="00ED554C"/>
    <w:rsid w:val="00ED6234"/>
    <w:rsid w:val="00ED746E"/>
    <w:rsid w:val="00EE020E"/>
    <w:rsid w:val="00EE30EE"/>
    <w:rsid w:val="00EE39DE"/>
    <w:rsid w:val="00EE568B"/>
    <w:rsid w:val="00EE6360"/>
    <w:rsid w:val="00EE6ED9"/>
    <w:rsid w:val="00EF0A7B"/>
    <w:rsid w:val="00EF14FB"/>
    <w:rsid w:val="00EF24D5"/>
    <w:rsid w:val="00EF37F8"/>
    <w:rsid w:val="00EF4544"/>
    <w:rsid w:val="00EF5423"/>
    <w:rsid w:val="00EF6390"/>
    <w:rsid w:val="00EF6FC7"/>
    <w:rsid w:val="00F05AD7"/>
    <w:rsid w:val="00F05C46"/>
    <w:rsid w:val="00F0747A"/>
    <w:rsid w:val="00F10978"/>
    <w:rsid w:val="00F1127B"/>
    <w:rsid w:val="00F11A77"/>
    <w:rsid w:val="00F126F8"/>
    <w:rsid w:val="00F13ABF"/>
    <w:rsid w:val="00F14B9B"/>
    <w:rsid w:val="00F163A1"/>
    <w:rsid w:val="00F16663"/>
    <w:rsid w:val="00F17B39"/>
    <w:rsid w:val="00F20453"/>
    <w:rsid w:val="00F20834"/>
    <w:rsid w:val="00F22130"/>
    <w:rsid w:val="00F247B1"/>
    <w:rsid w:val="00F30C71"/>
    <w:rsid w:val="00F31016"/>
    <w:rsid w:val="00F33189"/>
    <w:rsid w:val="00F335E4"/>
    <w:rsid w:val="00F35D01"/>
    <w:rsid w:val="00F35FFF"/>
    <w:rsid w:val="00F36367"/>
    <w:rsid w:val="00F37C6B"/>
    <w:rsid w:val="00F41A6F"/>
    <w:rsid w:val="00F42907"/>
    <w:rsid w:val="00F4428C"/>
    <w:rsid w:val="00F45F23"/>
    <w:rsid w:val="00F477F9"/>
    <w:rsid w:val="00F51A60"/>
    <w:rsid w:val="00F551EA"/>
    <w:rsid w:val="00F5552B"/>
    <w:rsid w:val="00F63277"/>
    <w:rsid w:val="00F63373"/>
    <w:rsid w:val="00F65BC0"/>
    <w:rsid w:val="00F660EA"/>
    <w:rsid w:val="00F67CB0"/>
    <w:rsid w:val="00F67FF3"/>
    <w:rsid w:val="00F70153"/>
    <w:rsid w:val="00F71007"/>
    <w:rsid w:val="00F720FF"/>
    <w:rsid w:val="00F72EBD"/>
    <w:rsid w:val="00F730E5"/>
    <w:rsid w:val="00F74866"/>
    <w:rsid w:val="00F76C4E"/>
    <w:rsid w:val="00F80003"/>
    <w:rsid w:val="00F82555"/>
    <w:rsid w:val="00F8653B"/>
    <w:rsid w:val="00FA2470"/>
    <w:rsid w:val="00FA2AB0"/>
    <w:rsid w:val="00FA70EB"/>
    <w:rsid w:val="00FB368E"/>
    <w:rsid w:val="00FB36C6"/>
    <w:rsid w:val="00FB3955"/>
    <w:rsid w:val="00FB4CDE"/>
    <w:rsid w:val="00FC08B4"/>
    <w:rsid w:val="00FC42CF"/>
    <w:rsid w:val="00FC471F"/>
    <w:rsid w:val="00FC5A3D"/>
    <w:rsid w:val="00FC654E"/>
    <w:rsid w:val="00FC6C50"/>
    <w:rsid w:val="00FC73ED"/>
    <w:rsid w:val="00FD0A1C"/>
    <w:rsid w:val="00FD22E8"/>
    <w:rsid w:val="00FD5731"/>
    <w:rsid w:val="00FD6023"/>
    <w:rsid w:val="00FD69C5"/>
    <w:rsid w:val="00FD7D71"/>
    <w:rsid w:val="00FE0055"/>
    <w:rsid w:val="00FE2175"/>
    <w:rsid w:val="00FE279D"/>
    <w:rsid w:val="00FE3737"/>
    <w:rsid w:val="00FE465E"/>
    <w:rsid w:val="00FE69DA"/>
    <w:rsid w:val="00FE6A9F"/>
    <w:rsid w:val="00FE780E"/>
    <w:rsid w:val="00FE7E3B"/>
    <w:rsid w:val="00FF264E"/>
    <w:rsid w:val="00FF2F91"/>
    <w:rsid w:val="00FF3A22"/>
    <w:rsid w:val="00FF3FF9"/>
    <w:rsid w:val="00FF6A72"/>
    <w:rsid w:val="00FF6F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15438"/>
  <w15:chartTrackingRefBased/>
  <w15:docId w15:val="{84C33099-622F-43F0-A67D-C1C31706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79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C413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930"/>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AA793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9C3EC3"/>
    <w:rPr>
      <w:color w:val="0563C1" w:themeColor="hyperlink"/>
      <w:u w:val="single"/>
    </w:rPr>
  </w:style>
  <w:style w:type="character" w:styleId="UnresolvedMention">
    <w:name w:val="Unresolved Mention"/>
    <w:basedOn w:val="DefaultParagraphFont"/>
    <w:uiPriority w:val="99"/>
    <w:semiHidden/>
    <w:unhideWhenUsed/>
    <w:rsid w:val="009C3EC3"/>
    <w:rPr>
      <w:color w:val="605E5C"/>
      <w:shd w:val="clear" w:color="auto" w:fill="E1DFDD"/>
    </w:rPr>
  </w:style>
  <w:style w:type="paragraph" w:styleId="NoSpacing">
    <w:name w:val="No Spacing"/>
    <w:link w:val="NoSpacingChar"/>
    <w:uiPriority w:val="1"/>
    <w:qFormat/>
    <w:rsid w:val="003720E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720EA"/>
    <w:rPr>
      <w:rFonts w:eastAsiaTheme="minorEastAsia"/>
      <w:lang w:val="en-US"/>
    </w:rPr>
  </w:style>
  <w:style w:type="paragraph" w:styleId="TOCHeading">
    <w:name w:val="TOC Heading"/>
    <w:basedOn w:val="Heading1"/>
    <w:next w:val="Normal"/>
    <w:uiPriority w:val="39"/>
    <w:unhideWhenUsed/>
    <w:qFormat/>
    <w:rsid w:val="00A70A5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C41316"/>
    <w:pPr>
      <w:spacing w:after="100"/>
    </w:pPr>
  </w:style>
  <w:style w:type="paragraph" w:styleId="Header">
    <w:name w:val="header"/>
    <w:basedOn w:val="Normal"/>
    <w:link w:val="HeaderChar"/>
    <w:uiPriority w:val="99"/>
    <w:unhideWhenUsed/>
    <w:rsid w:val="00C413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316"/>
  </w:style>
  <w:style w:type="paragraph" w:styleId="Footer">
    <w:name w:val="footer"/>
    <w:basedOn w:val="Normal"/>
    <w:link w:val="FooterChar"/>
    <w:uiPriority w:val="99"/>
    <w:unhideWhenUsed/>
    <w:rsid w:val="00C413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316"/>
  </w:style>
  <w:style w:type="character" w:customStyle="1" w:styleId="Heading2Char">
    <w:name w:val="Heading 2 Char"/>
    <w:basedOn w:val="DefaultParagraphFont"/>
    <w:link w:val="Heading2"/>
    <w:uiPriority w:val="9"/>
    <w:rsid w:val="00C41316"/>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C061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5484">
      <w:bodyDiv w:val="1"/>
      <w:marLeft w:val="0"/>
      <w:marRight w:val="0"/>
      <w:marTop w:val="0"/>
      <w:marBottom w:val="0"/>
      <w:divBdr>
        <w:top w:val="none" w:sz="0" w:space="0" w:color="auto"/>
        <w:left w:val="none" w:sz="0" w:space="0" w:color="auto"/>
        <w:bottom w:val="none" w:sz="0" w:space="0" w:color="auto"/>
        <w:right w:val="none" w:sz="0" w:space="0" w:color="auto"/>
      </w:divBdr>
    </w:div>
    <w:div w:id="56977410">
      <w:bodyDiv w:val="1"/>
      <w:marLeft w:val="0"/>
      <w:marRight w:val="0"/>
      <w:marTop w:val="0"/>
      <w:marBottom w:val="0"/>
      <w:divBdr>
        <w:top w:val="none" w:sz="0" w:space="0" w:color="auto"/>
        <w:left w:val="none" w:sz="0" w:space="0" w:color="auto"/>
        <w:bottom w:val="none" w:sz="0" w:space="0" w:color="auto"/>
        <w:right w:val="none" w:sz="0" w:space="0" w:color="auto"/>
      </w:divBdr>
    </w:div>
    <w:div w:id="354429432">
      <w:bodyDiv w:val="1"/>
      <w:marLeft w:val="0"/>
      <w:marRight w:val="0"/>
      <w:marTop w:val="0"/>
      <w:marBottom w:val="0"/>
      <w:divBdr>
        <w:top w:val="none" w:sz="0" w:space="0" w:color="auto"/>
        <w:left w:val="none" w:sz="0" w:space="0" w:color="auto"/>
        <w:bottom w:val="none" w:sz="0" w:space="0" w:color="auto"/>
        <w:right w:val="none" w:sz="0" w:space="0" w:color="auto"/>
      </w:divBdr>
    </w:div>
    <w:div w:id="391849369">
      <w:bodyDiv w:val="1"/>
      <w:marLeft w:val="0"/>
      <w:marRight w:val="0"/>
      <w:marTop w:val="0"/>
      <w:marBottom w:val="0"/>
      <w:divBdr>
        <w:top w:val="none" w:sz="0" w:space="0" w:color="auto"/>
        <w:left w:val="none" w:sz="0" w:space="0" w:color="auto"/>
        <w:bottom w:val="none" w:sz="0" w:space="0" w:color="auto"/>
        <w:right w:val="none" w:sz="0" w:space="0" w:color="auto"/>
      </w:divBdr>
    </w:div>
    <w:div w:id="433863089">
      <w:bodyDiv w:val="1"/>
      <w:marLeft w:val="0"/>
      <w:marRight w:val="0"/>
      <w:marTop w:val="0"/>
      <w:marBottom w:val="0"/>
      <w:divBdr>
        <w:top w:val="none" w:sz="0" w:space="0" w:color="auto"/>
        <w:left w:val="none" w:sz="0" w:space="0" w:color="auto"/>
        <w:bottom w:val="none" w:sz="0" w:space="0" w:color="auto"/>
        <w:right w:val="none" w:sz="0" w:space="0" w:color="auto"/>
      </w:divBdr>
    </w:div>
    <w:div w:id="441728832">
      <w:bodyDiv w:val="1"/>
      <w:marLeft w:val="0"/>
      <w:marRight w:val="0"/>
      <w:marTop w:val="0"/>
      <w:marBottom w:val="0"/>
      <w:divBdr>
        <w:top w:val="none" w:sz="0" w:space="0" w:color="auto"/>
        <w:left w:val="none" w:sz="0" w:space="0" w:color="auto"/>
        <w:bottom w:val="none" w:sz="0" w:space="0" w:color="auto"/>
        <w:right w:val="none" w:sz="0" w:space="0" w:color="auto"/>
      </w:divBdr>
    </w:div>
    <w:div w:id="687677634">
      <w:bodyDiv w:val="1"/>
      <w:marLeft w:val="0"/>
      <w:marRight w:val="0"/>
      <w:marTop w:val="0"/>
      <w:marBottom w:val="0"/>
      <w:divBdr>
        <w:top w:val="none" w:sz="0" w:space="0" w:color="auto"/>
        <w:left w:val="none" w:sz="0" w:space="0" w:color="auto"/>
        <w:bottom w:val="none" w:sz="0" w:space="0" w:color="auto"/>
        <w:right w:val="none" w:sz="0" w:space="0" w:color="auto"/>
      </w:divBdr>
    </w:div>
    <w:div w:id="760874025">
      <w:bodyDiv w:val="1"/>
      <w:marLeft w:val="0"/>
      <w:marRight w:val="0"/>
      <w:marTop w:val="0"/>
      <w:marBottom w:val="0"/>
      <w:divBdr>
        <w:top w:val="none" w:sz="0" w:space="0" w:color="auto"/>
        <w:left w:val="none" w:sz="0" w:space="0" w:color="auto"/>
        <w:bottom w:val="none" w:sz="0" w:space="0" w:color="auto"/>
        <w:right w:val="none" w:sz="0" w:space="0" w:color="auto"/>
      </w:divBdr>
    </w:div>
    <w:div w:id="761486196">
      <w:bodyDiv w:val="1"/>
      <w:marLeft w:val="0"/>
      <w:marRight w:val="0"/>
      <w:marTop w:val="0"/>
      <w:marBottom w:val="0"/>
      <w:divBdr>
        <w:top w:val="none" w:sz="0" w:space="0" w:color="auto"/>
        <w:left w:val="none" w:sz="0" w:space="0" w:color="auto"/>
        <w:bottom w:val="none" w:sz="0" w:space="0" w:color="auto"/>
        <w:right w:val="none" w:sz="0" w:space="0" w:color="auto"/>
      </w:divBdr>
    </w:div>
    <w:div w:id="864709798">
      <w:bodyDiv w:val="1"/>
      <w:marLeft w:val="0"/>
      <w:marRight w:val="0"/>
      <w:marTop w:val="0"/>
      <w:marBottom w:val="0"/>
      <w:divBdr>
        <w:top w:val="none" w:sz="0" w:space="0" w:color="auto"/>
        <w:left w:val="none" w:sz="0" w:space="0" w:color="auto"/>
        <w:bottom w:val="none" w:sz="0" w:space="0" w:color="auto"/>
        <w:right w:val="none" w:sz="0" w:space="0" w:color="auto"/>
      </w:divBdr>
    </w:div>
    <w:div w:id="892737661">
      <w:bodyDiv w:val="1"/>
      <w:marLeft w:val="0"/>
      <w:marRight w:val="0"/>
      <w:marTop w:val="0"/>
      <w:marBottom w:val="0"/>
      <w:divBdr>
        <w:top w:val="none" w:sz="0" w:space="0" w:color="auto"/>
        <w:left w:val="none" w:sz="0" w:space="0" w:color="auto"/>
        <w:bottom w:val="none" w:sz="0" w:space="0" w:color="auto"/>
        <w:right w:val="none" w:sz="0" w:space="0" w:color="auto"/>
      </w:divBdr>
    </w:div>
    <w:div w:id="948439825">
      <w:bodyDiv w:val="1"/>
      <w:marLeft w:val="0"/>
      <w:marRight w:val="0"/>
      <w:marTop w:val="0"/>
      <w:marBottom w:val="0"/>
      <w:divBdr>
        <w:top w:val="none" w:sz="0" w:space="0" w:color="auto"/>
        <w:left w:val="none" w:sz="0" w:space="0" w:color="auto"/>
        <w:bottom w:val="none" w:sz="0" w:space="0" w:color="auto"/>
        <w:right w:val="none" w:sz="0" w:space="0" w:color="auto"/>
      </w:divBdr>
      <w:divsChild>
        <w:div w:id="1901092598">
          <w:marLeft w:val="0"/>
          <w:marRight w:val="0"/>
          <w:marTop w:val="0"/>
          <w:marBottom w:val="0"/>
          <w:divBdr>
            <w:top w:val="none" w:sz="0" w:space="0" w:color="auto"/>
            <w:left w:val="none" w:sz="0" w:space="0" w:color="auto"/>
            <w:bottom w:val="none" w:sz="0" w:space="0" w:color="auto"/>
            <w:right w:val="none" w:sz="0" w:space="0" w:color="auto"/>
          </w:divBdr>
        </w:div>
      </w:divsChild>
    </w:div>
    <w:div w:id="1083525014">
      <w:bodyDiv w:val="1"/>
      <w:marLeft w:val="0"/>
      <w:marRight w:val="0"/>
      <w:marTop w:val="0"/>
      <w:marBottom w:val="0"/>
      <w:divBdr>
        <w:top w:val="none" w:sz="0" w:space="0" w:color="auto"/>
        <w:left w:val="none" w:sz="0" w:space="0" w:color="auto"/>
        <w:bottom w:val="none" w:sz="0" w:space="0" w:color="auto"/>
        <w:right w:val="none" w:sz="0" w:space="0" w:color="auto"/>
      </w:divBdr>
    </w:div>
    <w:div w:id="1113087994">
      <w:bodyDiv w:val="1"/>
      <w:marLeft w:val="0"/>
      <w:marRight w:val="0"/>
      <w:marTop w:val="0"/>
      <w:marBottom w:val="0"/>
      <w:divBdr>
        <w:top w:val="none" w:sz="0" w:space="0" w:color="auto"/>
        <w:left w:val="none" w:sz="0" w:space="0" w:color="auto"/>
        <w:bottom w:val="none" w:sz="0" w:space="0" w:color="auto"/>
        <w:right w:val="none" w:sz="0" w:space="0" w:color="auto"/>
      </w:divBdr>
    </w:div>
    <w:div w:id="1173957079">
      <w:bodyDiv w:val="1"/>
      <w:marLeft w:val="0"/>
      <w:marRight w:val="0"/>
      <w:marTop w:val="0"/>
      <w:marBottom w:val="0"/>
      <w:divBdr>
        <w:top w:val="none" w:sz="0" w:space="0" w:color="auto"/>
        <w:left w:val="none" w:sz="0" w:space="0" w:color="auto"/>
        <w:bottom w:val="none" w:sz="0" w:space="0" w:color="auto"/>
        <w:right w:val="none" w:sz="0" w:space="0" w:color="auto"/>
      </w:divBdr>
    </w:div>
    <w:div w:id="1263418596">
      <w:bodyDiv w:val="1"/>
      <w:marLeft w:val="0"/>
      <w:marRight w:val="0"/>
      <w:marTop w:val="0"/>
      <w:marBottom w:val="0"/>
      <w:divBdr>
        <w:top w:val="none" w:sz="0" w:space="0" w:color="auto"/>
        <w:left w:val="none" w:sz="0" w:space="0" w:color="auto"/>
        <w:bottom w:val="none" w:sz="0" w:space="0" w:color="auto"/>
        <w:right w:val="none" w:sz="0" w:space="0" w:color="auto"/>
      </w:divBdr>
    </w:div>
    <w:div w:id="1342125734">
      <w:bodyDiv w:val="1"/>
      <w:marLeft w:val="0"/>
      <w:marRight w:val="0"/>
      <w:marTop w:val="0"/>
      <w:marBottom w:val="0"/>
      <w:divBdr>
        <w:top w:val="none" w:sz="0" w:space="0" w:color="auto"/>
        <w:left w:val="none" w:sz="0" w:space="0" w:color="auto"/>
        <w:bottom w:val="none" w:sz="0" w:space="0" w:color="auto"/>
        <w:right w:val="none" w:sz="0" w:space="0" w:color="auto"/>
      </w:divBdr>
    </w:div>
    <w:div w:id="1362317721">
      <w:bodyDiv w:val="1"/>
      <w:marLeft w:val="0"/>
      <w:marRight w:val="0"/>
      <w:marTop w:val="0"/>
      <w:marBottom w:val="0"/>
      <w:divBdr>
        <w:top w:val="none" w:sz="0" w:space="0" w:color="auto"/>
        <w:left w:val="none" w:sz="0" w:space="0" w:color="auto"/>
        <w:bottom w:val="none" w:sz="0" w:space="0" w:color="auto"/>
        <w:right w:val="none" w:sz="0" w:space="0" w:color="auto"/>
      </w:divBdr>
    </w:div>
    <w:div w:id="1411655678">
      <w:bodyDiv w:val="1"/>
      <w:marLeft w:val="0"/>
      <w:marRight w:val="0"/>
      <w:marTop w:val="0"/>
      <w:marBottom w:val="0"/>
      <w:divBdr>
        <w:top w:val="none" w:sz="0" w:space="0" w:color="auto"/>
        <w:left w:val="none" w:sz="0" w:space="0" w:color="auto"/>
        <w:bottom w:val="none" w:sz="0" w:space="0" w:color="auto"/>
        <w:right w:val="none" w:sz="0" w:space="0" w:color="auto"/>
      </w:divBdr>
    </w:div>
    <w:div w:id="1501382447">
      <w:bodyDiv w:val="1"/>
      <w:marLeft w:val="0"/>
      <w:marRight w:val="0"/>
      <w:marTop w:val="0"/>
      <w:marBottom w:val="0"/>
      <w:divBdr>
        <w:top w:val="none" w:sz="0" w:space="0" w:color="auto"/>
        <w:left w:val="none" w:sz="0" w:space="0" w:color="auto"/>
        <w:bottom w:val="none" w:sz="0" w:space="0" w:color="auto"/>
        <w:right w:val="none" w:sz="0" w:space="0" w:color="auto"/>
      </w:divBdr>
    </w:div>
    <w:div w:id="1534153314">
      <w:bodyDiv w:val="1"/>
      <w:marLeft w:val="0"/>
      <w:marRight w:val="0"/>
      <w:marTop w:val="0"/>
      <w:marBottom w:val="0"/>
      <w:divBdr>
        <w:top w:val="none" w:sz="0" w:space="0" w:color="auto"/>
        <w:left w:val="none" w:sz="0" w:space="0" w:color="auto"/>
        <w:bottom w:val="none" w:sz="0" w:space="0" w:color="auto"/>
        <w:right w:val="none" w:sz="0" w:space="0" w:color="auto"/>
      </w:divBdr>
    </w:div>
    <w:div w:id="1719430238">
      <w:bodyDiv w:val="1"/>
      <w:marLeft w:val="0"/>
      <w:marRight w:val="0"/>
      <w:marTop w:val="0"/>
      <w:marBottom w:val="0"/>
      <w:divBdr>
        <w:top w:val="none" w:sz="0" w:space="0" w:color="auto"/>
        <w:left w:val="none" w:sz="0" w:space="0" w:color="auto"/>
        <w:bottom w:val="none" w:sz="0" w:space="0" w:color="auto"/>
        <w:right w:val="none" w:sz="0" w:space="0" w:color="auto"/>
      </w:divBdr>
    </w:div>
    <w:div w:id="1984433133">
      <w:bodyDiv w:val="1"/>
      <w:marLeft w:val="0"/>
      <w:marRight w:val="0"/>
      <w:marTop w:val="0"/>
      <w:marBottom w:val="0"/>
      <w:divBdr>
        <w:top w:val="none" w:sz="0" w:space="0" w:color="auto"/>
        <w:left w:val="none" w:sz="0" w:space="0" w:color="auto"/>
        <w:bottom w:val="none" w:sz="0" w:space="0" w:color="auto"/>
        <w:right w:val="none" w:sz="0" w:space="0" w:color="auto"/>
      </w:divBdr>
    </w:div>
    <w:div w:id="2029480703">
      <w:bodyDiv w:val="1"/>
      <w:marLeft w:val="0"/>
      <w:marRight w:val="0"/>
      <w:marTop w:val="0"/>
      <w:marBottom w:val="0"/>
      <w:divBdr>
        <w:top w:val="none" w:sz="0" w:space="0" w:color="auto"/>
        <w:left w:val="none" w:sz="0" w:space="0" w:color="auto"/>
        <w:bottom w:val="none" w:sz="0" w:space="0" w:color="auto"/>
        <w:right w:val="none" w:sz="0" w:space="0" w:color="auto"/>
      </w:divBdr>
    </w:div>
    <w:div w:id="211631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139/ssrn.2027211" TargetMode="External"/><Relationship Id="rId18" Type="http://schemas.openxmlformats.org/officeDocument/2006/relationships/hyperlink" Target="https://doi.org/10.1016/0304-405X(76)90026-X" TargetMode="External"/><Relationship Id="rId26" Type="http://schemas.openxmlformats.org/officeDocument/2006/relationships/hyperlink" Target="https://www.annualreports.com/HostedData/AnnualReportArchive/M/LSE_MGAM_2013.pdf" TargetMode="External"/><Relationship Id="rId3" Type="http://schemas.openxmlformats.org/officeDocument/2006/relationships/settings" Target="settings.xml"/><Relationship Id="rId21" Type="http://schemas.openxmlformats.org/officeDocument/2006/relationships/hyperlink" Target="https://www.isca.me/rjrs/archive/v3/i10/19.ISCA-RJRS-2013-772.pdf"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jstor.org/stable/1816462" TargetMode="External"/><Relationship Id="rId17" Type="http://schemas.openxmlformats.org/officeDocument/2006/relationships/hyperlink" Target="https://www.researchgate.net/publication/325011765" TargetMode="External"/><Relationship Id="rId25" Type="http://schemas.openxmlformats.org/officeDocument/2006/relationships/hyperlink" Target="https://www.annualreports.com/HostedData/AnnualReportArchive/M/LSE_MGAM_2015.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ame-r1-bvdinfo-com.oxfordbrookes.idm.oclc.org/version-20241203-2-0/fame/1/Companies/Report" TargetMode="External"/><Relationship Id="rId20" Type="http://schemas.openxmlformats.org/officeDocument/2006/relationships/hyperlink" Target="https://doi.org/10.1515/ael-2013-0026" TargetMode="External"/><Relationship Id="rId29" Type="http://schemas.openxmlformats.org/officeDocument/2006/relationships/hyperlink" Target="https://doi.org/10.2307/232680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307/2491093" TargetMode="External"/><Relationship Id="rId24" Type="http://schemas.openxmlformats.org/officeDocument/2006/relationships/hyperlink" Target="https://www.annualreports.com/HostedData/AnnualReportArchive/M/LSE_MGAM_2017.pdf"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2307/2978261" TargetMode="External"/><Relationship Id="rId23" Type="http://schemas.openxmlformats.org/officeDocument/2006/relationships/hyperlink" Target="https://www.annualreports.com/HostedData/AnnualReportArchive/M/LSE_MGAM_2020.pdf" TargetMode="External"/><Relationship Id="rId28" Type="http://schemas.openxmlformats.org/officeDocument/2006/relationships/hyperlink" Target="https://doi.org/10.17159/2411-9717/2016/v116n3a1" TargetMode="External"/><Relationship Id="rId10" Type="http://schemas.openxmlformats.org/officeDocument/2006/relationships/image" Target="media/image3.png"/><Relationship Id="rId19" Type="http://schemas.openxmlformats.org/officeDocument/2006/relationships/hyperlink" Target="https://doi.org/10.2307/2328746" TargetMode="External"/><Relationship Id="rId31" Type="http://schemas.openxmlformats.org/officeDocument/2006/relationships/hyperlink" Target="https://uk.finance.yahoo.com/quote/BOY.L/" TargetMode="Externa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hyperlink" Target="https://www.nber.org/system/files/chapters/c4790/c4790.pdf" TargetMode="External"/><Relationship Id="rId22" Type="http://schemas.openxmlformats.org/officeDocument/2006/relationships/hyperlink" Target="https://www.annualreports.com/HostedData/AnnualReports/PDF/LSE_MGAM_2023.pdf" TargetMode="External"/><Relationship Id="rId27" Type="http://schemas.openxmlformats.org/officeDocument/2006/relationships/hyperlink" Target="https://doi.org/10.1111/j.1540-6261.1984.tb03646.x" TargetMode="External"/><Relationship Id="rId30" Type="http://schemas.openxmlformats.org/officeDocument/2006/relationships/hyperlink" Target="https://uk.finance.yahoo.com/quote/MGAM.L/" TargetMode="External"/><Relationship Id="rId8"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f9d0b04a3f4eb25/Desktop/Ratios%20CF.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0" normalizeH="0" baseline="0">
                <a:ln w="0"/>
                <a:solidFill>
                  <a:schemeClr val="tx1"/>
                </a:solidFill>
                <a:effectLst>
                  <a:outerShdw blurRad="38100" dist="19050" dir="2700000" algn="tl" rotWithShape="0">
                    <a:schemeClr val="dk1">
                      <a:alpha val="40000"/>
                    </a:schemeClr>
                  </a:outerShdw>
                </a:effectLst>
                <a:latin typeface="+mj-lt"/>
                <a:ea typeface="+mj-ea"/>
                <a:cs typeface="+mj-cs"/>
              </a:defRPr>
            </a:pPr>
            <a:r>
              <a:rPr lang="en-GB"/>
              <a:t>Capital Structure</a:t>
            </a:r>
          </a:p>
        </c:rich>
      </c:tx>
      <c:overlay val="0"/>
      <c:spPr>
        <a:noFill/>
        <a:ln>
          <a:noFill/>
        </a:ln>
        <a:effectLst/>
      </c:spPr>
      <c:txPr>
        <a:bodyPr rot="0" spcFirstLastPara="1" vertOverflow="ellipsis" vert="horz" wrap="square" anchor="ctr" anchorCtr="1"/>
        <a:lstStyle/>
        <a:p>
          <a:pPr>
            <a:defRPr sz="1600" b="0" i="0" u="none" strike="noStrike" kern="1200" cap="none" spc="0" normalizeH="0" baseline="0">
              <a:ln w="0"/>
              <a:solidFill>
                <a:schemeClr val="tx1"/>
              </a:solidFill>
              <a:effectLst>
                <a:outerShdw blurRad="38100" dist="19050" dir="2700000" algn="tl" rotWithShape="0">
                  <a:schemeClr val="dk1">
                    <a:alpha val="40000"/>
                  </a:schemeClr>
                </a:outerShdw>
              </a:effectLst>
              <a:latin typeface="+mj-lt"/>
              <a:ea typeface="+mj-ea"/>
              <a:cs typeface="+mj-cs"/>
            </a:defRPr>
          </a:pPr>
          <a:endParaRPr lang="en-US"/>
        </a:p>
      </c:txPr>
    </c:title>
    <c:autoTitleDeleted val="0"/>
    <c:plotArea>
      <c:layout/>
      <c:barChart>
        <c:barDir val="col"/>
        <c:grouping val="clustered"/>
        <c:varyColors val="0"/>
        <c:ser>
          <c:idx val="0"/>
          <c:order val="0"/>
          <c:tx>
            <c:strRef>
              <c:f>'[Ratios CF.xlsx]Sheet1'!$D$24</c:f>
              <c:strCache>
                <c:ptCount val="1"/>
                <c:pt idx="0">
                  <c:v>Total Debt</c:v>
                </c:pt>
              </c:strCache>
            </c:strRef>
          </c:tx>
          <c:spPr>
            <a:solidFill>
              <a:schemeClr val="accent1"/>
            </a:solidFill>
            <a:ln>
              <a:noFill/>
            </a:ln>
            <a:effectLst/>
          </c:spPr>
          <c:invertIfNegative val="0"/>
          <c:cat>
            <c:numRef>
              <c:f>'[Ratios CF.xlsx]Sheet1'!$E$23:$O$23</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'[Ratios CF.xlsx]Sheet1'!$E$24:$O$24</c:f>
              <c:numCache>
                <c:formatCode>General</c:formatCode>
                <c:ptCount val="11"/>
                <c:pt idx="0">
                  <c:v>262.5</c:v>
                </c:pt>
                <c:pt idx="1">
                  <c:v>270</c:v>
                </c:pt>
                <c:pt idx="2">
                  <c:v>265.79999999999995</c:v>
                </c:pt>
                <c:pt idx="3">
                  <c:v>364.9</c:v>
                </c:pt>
                <c:pt idx="4">
                  <c:v>231.7</c:v>
                </c:pt>
                <c:pt idx="5">
                  <c:v>247.60000000000002</c:v>
                </c:pt>
                <c:pt idx="6">
                  <c:v>289.8</c:v>
                </c:pt>
                <c:pt idx="7">
                  <c:v>303.40000000000003</c:v>
                </c:pt>
                <c:pt idx="8">
                  <c:v>223.8</c:v>
                </c:pt>
                <c:pt idx="9">
                  <c:v>318.09999999999997</c:v>
                </c:pt>
                <c:pt idx="10">
                  <c:v>356.80000000000007</c:v>
                </c:pt>
              </c:numCache>
            </c:numRef>
          </c:val>
          <c:extLst>
            <c:ext xmlns:c16="http://schemas.microsoft.com/office/drawing/2014/chart" uri="{C3380CC4-5D6E-409C-BE32-E72D297353CC}">
              <c16:uniqueId val="{00000000-FF02-44E1-9586-E2F01600CEA9}"/>
            </c:ext>
          </c:extLst>
        </c:ser>
        <c:ser>
          <c:idx val="1"/>
          <c:order val="1"/>
          <c:tx>
            <c:strRef>
              <c:f>'[Ratios CF.xlsx]Sheet1'!$D$25</c:f>
              <c:strCache>
                <c:ptCount val="1"/>
                <c:pt idx="0">
                  <c:v>Total Equity</c:v>
                </c:pt>
              </c:strCache>
            </c:strRef>
          </c:tx>
          <c:spPr>
            <a:solidFill>
              <a:schemeClr val="accent2"/>
            </a:solidFill>
            <a:ln>
              <a:noFill/>
            </a:ln>
            <a:effectLst/>
          </c:spPr>
          <c:invertIfNegative val="0"/>
          <c:cat>
            <c:numRef>
              <c:f>'[Ratios CF.xlsx]Sheet1'!$E$23:$O$23</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'[Ratios CF.xlsx]Sheet1'!$E$25:$O$25</c:f>
              <c:numCache>
                <c:formatCode>General</c:formatCode>
                <c:ptCount val="11"/>
                <c:pt idx="0">
                  <c:v>274.10000000000002</c:v>
                </c:pt>
                <c:pt idx="1">
                  <c:v>187.7</c:v>
                </c:pt>
                <c:pt idx="2">
                  <c:v>186.4</c:v>
                </c:pt>
                <c:pt idx="3">
                  <c:v>164.7</c:v>
                </c:pt>
                <c:pt idx="4">
                  <c:v>234.3</c:v>
                </c:pt>
                <c:pt idx="5">
                  <c:v>277.2</c:v>
                </c:pt>
                <c:pt idx="6">
                  <c:v>312.2</c:v>
                </c:pt>
                <c:pt idx="7">
                  <c:v>240</c:v>
                </c:pt>
                <c:pt idx="8">
                  <c:v>349.6</c:v>
                </c:pt>
                <c:pt idx="9">
                  <c:v>429.6</c:v>
                </c:pt>
                <c:pt idx="10">
                  <c:v>398.6</c:v>
                </c:pt>
              </c:numCache>
            </c:numRef>
          </c:val>
          <c:extLst>
            <c:ext xmlns:c16="http://schemas.microsoft.com/office/drawing/2014/chart" uri="{C3380CC4-5D6E-409C-BE32-E72D297353CC}">
              <c16:uniqueId val="{00000001-FF02-44E1-9586-E2F01600CEA9}"/>
            </c:ext>
          </c:extLst>
        </c:ser>
        <c:dLbls>
          <c:showLegendKey val="0"/>
          <c:showVal val="0"/>
          <c:showCatName val="0"/>
          <c:showSerName val="0"/>
          <c:showPercent val="0"/>
          <c:showBubbleSize val="0"/>
        </c:dLbls>
        <c:gapWidth val="267"/>
        <c:overlap val="-43"/>
        <c:axId val="2053910879"/>
        <c:axId val="2053914207"/>
      </c:barChart>
      <c:catAx>
        <c:axId val="205391087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2053914207"/>
        <c:crosses val="autoZero"/>
        <c:auto val="1"/>
        <c:lblAlgn val="ctr"/>
        <c:lblOffset val="100"/>
        <c:noMultiLvlLbl val="0"/>
      </c:catAx>
      <c:valAx>
        <c:axId val="2053914207"/>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2053910879"/>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b="0" cap="none" spc="0">
          <a:ln w="0"/>
          <a:solidFill>
            <a:schemeClr val="tx1"/>
          </a:solidFill>
          <a:effectLst>
            <a:outerShdw blurRad="38100" dist="19050" dir="2700000" algn="tl" rotWithShape="0">
              <a:schemeClr val="dk1">
                <a:alpha val="40000"/>
              </a:schemeClr>
            </a:outerShdw>
          </a:effectLs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FCCF1-8B2D-4A3E-9AFF-25AC4B1E6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4352</Words>
  <Characters>28008</Characters>
  <Application>Microsoft Office Word</Application>
  <DocSecurity>0</DocSecurity>
  <Lines>233</Lines>
  <Paragraphs>64</Paragraphs>
  <ScaleCrop>false</ScaleCrop>
  <HeadingPairs>
    <vt:vector size="2" baseType="variant">
      <vt:variant>
        <vt:lpstr>Title</vt:lpstr>
      </vt:variant>
      <vt:variant>
        <vt:i4>1</vt:i4>
      </vt:variant>
    </vt:vector>
  </HeadingPairs>
  <TitlesOfParts>
    <vt:vector size="1" baseType="lpstr">
      <vt:lpstr/>
    </vt:vector>
  </TitlesOfParts>
  <Company>STUDENT ID: 19285022</Company>
  <LinksUpToDate>false</LinksUpToDate>
  <CharactersWithSpaces>32296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ACFI7009</dc:title>
  <dc:subject>Corporate Finance</dc:subject>
  <dc:creator>Sanjay Rajendran</dc:creator>
  <cp:keywords/>
  <dc:description/>
  <cp:lastModifiedBy>Sanjay Rajendran</cp:lastModifiedBy>
  <cp:revision>2</cp:revision>
  <dcterms:created xsi:type="dcterms:W3CDTF">2026-02-02T18:22:00Z</dcterms:created>
  <dcterms:modified xsi:type="dcterms:W3CDTF">2026-02-02T18:22:00Z</dcterms:modified>
  <cp:category>WORD COUNT: 3535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01602998-4732-4bba-8c4f-9b27809978c6</vt:lpwstr>
  </property>
</Properties>
</file>