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pPr>
      <w:r>
        <w:rPr>
          <w:rFonts w:ascii="Aptos Display" w:hAnsi="Aptos Display"/>
          <w:b/>
          <w:color w:val="17365D"/>
          <w:sz w:val="56"/>
        </w:rPr>
        <w:t>AI-Based Revenue Leakage</w:t>
        <w:br/>
        <w:t>Identifier Agent</w:t>
      </w:r>
    </w:p>
    <w:p>
      <w:pPr>
        <w:spacing w:after="440"/>
      </w:pPr>
      <w:r>
        <w:rPr>
          <w:rFonts w:ascii="Aptos Display" w:hAnsi="Aptos Display"/>
          <w:b w:val="0"/>
          <w:color w:val="2F75B5"/>
          <w:sz w:val="30"/>
        </w:rPr>
        <w:t>Project Documentation</w:t>
      </w:r>
    </w:p>
    <w:tbl>
      <w:tblPr>
        <w:tblW w:type="auto" w:w="0"/>
        <w:jc w:val="center"/>
        <w:tblLayout w:type="fixed"/>
        <w:tblLook w:firstColumn="1" w:firstRow="1" w:lastColumn="0" w:lastRow="0" w:noHBand="0" w:noVBand="1" w:val="04A0"/>
      </w:tblPr>
      <w:tblGrid>
        <w:gridCol w:w="10080"/>
      </w:tblGrid>
      <w:tr>
        <w:tc>
          <w:tcPr>
            <w:tcW w:type="dxa" w:w="9792"/>
            <w:shd w:fill="EAF2F8"/>
            <w:tcMar>
              <w:top w:w="130" w:type="dxa"/>
              <w:start w:w="160" w:type="dxa"/>
              <w:bottom w:w="130" w:type="dxa"/>
              <w:end w:w="160" w:type="dxa"/>
            </w:tcMar>
          </w:tcPr>
          <w:p>
            <w:pPr>
              <w:spacing w:after="40"/>
            </w:pPr>
            <w:r>
              <w:rPr>
                <w:rFonts w:ascii="Aptos" w:hAnsi="Aptos"/>
                <w:b/>
                <w:color w:val="17365D"/>
                <w:sz w:val="21"/>
              </w:rPr>
              <w:t>Purpose</w:t>
            </w:r>
          </w:p>
          <w:p>
            <w:pPr>
              <w:spacing w:after="0" w:line="259" w:lineRule="auto"/>
            </w:pPr>
            <w:r>
              <w:rPr>
                <w:rFonts w:ascii="Aptos" w:hAnsi="Aptos"/>
                <w:b w:val="0"/>
                <w:color w:val="1F1F1F"/>
                <w:sz w:val="20"/>
              </w:rPr>
              <w:t>A Streamlit-based billing analytics application that identifies potential revenue leakage, highlights billing anomalies, and provides an AI-assisted explanation layer using Groq while keeping financial calculations deterministic in Pandas.</w:t>
            </w:r>
          </w:p>
        </w:tc>
      </w:tr>
    </w:tbl>
    <w:p>
      <w:pPr>
        <w:spacing w:after="0"/>
      </w:pPr>
    </w:p>
    <w:tbl>
      <w:tblPr>
        <w:tblW w:type="auto" w:w="0"/>
        <w:jc w:val="left"/>
        <w:tblLayout w:type="fixed"/>
        <w:tblLook w:firstColumn="1" w:firstRow="1" w:lastColumn="0" w:lastRow="0" w:noHBand="0" w:noVBand="1" w:val="04A0"/>
      </w:tblPr>
      <w:tblGrid>
        <w:gridCol w:w="5040"/>
        <w:gridCol w:w="5040"/>
      </w:tblGrid>
      <w:tr>
        <w:tc>
          <w:tcPr>
            <w:tcW w:type="dxa" w:w="2376"/>
            <w:tcMar>
              <w:top w:w="90" w:type="dxa"/>
              <w:start w:w="120" w:type="dxa"/>
              <w:bottom w:w="90" w:type="dxa"/>
              <w:end w:w="120" w:type="dxa"/>
            </w:tcMar>
            <w:shd w:fill="EAF2F8"/>
          </w:tcPr>
          <w:p>
            <w:r>
              <w:rPr>
                <w:rFonts w:ascii="Aptos" w:hAnsi="Aptos"/>
                <w:b/>
                <w:color w:val="17365D"/>
                <w:sz w:val="19"/>
              </w:rPr>
              <w:t>Primary Users</w:t>
            </w:r>
          </w:p>
        </w:tc>
        <w:tc>
          <w:tcPr>
            <w:tcW w:type="dxa" w:w="7343"/>
            <w:tcMar>
              <w:top w:w="90" w:type="dxa"/>
              <w:start w:w="120" w:type="dxa"/>
              <w:bottom w:w="90" w:type="dxa"/>
              <w:end w:w="120" w:type="dxa"/>
            </w:tcMar>
          </w:tcPr>
          <w:p>
            <w:r>
              <w:rPr>
                <w:rFonts w:ascii="Aptos" w:hAnsi="Aptos"/>
                <w:b w:val="0"/>
                <w:color w:val="1F1F1F"/>
                <w:sz w:val="19"/>
              </w:rPr>
              <w:t>Billing, Revenue Operations, Finance, Data/AI reviewers</w:t>
            </w:r>
          </w:p>
        </w:tc>
      </w:tr>
      <w:tr>
        <w:tc>
          <w:tcPr>
            <w:tcW w:type="dxa" w:w="2376"/>
            <w:tcMar>
              <w:top w:w="90" w:type="dxa"/>
              <w:start w:w="120" w:type="dxa"/>
              <w:bottom w:w="90" w:type="dxa"/>
              <w:end w:w="120" w:type="dxa"/>
            </w:tcMar>
            <w:shd w:fill="EAF2F8"/>
          </w:tcPr>
          <w:p>
            <w:r>
              <w:rPr>
                <w:rFonts w:ascii="Aptos" w:hAnsi="Aptos"/>
                <w:b/>
                <w:color w:val="17365D"/>
                <w:sz w:val="19"/>
              </w:rPr>
              <w:t>Data Source</w:t>
            </w:r>
          </w:p>
        </w:tc>
        <w:tc>
          <w:tcPr>
            <w:tcW w:type="dxa" w:w="7343"/>
            <w:tcMar>
              <w:top w:w="90" w:type="dxa"/>
              <w:start w:w="120" w:type="dxa"/>
              <w:bottom w:w="90" w:type="dxa"/>
              <w:end w:w="120" w:type="dxa"/>
            </w:tcMar>
          </w:tcPr>
          <w:p>
            <w:r>
              <w:rPr>
                <w:rFonts w:ascii="Aptos" w:hAnsi="Aptos"/>
                <w:b w:val="0"/>
                <w:color w:val="1F1F1F"/>
                <w:sz w:val="19"/>
              </w:rPr>
              <w:t>Bundled or user-uploaded RevenueLeakage.csv</w:t>
            </w:r>
          </w:p>
        </w:tc>
      </w:tr>
      <w:tr>
        <w:tc>
          <w:tcPr>
            <w:tcW w:type="dxa" w:w="2376"/>
            <w:tcMar>
              <w:top w:w="90" w:type="dxa"/>
              <w:start w:w="120" w:type="dxa"/>
              <w:bottom w:w="90" w:type="dxa"/>
              <w:end w:w="120" w:type="dxa"/>
            </w:tcMar>
            <w:shd w:fill="EAF2F8"/>
          </w:tcPr>
          <w:p>
            <w:r>
              <w:rPr>
                <w:rFonts w:ascii="Aptos" w:hAnsi="Aptos"/>
                <w:b/>
                <w:color w:val="17365D"/>
                <w:sz w:val="19"/>
              </w:rPr>
              <w:t>AI Model</w:t>
            </w:r>
          </w:p>
        </w:tc>
        <w:tc>
          <w:tcPr>
            <w:tcW w:type="dxa" w:w="7343"/>
            <w:tcMar>
              <w:top w:w="90" w:type="dxa"/>
              <w:start w:w="120" w:type="dxa"/>
              <w:bottom w:w="90" w:type="dxa"/>
              <w:end w:w="120" w:type="dxa"/>
            </w:tcMar>
          </w:tcPr>
          <w:p>
            <w:r>
              <w:rPr>
                <w:rFonts w:ascii="Aptos" w:hAnsi="Aptos"/>
                <w:b w:val="0"/>
                <w:color w:val="1F1F1F"/>
                <w:sz w:val="19"/>
              </w:rPr>
              <w:t>Groq; default model llama-3.3-70b-versatile</w:t>
            </w:r>
          </w:p>
        </w:tc>
      </w:tr>
      <w:tr>
        <w:tc>
          <w:tcPr>
            <w:tcW w:type="dxa" w:w="2376"/>
            <w:tcMar>
              <w:top w:w="90" w:type="dxa"/>
              <w:start w:w="120" w:type="dxa"/>
              <w:bottom w:w="90" w:type="dxa"/>
              <w:end w:w="120" w:type="dxa"/>
            </w:tcMar>
            <w:shd w:fill="EAF2F8"/>
          </w:tcPr>
          <w:p>
            <w:r>
              <w:rPr>
                <w:rFonts w:ascii="Aptos" w:hAnsi="Aptos"/>
                <w:b/>
                <w:color w:val="17365D"/>
                <w:sz w:val="19"/>
              </w:rPr>
              <w:t>Application Scope</w:t>
            </w:r>
          </w:p>
        </w:tc>
        <w:tc>
          <w:tcPr>
            <w:tcW w:type="dxa" w:w="7343"/>
            <w:tcMar>
              <w:top w:w="90" w:type="dxa"/>
              <w:start w:w="120" w:type="dxa"/>
              <w:bottom w:w="90" w:type="dxa"/>
              <w:end w:w="120" w:type="dxa"/>
            </w:tcMar>
          </w:tcPr>
          <w:p>
            <w:r>
              <w:rPr>
                <w:rFonts w:ascii="Aptos" w:hAnsi="Aptos"/>
                <w:b w:val="0"/>
                <w:color w:val="1F1F1F"/>
                <w:sz w:val="19"/>
              </w:rPr>
              <w:t>Single Streamlit app; no separate backend or database</w:t>
            </w:r>
          </w:p>
        </w:tc>
      </w:tr>
    </w:tbl>
    <w:p>
      <w:pPr>
        <w:spacing w:after="0"/>
      </w:pPr>
    </w:p>
    <w:p>
      <w:pPr>
        <w:pStyle w:val="Heading2"/>
        <w:keepNext w:val="0"/>
        <w:spacing w:after="100" w:before="0" w:line="259" w:lineRule="auto"/>
      </w:pPr>
      <w:r>
        <w:rPr>
          <w:rFonts w:ascii="Aptos" w:hAnsi="Aptos"/>
          <w:b w:val="0"/>
          <w:color w:val="1F1F1F"/>
          <w:sz w:val="21"/>
        </w:rPr>
        <w:t>Review objective</w:t>
      </w:r>
    </w:p>
    <w:p>
      <w:pPr>
        <w:keepNext w:val="0"/>
        <w:spacing w:after="100" w:before="0" w:line="259" w:lineRule="auto"/>
      </w:pPr>
      <w:r>
        <w:rPr>
          <w:rFonts w:ascii="Aptos" w:hAnsi="Aptos"/>
          <w:b w:val="0"/>
          <w:color w:val="666666"/>
          <w:sz w:val="21"/>
        </w:rPr>
        <w:t>Present a clear view of the problem being solved, how the application works, how financial results are calculated, how AI is safely integrated, and how the solution will be verified.</w:t>
      </w:r>
    </w:p>
    <w:p>
      <w:r>
        <w:br w:type="page"/>
      </w:r>
    </w:p>
    <w:p>
      <w:pPr>
        <w:pStyle w:val="Heading1"/>
        <w:keepNext w:val="0"/>
        <w:spacing w:after="100" w:before="0" w:line="259" w:lineRule="auto"/>
      </w:pPr>
      <w:r>
        <w:rPr>
          <w:rFonts w:ascii="Aptos" w:hAnsi="Aptos"/>
          <w:b w:val="0"/>
          <w:color w:val="1F1F1F"/>
          <w:sz w:val="21"/>
        </w:rPr>
        <w:t>1. Executive Summary</w:t>
      </w:r>
    </w:p>
    <w:p>
      <w:pPr>
        <w:keepNext w:val="0"/>
        <w:spacing w:after="100" w:before="0" w:line="259" w:lineRule="auto"/>
      </w:pPr>
      <w:r>
        <w:rPr>
          <w:rFonts w:ascii="Aptos" w:hAnsi="Aptos"/>
          <w:b w:val="0"/>
          <w:color w:val="1F1F1F"/>
          <w:sz w:val="21"/>
        </w:rPr>
        <w:t>The AI-Based Revenue Leakage Identifier Agent is designed to help reviewers and billing teams identify underbilling, overbilling, overdue exposure, and statistically unusual billing behavior from a controlled CSV dataset. The application combines deterministic Pandas calculations with an AI explanation layer so that monetary results remain reproducible while business users can interact with the data in natural language.</w:t>
      </w:r>
    </w:p>
    <w:p>
      <w:pPr>
        <w:keepNext w:val="0"/>
        <w:spacing w:after="100" w:before="0" w:line="259" w:lineRule="auto"/>
      </w:pPr>
      <w:r>
        <w:rPr>
          <w:rFonts w:ascii="Aptos" w:hAnsi="Aptos"/>
          <w:b w:val="0"/>
          <w:color w:val="1F1F1F"/>
          <w:sz w:val="21"/>
        </w:rPr>
        <w:t>The solution is intentionally lightweight. It uses Streamlit for the user interface, Pandas for validation and financial calculations, Plotly for visualization, and Groq for concise explanations of already-calculated results. The design avoids databases, backend services, LangChain, and LangGraph to keep the project easy to run, review, and maintain.</w:t>
      </w:r>
    </w:p>
    <w:p>
      <w:pPr>
        <w:pStyle w:val="Heading2"/>
        <w:keepNext w:val="0"/>
        <w:spacing w:after="100" w:before="0" w:line="259" w:lineRule="auto"/>
      </w:pPr>
      <w:r>
        <w:rPr>
          <w:rFonts w:ascii="Aptos" w:hAnsi="Aptos"/>
          <w:b w:val="0"/>
          <w:color w:val="1F1F1F"/>
          <w:sz w:val="21"/>
        </w:rPr>
        <w:t>Key outcomes</w:t>
      </w:r>
    </w:p>
    <w:p>
      <w:pPr>
        <w:pStyle w:val="ListBullet"/>
        <w:spacing w:after="50" w:line="250" w:lineRule="auto"/>
      </w:pPr>
      <w:r>
        <w:rPr>
          <w:rFonts w:ascii="Aptos" w:hAnsi="Aptos"/>
          <w:b w:val="0"/>
          <w:color w:val="1F1F1F"/>
          <w:sz w:val="20"/>
        </w:rPr>
        <w:t>Quantify positive revenue leakage without allowing overbilling to offset the leakage KPI.</w:t>
      </w:r>
    </w:p>
    <w:p>
      <w:pPr>
        <w:pStyle w:val="ListBullet"/>
        <w:spacing w:after="50" w:line="250" w:lineRule="auto"/>
      </w:pPr>
      <w:r>
        <w:rPr>
          <w:rFonts w:ascii="Aptos" w:hAnsi="Aptos"/>
          <w:b w:val="0"/>
          <w:color w:val="1F1F1F"/>
          <w:sz w:val="20"/>
        </w:rPr>
        <w:t>Classify every invoice as underbilled, overbilled, or correctly billed using a single reusable tolerance.</w:t>
      </w:r>
    </w:p>
    <w:p>
      <w:pPr>
        <w:pStyle w:val="ListBullet"/>
        <w:spacing w:after="50" w:line="250" w:lineRule="auto"/>
      </w:pPr>
      <w:r>
        <w:rPr>
          <w:rFonts w:ascii="Aptos" w:hAnsi="Aptos"/>
          <w:b w:val="0"/>
          <w:color w:val="1F1F1F"/>
          <w:sz w:val="20"/>
        </w:rPr>
        <w:t>Detect unusually high or low values using a transparent IQR-based statistical method.</w:t>
      </w:r>
    </w:p>
    <w:p>
      <w:pPr>
        <w:pStyle w:val="ListBullet"/>
        <w:spacing w:after="50" w:line="250" w:lineRule="auto"/>
      </w:pPr>
      <w:r>
        <w:rPr>
          <w:rFonts w:ascii="Aptos" w:hAnsi="Aptos"/>
          <w:b w:val="0"/>
          <w:color w:val="1F1F1F"/>
          <w:sz w:val="20"/>
        </w:rPr>
        <w:t>Let users ask supported billing questions while ensuring Python/Pandas performs all calculations.</w:t>
      </w:r>
    </w:p>
    <w:p>
      <w:pPr>
        <w:pStyle w:val="ListBullet"/>
        <w:spacing w:after="50" w:line="250" w:lineRule="auto"/>
      </w:pPr>
      <w:r>
        <w:rPr>
          <w:rFonts w:ascii="Aptos" w:hAnsi="Aptos"/>
          <w:b w:val="0"/>
          <w:color w:val="1F1F1F"/>
          <w:sz w:val="20"/>
        </w:rPr>
        <w:t>Keep the application usable even if the Groq API key is missing or an AI request fails.</w:t>
      </w:r>
    </w:p>
    <w:tbl>
      <w:tblPr>
        <w:tblW w:type="auto" w:w="0"/>
        <w:jc w:val="center"/>
        <w:tblLayout w:type="fixed"/>
        <w:tblLook w:firstColumn="1" w:firstRow="1" w:lastColumn="0" w:lastRow="0" w:noHBand="0" w:noVBand="1" w:val="04A0"/>
      </w:tblPr>
      <w:tblGrid>
        <w:gridCol w:w="10080"/>
      </w:tblGrid>
      <w:tr>
        <w:tc>
          <w:tcPr>
            <w:tcW w:type="dxa" w:w="9792"/>
            <w:shd w:fill="EDF5E8"/>
            <w:tcMar>
              <w:top w:w="130" w:type="dxa"/>
              <w:start w:w="160" w:type="dxa"/>
              <w:bottom w:w="130" w:type="dxa"/>
              <w:end w:w="160" w:type="dxa"/>
            </w:tcMar>
          </w:tcPr>
          <w:p>
            <w:pPr>
              <w:spacing w:after="40"/>
            </w:pPr>
            <w:r>
              <w:rPr>
                <w:rFonts w:ascii="Aptos" w:hAnsi="Aptos"/>
                <w:b/>
                <w:color w:val="548235"/>
                <w:sz w:val="21"/>
              </w:rPr>
              <w:t>Core design principle</w:t>
            </w:r>
          </w:p>
          <w:p>
            <w:pPr>
              <w:spacing w:after="0" w:line="259" w:lineRule="auto"/>
            </w:pPr>
            <w:r>
              <w:rPr>
                <w:rFonts w:ascii="Aptos" w:hAnsi="Aptos"/>
                <w:b w:val="0"/>
                <w:color w:val="1F1F1F"/>
                <w:sz w:val="20"/>
              </w:rPr>
              <w:t>Python calculates the financial result. Groq explains the verified result. The full CSV is never sent to the LLM.</w:t>
            </w:r>
          </w:p>
        </w:tc>
      </w:tr>
    </w:tbl>
    <w:p>
      <w:pPr>
        <w:spacing w:after="0"/>
      </w:pPr>
    </w:p>
    <w:p>
      <w:pPr>
        <w:pStyle w:val="Heading1"/>
        <w:keepNext w:val="0"/>
        <w:spacing w:after="100" w:before="0" w:line="259" w:lineRule="auto"/>
      </w:pPr>
      <w:r>
        <w:rPr>
          <w:rFonts w:ascii="Aptos" w:hAnsi="Aptos"/>
          <w:b w:val="0"/>
          <w:color w:val="1F1F1F"/>
          <w:sz w:val="21"/>
        </w:rPr>
        <w:t>2. Business Problem and Objectives</w:t>
      </w:r>
    </w:p>
    <w:p>
      <w:pPr>
        <w:keepNext w:val="0"/>
        <w:spacing w:after="100" w:before="0" w:line="259" w:lineRule="auto"/>
      </w:pPr>
      <w:r>
        <w:rPr>
          <w:rFonts w:ascii="Aptos" w:hAnsi="Aptos"/>
          <w:b w:val="0"/>
          <w:color w:val="1F1F1F"/>
          <w:sz w:val="21"/>
        </w:rPr>
        <w:t>Billing teams need a quick way to identify where expected revenue differs from what was actually billed, determine which customers or dimensions are driving the exposure, and distinguish genuine financial leakage from statistical irregularities that merely require review.</w:t>
      </w:r>
    </w:p>
    <w:p>
      <w:pPr>
        <w:pStyle w:val="Heading2"/>
        <w:keepNext w:val="0"/>
        <w:spacing w:after="100" w:before="0" w:line="259" w:lineRule="auto"/>
      </w:pPr>
      <w:r>
        <w:rPr>
          <w:rFonts w:ascii="Aptos" w:hAnsi="Aptos"/>
          <w:b w:val="0"/>
          <w:color w:val="1F1F1F"/>
          <w:sz w:val="21"/>
        </w:rPr>
        <w:t>Project objectives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448"/>
            <w:shd w:fill="17365D"/>
            <w:tcMar>
              <w:top w:w="90" w:type="dxa"/>
              <w:start w:w="100" w:type="dxa"/>
              <w:bottom w:w="90" w:type="dxa"/>
              <w:end w:w="100" w:type="dxa"/>
            </w:tcMar>
            <w:vAlign w:val="center"/>
          </w:tcPr>
          <w:p>
            <w:pPr>
              <w:spacing w:after="0"/>
              <w:jc w:val="center"/>
            </w:pPr>
            <w:r>
              <w:rPr>
                <w:rFonts w:ascii="Aptos" w:hAnsi="Aptos"/>
                <w:b/>
                <w:color w:val="FFFFFF"/>
                <w:sz w:val="18"/>
              </w:rPr>
              <w:t>Objective</w:t>
            </w:r>
          </w:p>
        </w:tc>
        <w:tc>
          <w:tcPr>
            <w:tcW w:type="dxa" w:w="7343"/>
            <w:shd w:fill="17365D"/>
            <w:tcMar>
              <w:top w:w="90" w:type="dxa"/>
              <w:start w:w="100" w:type="dxa"/>
              <w:bottom w:w="90" w:type="dxa"/>
              <w:end w:w="100" w:type="dxa"/>
            </w:tcMar>
            <w:vAlign w:val="center"/>
          </w:tcPr>
          <w:p>
            <w:pPr>
              <w:spacing w:after="0"/>
              <w:jc w:val="center"/>
            </w:pPr>
            <w:r>
              <w:rPr>
                <w:rFonts w:ascii="Aptos" w:hAnsi="Aptos"/>
                <w:b/>
                <w:color w:val="FFFFFF"/>
                <w:sz w:val="18"/>
              </w:rPr>
              <w:t>How the application addresses it</w:t>
            </w:r>
          </w:p>
        </w:tc>
      </w:tr>
      <w:tr>
        <w:tc>
          <w:tcPr>
            <w:tcW w:type="dxa" w:w="2448"/>
            <w:tcMar>
              <w:top w:w="80" w:type="dxa"/>
              <w:start w:w="100" w:type="dxa"/>
              <w:bottom w:w="80" w:type="dxa"/>
              <w:end w:w="100" w:type="dxa"/>
            </w:tcMar>
            <w:vAlign w:val="center"/>
          </w:tcPr>
          <w:p>
            <w:pPr>
              <w:spacing w:after="0" w:line="240" w:lineRule="auto"/>
              <w:jc w:val="center"/>
            </w:pPr>
            <w:r>
              <w:rPr>
                <w:rFonts w:ascii="Aptos" w:hAnsi="Aptos"/>
                <w:b w:val="0"/>
                <w:color w:val="1F1F1F"/>
                <w:sz w:val="18"/>
              </w:rPr>
              <w:t>Revenue assurance</w:t>
            </w:r>
          </w:p>
        </w:tc>
        <w:tc>
          <w:tcPr>
            <w:tcW w:type="dxa" w:w="7343"/>
            <w:tcMar>
              <w:top w:w="80" w:type="dxa"/>
              <w:start w:w="100" w:type="dxa"/>
              <w:bottom w:w="80" w:type="dxa"/>
              <w:end w:w="100" w:type="dxa"/>
            </w:tcMar>
            <w:vAlign w:val="center"/>
          </w:tcPr>
          <w:p>
            <w:pPr>
              <w:spacing w:after="0" w:line="240" w:lineRule="auto"/>
              <w:jc w:val="left"/>
            </w:pPr>
            <w:r>
              <w:rPr>
                <w:rFonts w:ascii="Aptos" w:hAnsi="Aptos"/>
                <w:b w:val="0"/>
                <w:color w:val="1F1F1F"/>
                <w:sz w:val="18"/>
              </w:rPr>
              <w:t>Measure underbilling as positive revenue leakage and separately track overbilling exposure.</w:t>
            </w:r>
          </w:p>
        </w:tc>
      </w:tr>
      <w:tr>
        <w:tc>
          <w:tcPr>
            <w:tcW w:type="dxa" w:w="2448"/>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Prioritization</w:t>
            </w:r>
          </w:p>
        </w:tc>
        <w:tc>
          <w:tcPr>
            <w:tcW w:type="dxa" w:w="7343"/>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Rank customers and invoices by potential financial impact.</w:t>
            </w:r>
          </w:p>
        </w:tc>
      </w:tr>
      <w:tr>
        <w:tc>
          <w:tcPr>
            <w:tcW w:type="dxa" w:w="2448"/>
            <w:tcMar>
              <w:top w:w="80" w:type="dxa"/>
              <w:start w:w="100" w:type="dxa"/>
              <w:bottom w:w="80" w:type="dxa"/>
              <w:end w:w="100" w:type="dxa"/>
            </w:tcMar>
            <w:vAlign w:val="center"/>
          </w:tcPr>
          <w:p>
            <w:pPr>
              <w:spacing w:after="0" w:line="240" w:lineRule="auto"/>
              <w:jc w:val="center"/>
            </w:pPr>
            <w:r>
              <w:rPr>
                <w:rFonts w:ascii="Aptos" w:hAnsi="Aptos"/>
                <w:b w:val="0"/>
                <w:color w:val="1F1F1F"/>
                <w:sz w:val="18"/>
              </w:rPr>
              <w:t>Transparency</w:t>
            </w:r>
          </w:p>
        </w:tc>
        <w:tc>
          <w:tcPr>
            <w:tcW w:type="dxa" w:w="7343"/>
            <w:tcMar>
              <w:top w:w="80" w:type="dxa"/>
              <w:start w:w="100" w:type="dxa"/>
              <w:bottom w:w="80" w:type="dxa"/>
              <w:end w:w="100" w:type="dxa"/>
            </w:tcMar>
            <w:vAlign w:val="center"/>
          </w:tcPr>
          <w:p>
            <w:pPr>
              <w:spacing w:after="0" w:line="240" w:lineRule="auto"/>
              <w:jc w:val="left"/>
            </w:pPr>
            <w:r>
              <w:rPr>
                <w:rFonts w:ascii="Aptos" w:hAnsi="Aptos"/>
                <w:b w:val="0"/>
                <w:color w:val="1F1F1F"/>
                <w:sz w:val="18"/>
              </w:rPr>
              <w:t>Use consistent formulas and show the records behind every KPI.</w:t>
            </w:r>
          </w:p>
        </w:tc>
      </w:tr>
      <w:tr>
        <w:tc>
          <w:tcPr>
            <w:tcW w:type="dxa" w:w="2448"/>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Anomaly awareness</w:t>
            </w:r>
          </w:p>
        </w:tc>
        <w:tc>
          <w:tcPr>
            <w:tcW w:type="dxa" w:w="7343"/>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Flag statistical outliers without labeling them automatically as billing errors.</w:t>
            </w:r>
          </w:p>
        </w:tc>
      </w:tr>
      <w:tr>
        <w:tc>
          <w:tcPr>
            <w:tcW w:type="dxa" w:w="2448"/>
            <w:tcMar>
              <w:top w:w="80" w:type="dxa"/>
              <w:start w:w="100" w:type="dxa"/>
              <w:bottom w:w="80" w:type="dxa"/>
              <w:end w:w="100" w:type="dxa"/>
            </w:tcMar>
            <w:vAlign w:val="center"/>
          </w:tcPr>
          <w:p>
            <w:pPr>
              <w:spacing w:after="0" w:line="240" w:lineRule="auto"/>
              <w:jc w:val="center"/>
            </w:pPr>
            <w:r>
              <w:rPr>
                <w:rFonts w:ascii="Aptos" w:hAnsi="Aptos"/>
                <w:b w:val="0"/>
                <w:color w:val="1F1F1F"/>
                <w:sz w:val="18"/>
              </w:rPr>
              <w:t>AI assistance</w:t>
            </w:r>
          </w:p>
        </w:tc>
        <w:tc>
          <w:tcPr>
            <w:tcW w:type="dxa" w:w="7343"/>
            <w:tcMar>
              <w:top w:w="80" w:type="dxa"/>
              <w:start w:w="100" w:type="dxa"/>
              <w:bottom w:w="80" w:type="dxa"/>
              <w:end w:w="100" w:type="dxa"/>
            </w:tcMar>
            <w:vAlign w:val="center"/>
          </w:tcPr>
          <w:p>
            <w:pPr>
              <w:spacing w:after="0" w:line="240" w:lineRule="auto"/>
              <w:jc w:val="left"/>
            </w:pPr>
            <w:r>
              <w:rPr>
                <w:rFonts w:ascii="Aptos" w:hAnsi="Aptos"/>
                <w:b w:val="0"/>
                <w:color w:val="1F1F1F"/>
                <w:sz w:val="18"/>
              </w:rPr>
              <w:t>Convert verified calculations into concise business explanations and recommended areas for investigation.</w:t>
            </w:r>
          </w:p>
        </w:tc>
      </w:tr>
    </w:tbl>
    <w:p>
      <w:pPr>
        <w:spacing w:after="0"/>
      </w:pPr>
    </w:p>
    <w:p>
      <w:pPr>
        <w:pStyle w:val="Heading1"/>
        <w:keepNext w:val="0"/>
        <w:spacing w:after="100" w:before="0" w:line="259" w:lineRule="auto"/>
      </w:pPr>
      <w:r>
        <w:rPr>
          <w:rFonts w:ascii="Aptos" w:hAnsi="Aptos"/>
          <w:b w:val="0"/>
          <w:color w:val="1F1F1F"/>
          <w:sz w:val="21"/>
        </w:rPr>
        <w:t>3. Solution Overview</w:t>
      </w:r>
    </w:p>
    <w:p>
      <w:pPr>
        <w:keepNext w:val="0"/>
        <w:spacing w:after="100" w:before="0" w:line="259" w:lineRule="auto"/>
      </w:pPr>
      <w:r>
        <w:rPr>
          <w:rFonts w:ascii="Aptos" w:hAnsi="Aptos"/>
          <w:b w:val="0"/>
          <w:color w:val="1F1F1F"/>
          <w:sz w:val="21"/>
        </w:rPr>
        <w:t>The application follows a controlled data-to-insight flow. A bundled CSV is loaded by default; a reviewer can replace it for the current session through the sidebar. The selected file is validated, normalized, recalculated, filtered, and then used consistently across all four application tabs.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864"/>
            <w:shd w:fill="17365D"/>
            <w:tcMar>
              <w:top w:w="90" w:type="dxa"/>
              <w:start w:w="100" w:type="dxa"/>
              <w:bottom w:w="90" w:type="dxa"/>
              <w:end w:w="100" w:type="dxa"/>
            </w:tcMar>
            <w:vAlign w:val="center"/>
          </w:tcPr>
          <w:p>
            <w:pPr>
              <w:spacing w:after="0"/>
              <w:jc w:val="center"/>
            </w:pPr>
            <w:r>
              <w:rPr>
                <w:rFonts w:ascii="Aptos" w:hAnsi="Aptos"/>
                <w:b/>
                <w:color w:val="FFFFFF"/>
                <w:sz w:val="18"/>
              </w:rPr>
              <w:t>Step</w:t>
            </w:r>
          </w:p>
        </w:tc>
        <w:tc>
          <w:tcPr>
            <w:tcW w:type="dxa" w:w="1800"/>
            <w:shd w:fill="17365D"/>
            <w:tcMar>
              <w:top w:w="90" w:type="dxa"/>
              <w:start w:w="100" w:type="dxa"/>
              <w:bottom w:w="90" w:type="dxa"/>
              <w:end w:w="100" w:type="dxa"/>
            </w:tcMar>
            <w:vAlign w:val="center"/>
          </w:tcPr>
          <w:p>
            <w:pPr>
              <w:spacing w:after="0"/>
              <w:jc w:val="center"/>
            </w:pPr>
            <w:r>
              <w:rPr>
                <w:rFonts w:ascii="Aptos" w:hAnsi="Aptos"/>
                <w:b/>
                <w:color w:val="FFFFFF"/>
                <w:sz w:val="18"/>
              </w:rPr>
              <w:t>Stage</w:t>
            </w:r>
          </w:p>
        </w:tc>
        <w:tc>
          <w:tcPr>
            <w:tcW w:type="dxa" w:w="7128"/>
            <w:shd w:fill="17365D"/>
            <w:tcMar>
              <w:top w:w="90" w:type="dxa"/>
              <w:start w:w="100" w:type="dxa"/>
              <w:bottom w:w="90" w:type="dxa"/>
              <w:end w:w="100" w:type="dxa"/>
            </w:tcMar>
            <w:vAlign w:val="center"/>
          </w:tcPr>
          <w:p>
            <w:pPr>
              <w:spacing w:after="0"/>
              <w:jc w:val="center"/>
            </w:pPr>
            <w:r>
              <w:rPr>
                <w:rFonts w:ascii="Aptos" w:hAnsi="Aptos"/>
                <w:b/>
                <w:color w:val="FFFFFF"/>
                <w:sz w:val="18"/>
              </w:rPr>
              <w:t>Description</w:t>
            </w:r>
          </w:p>
        </w:tc>
      </w:tr>
      <w:tr>
        <w:tc>
          <w:tcPr>
            <w:tcW w:type="dxa" w:w="864"/>
            <w:tcMar>
              <w:top w:w="80" w:type="dxa"/>
              <w:start w:w="100" w:type="dxa"/>
              <w:bottom w:w="80" w:type="dxa"/>
              <w:end w:w="100" w:type="dxa"/>
            </w:tcMar>
            <w:vAlign w:val="center"/>
          </w:tcPr>
          <w:p>
            <w:pPr>
              <w:spacing w:after="0" w:line="240" w:lineRule="auto"/>
              <w:jc w:val="center"/>
            </w:pPr>
            <w:r>
              <w:rPr>
                <w:rFonts w:ascii="Aptos" w:hAnsi="Aptos"/>
                <w:b w:val="0"/>
                <w:color w:val="1F1F1F"/>
                <w:sz w:val="18"/>
              </w:rPr>
              <w:t>1</w:t>
            </w:r>
          </w:p>
        </w:tc>
        <w:tc>
          <w:tcPr>
            <w:tcW w:type="dxa" w:w="1800"/>
            <w:tcMar>
              <w:top w:w="80" w:type="dxa"/>
              <w:start w:w="100" w:type="dxa"/>
              <w:bottom w:w="80" w:type="dxa"/>
              <w:end w:w="100" w:type="dxa"/>
            </w:tcMar>
            <w:vAlign w:val="center"/>
          </w:tcPr>
          <w:p>
            <w:pPr>
              <w:spacing w:after="0" w:line="240" w:lineRule="auto"/>
              <w:jc w:val="center"/>
            </w:pPr>
            <w:r>
              <w:rPr>
                <w:rFonts w:ascii="Aptos" w:hAnsi="Aptos"/>
                <w:b w:val="0"/>
                <w:color w:val="1F1F1F"/>
                <w:sz w:val="18"/>
              </w:rPr>
              <w:t>Load</w:t>
            </w:r>
          </w:p>
        </w:tc>
        <w:tc>
          <w:tcPr>
            <w:tcW w:type="dxa" w:w="7128"/>
            <w:tcMar>
              <w:top w:w="80" w:type="dxa"/>
              <w:start w:w="100" w:type="dxa"/>
              <w:bottom w:w="80" w:type="dxa"/>
              <w:end w:w="100" w:type="dxa"/>
            </w:tcMar>
            <w:vAlign w:val="center"/>
          </w:tcPr>
          <w:p>
            <w:pPr>
              <w:spacing w:after="0" w:line="240" w:lineRule="auto"/>
              <w:jc w:val="left"/>
            </w:pPr>
            <w:r>
              <w:rPr>
                <w:rFonts w:ascii="Aptos" w:hAnsi="Aptos"/>
                <w:b w:val="0"/>
                <w:color w:val="1F1F1F"/>
                <w:sz w:val="18"/>
              </w:rPr>
              <w:t>Use bundled RevenueLeakage.csv or session upload.</w:t>
            </w:r>
          </w:p>
        </w:tc>
      </w:tr>
      <w:tr>
        <w:tc>
          <w:tcPr>
            <w:tcW w:type="dxa" w:w="864"/>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2</w:t>
            </w:r>
          </w:p>
        </w:tc>
        <w:tc>
          <w:tcPr>
            <w:tcW w:type="dxa" w:w="1800"/>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Validate</w:t>
            </w:r>
          </w:p>
        </w:tc>
        <w:tc>
          <w:tcPr>
            <w:tcW w:type="dxa" w:w="7128"/>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Check exact schema, file readability, identifiers, dates, numeric values, duplicates, negatives, and empty data.</w:t>
            </w:r>
          </w:p>
        </w:tc>
      </w:tr>
      <w:tr>
        <w:tc>
          <w:tcPr>
            <w:tcW w:type="dxa" w:w="864"/>
            <w:tcMar>
              <w:top w:w="80" w:type="dxa"/>
              <w:start w:w="100" w:type="dxa"/>
              <w:bottom w:w="80" w:type="dxa"/>
              <w:end w:w="100" w:type="dxa"/>
            </w:tcMar>
            <w:vAlign w:val="center"/>
          </w:tcPr>
          <w:p>
            <w:pPr>
              <w:spacing w:after="0" w:line="240" w:lineRule="auto"/>
              <w:jc w:val="center"/>
            </w:pPr>
            <w:r>
              <w:rPr>
                <w:rFonts w:ascii="Aptos" w:hAnsi="Aptos"/>
                <w:b w:val="0"/>
                <w:color w:val="1F1F1F"/>
                <w:sz w:val="18"/>
              </w:rPr>
              <w:t>3</w:t>
            </w:r>
          </w:p>
        </w:tc>
        <w:tc>
          <w:tcPr>
            <w:tcW w:type="dxa" w:w="1800"/>
            <w:tcMar>
              <w:top w:w="80" w:type="dxa"/>
              <w:start w:w="100" w:type="dxa"/>
              <w:bottom w:w="80" w:type="dxa"/>
              <w:end w:w="100" w:type="dxa"/>
            </w:tcMar>
            <w:vAlign w:val="center"/>
          </w:tcPr>
          <w:p>
            <w:pPr>
              <w:spacing w:after="0" w:line="240" w:lineRule="auto"/>
              <w:jc w:val="center"/>
            </w:pPr>
            <w:r>
              <w:rPr>
                <w:rFonts w:ascii="Aptos" w:hAnsi="Aptos"/>
                <w:b w:val="0"/>
                <w:color w:val="1F1F1F"/>
                <w:sz w:val="18"/>
              </w:rPr>
              <w:t>Normalize</w:t>
            </w:r>
          </w:p>
        </w:tc>
        <w:tc>
          <w:tcPr>
            <w:tcW w:type="dxa" w:w="7128"/>
            <w:tcMar>
              <w:top w:w="80" w:type="dxa"/>
              <w:start w:w="100" w:type="dxa"/>
              <w:bottom w:w="80" w:type="dxa"/>
              <w:end w:w="100" w:type="dxa"/>
            </w:tcMar>
            <w:vAlign w:val="center"/>
          </w:tcPr>
          <w:p>
            <w:pPr>
              <w:spacing w:after="0" w:line="240" w:lineRule="auto"/>
              <w:jc w:val="left"/>
            </w:pPr>
            <w:r>
              <w:rPr>
                <w:rFonts w:ascii="Aptos" w:hAnsi="Aptos"/>
                <w:b w:val="0"/>
                <w:color w:val="1F1F1F"/>
                <w:sz w:val="18"/>
              </w:rPr>
              <w:t>Trim whitespace and convert dates and financial fields.</w:t>
            </w:r>
          </w:p>
        </w:tc>
      </w:tr>
      <w:tr>
        <w:tc>
          <w:tcPr>
            <w:tcW w:type="dxa" w:w="864"/>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4</w:t>
            </w:r>
          </w:p>
        </w:tc>
        <w:tc>
          <w:tcPr>
            <w:tcW w:type="dxa" w:w="1800"/>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Calculate</w:t>
            </w:r>
          </w:p>
        </w:tc>
        <w:tc>
          <w:tcPr>
            <w:tcW w:type="dxa" w:w="7128"/>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Recompute billing difference, positive leakage, variance percentage, and billing classification.</w:t>
            </w:r>
          </w:p>
        </w:tc>
      </w:tr>
      <w:tr>
        <w:tc>
          <w:tcPr>
            <w:tcW w:type="dxa" w:w="864"/>
            <w:tcMar>
              <w:top w:w="80" w:type="dxa"/>
              <w:start w:w="100" w:type="dxa"/>
              <w:bottom w:w="80" w:type="dxa"/>
              <w:end w:w="100" w:type="dxa"/>
            </w:tcMar>
            <w:vAlign w:val="center"/>
          </w:tcPr>
          <w:p>
            <w:pPr>
              <w:spacing w:after="0" w:line="240" w:lineRule="auto"/>
              <w:jc w:val="center"/>
            </w:pPr>
            <w:r>
              <w:rPr>
                <w:rFonts w:ascii="Aptos" w:hAnsi="Aptos"/>
                <w:b w:val="0"/>
                <w:color w:val="1F1F1F"/>
                <w:sz w:val="18"/>
              </w:rPr>
              <w:t>5</w:t>
            </w:r>
          </w:p>
        </w:tc>
        <w:tc>
          <w:tcPr>
            <w:tcW w:type="dxa" w:w="1800"/>
            <w:tcMar>
              <w:top w:w="80" w:type="dxa"/>
              <w:start w:w="100" w:type="dxa"/>
              <w:bottom w:w="80" w:type="dxa"/>
              <w:end w:w="100" w:type="dxa"/>
            </w:tcMar>
            <w:vAlign w:val="center"/>
          </w:tcPr>
          <w:p>
            <w:pPr>
              <w:spacing w:after="0" w:line="240" w:lineRule="auto"/>
              <w:jc w:val="center"/>
            </w:pPr>
            <w:r>
              <w:rPr>
                <w:rFonts w:ascii="Aptos" w:hAnsi="Aptos"/>
                <w:b w:val="0"/>
                <w:color w:val="1F1F1F"/>
                <w:sz w:val="18"/>
              </w:rPr>
              <w:t>Filter</w:t>
            </w:r>
          </w:p>
        </w:tc>
        <w:tc>
          <w:tcPr>
            <w:tcW w:type="dxa" w:w="7128"/>
            <w:tcMar>
              <w:top w:w="80" w:type="dxa"/>
              <w:start w:w="100" w:type="dxa"/>
              <w:bottom w:w="80" w:type="dxa"/>
              <w:end w:w="100" w:type="dxa"/>
            </w:tcMar>
            <w:vAlign w:val="center"/>
          </w:tcPr>
          <w:p>
            <w:pPr>
              <w:spacing w:after="0" w:line="240" w:lineRule="auto"/>
              <w:jc w:val="left"/>
            </w:pPr>
            <w:r>
              <w:rPr>
                <w:rFonts w:ascii="Aptos" w:hAnsi="Aptos"/>
                <w:b w:val="0"/>
                <w:color w:val="1F1F1F"/>
                <w:sz w:val="18"/>
              </w:rPr>
              <w:t>Apply shared date, region, segment, product, payment-status, and issue-type filters.</w:t>
            </w:r>
          </w:p>
        </w:tc>
      </w:tr>
      <w:tr>
        <w:tc>
          <w:tcPr>
            <w:tcW w:type="dxa" w:w="864"/>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6</w:t>
            </w:r>
          </w:p>
        </w:tc>
        <w:tc>
          <w:tcPr>
            <w:tcW w:type="dxa" w:w="1800"/>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Analyze</w:t>
            </w:r>
          </w:p>
        </w:tc>
        <w:tc>
          <w:tcPr>
            <w:tcW w:type="dxa" w:w="7128"/>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Render Overview, Leakage Analysis, Anomaly Detection, and Ask AI.</w:t>
            </w:r>
          </w:p>
        </w:tc>
      </w:tr>
      <w:tr>
        <w:tc>
          <w:tcPr>
            <w:tcW w:type="dxa" w:w="864"/>
            <w:tcMar>
              <w:top w:w="80" w:type="dxa"/>
              <w:start w:w="100" w:type="dxa"/>
              <w:bottom w:w="80" w:type="dxa"/>
              <w:end w:w="100" w:type="dxa"/>
            </w:tcMar>
            <w:vAlign w:val="center"/>
          </w:tcPr>
          <w:p>
            <w:pPr>
              <w:spacing w:after="0" w:line="240" w:lineRule="auto"/>
              <w:jc w:val="center"/>
            </w:pPr>
            <w:r>
              <w:rPr>
                <w:rFonts w:ascii="Aptos" w:hAnsi="Aptos"/>
                <w:b w:val="0"/>
                <w:color w:val="1F1F1F"/>
                <w:sz w:val="18"/>
              </w:rPr>
              <w:t>7</w:t>
            </w:r>
          </w:p>
        </w:tc>
        <w:tc>
          <w:tcPr>
            <w:tcW w:type="dxa" w:w="1800"/>
            <w:tcMar>
              <w:top w:w="80" w:type="dxa"/>
              <w:start w:w="100" w:type="dxa"/>
              <w:bottom w:w="80" w:type="dxa"/>
              <w:end w:w="100" w:type="dxa"/>
            </w:tcMar>
            <w:vAlign w:val="center"/>
          </w:tcPr>
          <w:p>
            <w:pPr>
              <w:spacing w:after="0" w:line="240" w:lineRule="auto"/>
              <w:jc w:val="center"/>
            </w:pPr>
            <w:r>
              <w:rPr>
                <w:rFonts w:ascii="Aptos" w:hAnsi="Aptos"/>
                <w:b w:val="0"/>
                <w:color w:val="1F1F1F"/>
                <w:sz w:val="18"/>
              </w:rPr>
              <w:t>Explain</w:t>
            </w:r>
          </w:p>
        </w:tc>
        <w:tc>
          <w:tcPr>
            <w:tcW w:type="dxa" w:w="7128"/>
            <w:tcMar>
              <w:top w:w="80" w:type="dxa"/>
              <w:start w:w="100" w:type="dxa"/>
              <w:bottom w:w="80" w:type="dxa"/>
              <w:end w:w="100" w:type="dxa"/>
            </w:tcMar>
            <w:vAlign w:val="center"/>
          </w:tcPr>
          <w:p>
            <w:pPr>
              <w:spacing w:after="0" w:line="240" w:lineRule="auto"/>
              <w:jc w:val="left"/>
            </w:pPr>
            <w:r>
              <w:rPr>
                <w:rFonts w:ascii="Aptos" w:hAnsi="Aptos"/>
                <w:b w:val="0"/>
                <w:color w:val="1F1F1F"/>
                <w:sz w:val="18"/>
              </w:rPr>
              <w:t>For supported questions, send only compact calculated results to Groq for explanation.</w:t>
            </w:r>
          </w:p>
        </w:tc>
      </w:tr>
    </w:tbl>
    <w:p>
      <w:pPr>
        <w:spacing w:after="0"/>
      </w:pPr>
    </w:p>
    <w:p>
      <w:pPr>
        <w:pStyle w:val="Heading2"/>
        <w:keepNext w:val="0"/>
        <w:spacing w:after="100" w:before="0" w:line="259" w:lineRule="auto"/>
      </w:pPr>
      <w:r>
        <w:rPr>
          <w:rFonts w:ascii="Aptos" w:hAnsi="Aptos"/>
          <w:b w:val="0"/>
          <w:color w:val="1F1F1F"/>
          <w:sz w:val="21"/>
        </w:rPr>
        <w:t>High-level architecture</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00"/>
            <w:tcMar>
              <w:top w:w="100" w:type="dxa"/>
              <w:start w:w="70" w:type="dxa"/>
              <w:bottom w:w="100" w:type="dxa"/>
              <w:end w:w="70" w:type="dxa"/>
            </w:tcMar>
            <w:shd w:fill="EAF2F8"/>
          </w:tcPr>
          <w:p>
            <w:pPr>
              <w:jc w:val="center"/>
            </w:pPr>
            <w:r>
              <w:rPr>
                <w:rFonts w:ascii="Aptos" w:hAnsi="Aptos"/>
                <w:b/>
                <w:color w:val="17365D"/>
                <w:sz w:val="19"/>
              </w:rPr>
              <w:t>CSV Input</w:t>
            </w:r>
          </w:p>
        </w:tc>
        <w:tc>
          <w:tcPr>
            <w:tcW w:type="dxa" w:w="648"/>
            <w:tcMar>
              <w:top w:w="100" w:type="dxa"/>
              <w:start w:w="70" w:type="dxa"/>
              <w:bottom w:w="100" w:type="dxa"/>
              <w:end w:w="70" w:type="dxa"/>
            </w:tcMar>
          </w:tcPr>
          <w:p>
            <w:pPr>
              <w:jc w:val="center"/>
            </w:pPr>
            <w:r>
              <w:rPr>
                <w:rFonts w:ascii="Aptos" w:hAnsi="Aptos"/>
                <w:b w:val="0"/>
                <w:color w:val="666666"/>
                <w:sz w:val="19"/>
              </w:rPr>
              <w:t>→</w:t>
            </w:r>
          </w:p>
        </w:tc>
        <w:tc>
          <w:tcPr>
            <w:tcW w:type="dxa" w:w="3096"/>
            <w:tcMar>
              <w:top w:w="100" w:type="dxa"/>
              <w:start w:w="70" w:type="dxa"/>
              <w:bottom w:w="100" w:type="dxa"/>
              <w:end w:w="70" w:type="dxa"/>
            </w:tcMar>
            <w:shd w:fill="EAF2F8"/>
          </w:tcPr>
          <w:p>
            <w:pPr>
              <w:jc w:val="center"/>
            </w:pPr>
            <w:r>
              <w:rPr>
                <w:rFonts w:ascii="Aptos" w:hAnsi="Aptos"/>
                <w:b/>
                <w:color w:val="17365D"/>
                <w:sz w:val="19"/>
              </w:rPr>
              <w:t>Validation &amp; Calculations</w:t>
            </w:r>
          </w:p>
        </w:tc>
        <w:tc>
          <w:tcPr>
            <w:tcW w:type="dxa" w:w="648"/>
            <w:tcMar>
              <w:top w:w="100" w:type="dxa"/>
              <w:start w:w="70" w:type="dxa"/>
              <w:bottom w:w="100" w:type="dxa"/>
              <w:end w:w="70" w:type="dxa"/>
            </w:tcMar>
          </w:tcPr>
          <w:p>
            <w:pPr>
              <w:jc w:val="center"/>
            </w:pPr>
            <w:r>
              <w:rPr>
                <w:rFonts w:ascii="Aptos" w:hAnsi="Aptos"/>
                <w:b w:val="0"/>
                <w:color w:val="666666"/>
                <w:sz w:val="19"/>
              </w:rPr>
              <w:t>→</w:t>
            </w:r>
          </w:p>
        </w:tc>
        <w:tc>
          <w:tcPr>
            <w:tcW w:type="dxa" w:w="3096"/>
            <w:tcMar>
              <w:top w:w="100" w:type="dxa"/>
              <w:start w:w="70" w:type="dxa"/>
              <w:bottom w:w="100" w:type="dxa"/>
              <w:end w:w="70" w:type="dxa"/>
            </w:tcMar>
            <w:shd w:fill="EAF2F8"/>
          </w:tcPr>
          <w:p>
            <w:pPr>
              <w:jc w:val="center"/>
            </w:pPr>
            <w:r>
              <w:rPr>
                <w:rFonts w:ascii="Aptos" w:hAnsi="Aptos"/>
                <w:b/>
                <w:color w:val="17365D"/>
                <w:sz w:val="19"/>
              </w:rPr>
              <w:t>Filtered Data</w:t>
            </w:r>
          </w:p>
        </w:tc>
      </w:tr>
      <w:tr>
        <w:tc>
          <w:tcPr>
            <w:tcW w:type="dxa" w:w="1800"/>
            <w:tcMar>
              <w:top w:w="100" w:type="dxa"/>
              <w:start w:w="70" w:type="dxa"/>
              <w:bottom w:w="100" w:type="dxa"/>
              <w:end w:w="70" w:type="dxa"/>
            </w:tcMar>
          </w:tcPr>
          <w:p>
            <w:pPr>
              <w:jc w:val="center"/>
            </w:pPr>
            <w:r>
              <w:rPr>
                <w:rFonts w:ascii="Aptos" w:hAnsi="Aptos"/>
                <w:b/>
                <w:color w:val="17365D"/>
                <w:sz w:val="19"/>
              </w:rPr>
            </w:r>
          </w:p>
        </w:tc>
        <w:tc>
          <w:tcPr>
            <w:tcW w:type="dxa" w:w="648"/>
            <w:tcMar>
              <w:top w:w="100" w:type="dxa"/>
              <w:start w:w="70" w:type="dxa"/>
              <w:bottom w:w="100" w:type="dxa"/>
              <w:end w:w="70" w:type="dxa"/>
            </w:tcMar>
          </w:tcPr>
          <w:p>
            <w:pPr>
              <w:jc w:val="center"/>
            </w:pPr>
            <w:r>
              <w:rPr>
                <w:rFonts w:ascii="Aptos" w:hAnsi="Aptos"/>
                <w:b/>
                <w:color w:val="17365D"/>
                <w:sz w:val="19"/>
              </w:rPr>
            </w:r>
          </w:p>
        </w:tc>
        <w:tc>
          <w:tcPr>
            <w:tcW w:type="dxa" w:w="3096"/>
            <w:tcMar>
              <w:top w:w="100" w:type="dxa"/>
              <w:start w:w="70" w:type="dxa"/>
              <w:bottom w:w="100" w:type="dxa"/>
              <w:end w:w="70" w:type="dxa"/>
            </w:tcMar>
          </w:tcPr>
          <w:p>
            <w:pPr>
              <w:jc w:val="center"/>
            </w:pPr>
            <w:r>
              <w:rPr>
                <w:rFonts w:ascii="Aptos" w:hAnsi="Aptos"/>
                <w:b w:val="0"/>
                <w:color w:val="666666"/>
                <w:sz w:val="19"/>
              </w:rPr>
              <w:t>↓</w:t>
            </w:r>
          </w:p>
        </w:tc>
        <w:tc>
          <w:tcPr>
            <w:tcW w:type="dxa" w:w="648"/>
            <w:tcMar>
              <w:top w:w="100" w:type="dxa"/>
              <w:start w:w="70" w:type="dxa"/>
              <w:bottom w:w="100" w:type="dxa"/>
              <w:end w:w="70" w:type="dxa"/>
            </w:tcMar>
          </w:tcPr>
          <w:p>
            <w:pPr>
              <w:jc w:val="center"/>
            </w:pPr>
            <w:r>
              <w:rPr>
                <w:rFonts w:ascii="Aptos" w:hAnsi="Aptos"/>
                <w:b/>
                <w:color w:val="17365D"/>
                <w:sz w:val="19"/>
              </w:rPr>
            </w:r>
          </w:p>
        </w:tc>
        <w:tc>
          <w:tcPr>
            <w:tcW w:type="dxa" w:w="3096"/>
            <w:tcMar>
              <w:top w:w="100" w:type="dxa"/>
              <w:start w:w="70" w:type="dxa"/>
              <w:bottom w:w="100" w:type="dxa"/>
              <w:end w:w="70" w:type="dxa"/>
            </w:tcMar>
          </w:tcPr>
          <w:p>
            <w:pPr>
              <w:jc w:val="center"/>
            </w:pPr>
            <w:r>
              <w:rPr>
                <w:rFonts w:ascii="Aptos" w:hAnsi="Aptos"/>
                <w:b/>
                <w:color w:val="17365D"/>
                <w:sz w:val="19"/>
              </w:rPr>
            </w:r>
          </w:p>
        </w:tc>
      </w:tr>
      <w:tr>
        <w:tc>
          <w:tcPr>
            <w:tcW w:type="dxa" w:w="1800"/>
            <w:tcMar>
              <w:top w:w="100" w:type="dxa"/>
              <w:start w:w="70" w:type="dxa"/>
              <w:bottom w:w="100" w:type="dxa"/>
              <w:end w:w="70" w:type="dxa"/>
            </w:tcMar>
            <w:shd w:fill="EAF2F8"/>
          </w:tcPr>
          <w:p>
            <w:pPr>
              <w:jc w:val="center"/>
            </w:pPr>
            <w:r>
              <w:rPr>
                <w:rFonts w:ascii="Aptos" w:hAnsi="Aptos"/>
                <w:b/>
                <w:color w:val="17365D"/>
                <w:sz w:val="19"/>
              </w:rPr>
              <w:t>Streamlit UI</w:t>
            </w:r>
          </w:p>
        </w:tc>
        <w:tc>
          <w:tcPr>
            <w:tcW w:type="dxa" w:w="648"/>
            <w:tcMar>
              <w:top w:w="100" w:type="dxa"/>
              <w:start w:w="70" w:type="dxa"/>
              <w:bottom w:w="100" w:type="dxa"/>
              <w:end w:w="70" w:type="dxa"/>
            </w:tcMar>
            <w:shd w:fill="EAF2F8"/>
          </w:tcPr>
          <w:p>
            <w:pPr>
              <w:jc w:val="center"/>
            </w:pPr>
            <w:r>
              <w:rPr>
                <w:rFonts w:ascii="Aptos" w:hAnsi="Aptos"/>
                <w:b/>
                <w:color w:val="17365D"/>
                <w:sz w:val="19"/>
              </w:rPr>
              <w:t>←</w:t>
            </w:r>
          </w:p>
        </w:tc>
        <w:tc>
          <w:tcPr>
            <w:tcW w:type="dxa" w:w="3096"/>
            <w:tcMar>
              <w:top w:w="100" w:type="dxa"/>
              <w:start w:w="70" w:type="dxa"/>
              <w:bottom w:w="100" w:type="dxa"/>
              <w:end w:w="70" w:type="dxa"/>
            </w:tcMar>
            <w:shd w:fill="EAF2F8"/>
          </w:tcPr>
          <w:p>
            <w:pPr>
              <w:jc w:val="center"/>
            </w:pPr>
            <w:r>
              <w:rPr>
                <w:rFonts w:ascii="Aptos" w:hAnsi="Aptos"/>
                <w:b/>
                <w:color w:val="17365D"/>
                <w:sz w:val="19"/>
              </w:rPr>
              <w:t>Four Analysis Tabs</w:t>
            </w:r>
          </w:p>
        </w:tc>
        <w:tc>
          <w:tcPr>
            <w:tcW w:type="dxa" w:w="648"/>
            <w:tcMar>
              <w:top w:w="100" w:type="dxa"/>
              <w:start w:w="70" w:type="dxa"/>
              <w:bottom w:w="100" w:type="dxa"/>
              <w:end w:w="70" w:type="dxa"/>
            </w:tcMar>
          </w:tcPr>
          <w:p>
            <w:pPr>
              <w:jc w:val="center"/>
            </w:pPr>
            <w:r>
              <w:rPr>
                <w:rFonts w:ascii="Aptos" w:hAnsi="Aptos"/>
                <w:b w:val="0"/>
                <w:color w:val="666666"/>
                <w:sz w:val="19"/>
              </w:rPr>
              <w:t>→</w:t>
            </w:r>
          </w:p>
        </w:tc>
        <w:tc>
          <w:tcPr>
            <w:tcW w:type="dxa" w:w="3096"/>
            <w:tcMar>
              <w:top w:w="100" w:type="dxa"/>
              <w:start w:w="70" w:type="dxa"/>
              <w:bottom w:w="100" w:type="dxa"/>
              <w:end w:w="70" w:type="dxa"/>
            </w:tcMar>
            <w:shd w:fill="EAF2F8"/>
          </w:tcPr>
          <w:p>
            <w:pPr>
              <w:jc w:val="center"/>
            </w:pPr>
            <w:r>
              <w:rPr>
                <w:rFonts w:ascii="Aptos" w:hAnsi="Aptos"/>
                <w:b/>
                <w:color w:val="17365D"/>
                <w:sz w:val="19"/>
              </w:rPr>
              <w:t>Groq Explanation</w:t>
            </w:r>
          </w:p>
        </w:tc>
      </w:tr>
    </w:tbl>
    <w:p>
      <w:pPr>
        <w:spacing w:after="0"/>
      </w:pPr>
    </w:p>
    <w:p>
      <w:pPr>
        <w:pStyle w:val="Heading1"/>
        <w:keepNext w:val="0"/>
        <w:spacing w:after="100" w:before="0" w:line="259" w:lineRule="auto"/>
      </w:pPr>
      <w:r>
        <w:rPr>
          <w:rFonts w:ascii="Aptos" w:hAnsi="Aptos"/>
          <w:b w:val="0"/>
          <w:color w:val="1F1F1F"/>
          <w:sz w:val="21"/>
        </w:rPr>
        <w:t>4. Data Contract and Validation</w:t>
      </w:r>
    </w:p>
    <w:p>
      <w:pPr>
        <w:keepNext w:val="0"/>
        <w:spacing w:after="100" w:before="0" w:line="259" w:lineRule="auto"/>
      </w:pPr>
      <w:r>
        <w:rPr>
          <w:rFonts w:ascii="Aptos" w:hAnsi="Aptos"/>
          <w:b w:val="0"/>
          <w:color w:val="1F1F1F"/>
          <w:sz w:val="21"/>
        </w:rPr>
        <w:t>The application expects an exact 16-column schema. Column order may vary, but missing or additional columns are rejected so the analytical logic remains predictable.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448"/>
            <w:tcMar>
              <w:top w:w="55" w:type="dxa"/>
              <w:start w:w="75" w:type="dxa"/>
              <w:bottom w:w="55" w:type="dxa"/>
              <w:end w:w="75" w:type="dxa"/>
            </w:tcMar>
            <w:vAlign w:val="center"/>
            <w:shd w:fill="F3F6F8"/>
          </w:tcPr>
          <w:p>
            <w:pPr>
              <w:spacing w:after="0" w:line="240" w:lineRule="auto"/>
              <w:jc w:val="center"/>
            </w:pPr>
            <w:r>
              <w:rPr>
                <w:rFonts w:ascii="Aptos" w:hAnsi="Aptos"/>
                <w:b w:val="0"/>
                <w:color w:val="1F1F1F"/>
                <w:sz w:val="16"/>
              </w:rPr>
              <w:t>invoice_id</w:t>
            </w:r>
          </w:p>
        </w:tc>
        <w:tc>
          <w:tcPr>
            <w:tcW w:type="dxa" w:w="2448"/>
            <w:tcMar>
              <w:top w:w="55" w:type="dxa"/>
              <w:start w:w="75" w:type="dxa"/>
              <w:bottom w:w="55" w:type="dxa"/>
              <w:end w:w="75" w:type="dxa"/>
            </w:tcMar>
            <w:vAlign w:val="center"/>
            <w:shd w:fill="F3F6F8"/>
          </w:tcPr>
          <w:p>
            <w:pPr>
              <w:spacing w:after="0" w:line="240" w:lineRule="auto"/>
              <w:jc w:val="center"/>
            </w:pPr>
            <w:r>
              <w:rPr>
                <w:rFonts w:ascii="Aptos" w:hAnsi="Aptos"/>
                <w:b w:val="0"/>
                <w:color w:val="1F1F1F"/>
                <w:sz w:val="16"/>
              </w:rPr>
              <w:t>customer_id</w:t>
            </w:r>
          </w:p>
        </w:tc>
        <w:tc>
          <w:tcPr>
            <w:tcW w:type="dxa" w:w="2448"/>
            <w:tcMar>
              <w:top w:w="55" w:type="dxa"/>
              <w:start w:w="75" w:type="dxa"/>
              <w:bottom w:w="55" w:type="dxa"/>
              <w:end w:w="75" w:type="dxa"/>
            </w:tcMar>
            <w:vAlign w:val="center"/>
            <w:shd w:fill="F3F6F8"/>
          </w:tcPr>
          <w:p>
            <w:pPr>
              <w:spacing w:after="0" w:line="240" w:lineRule="auto"/>
              <w:jc w:val="center"/>
            </w:pPr>
            <w:r>
              <w:rPr>
                <w:rFonts w:ascii="Aptos" w:hAnsi="Aptos"/>
                <w:b w:val="0"/>
                <w:color w:val="1F1F1F"/>
                <w:sz w:val="16"/>
              </w:rPr>
              <w:t>billing_date</w:t>
            </w:r>
          </w:p>
        </w:tc>
        <w:tc>
          <w:tcPr>
            <w:tcW w:type="dxa" w:w="2448"/>
            <w:tcMar>
              <w:top w:w="55" w:type="dxa"/>
              <w:start w:w="75" w:type="dxa"/>
              <w:bottom w:w="55" w:type="dxa"/>
              <w:end w:w="75" w:type="dxa"/>
            </w:tcMar>
            <w:vAlign w:val="center"/>
            <w:shd w:fill="F3F6F8"/>
          </w:tcPr>
          <w:p>
            <w:pPr>
              <w:spacing w:after="0" w:line="240" w:lineRule="auto"/>
              <w:jc w:val="center"/>
            </w:pPr>
            <w:r>
              <w:rPr>
                <w:rFonts w:ascii="Aptos" w:hAnsi="Aptos"/>
                <w:b w:val="0"/>
                <w:color w:val="1F1F1F"/>
                <w:sz w:val="16"/>
              </w:rPr>
              <w:t>region</w:t>
            </w:r>
          </w:p>
        </w:tc>
      </w:tr>
      <w:tr>
        <w:tc>
          <w:tcPr>
            <w:tcW w:type="dxa" w:w="2448"/>
            <w:tcMar>
              <w:top w:w="55" w:type="dxa"/>
              <w:start w:w="75" w:type="dxa"/>
              <w:bottom w:w="55" w:type="dxa"/>
              <w:end w:w="75" w:type="dxa"/>
            </w:tcMar>
            <w:vAlign w:val="center"/>
          </w:tcPr>
          <w:p>
            <w:pPr>
              <w:spacing w:after="0" w:line="240" w:lineRule="auto"/>
              <w:jc w:val="center"/>
            </w:pPr>
            <w:r>
              <w:rPr>
                <w:rFonts w:ascii="Aptos" w:hAnsi="Aptos"/>
                <w:b w:val="0"/>
                <w:color w:val="1F1F1F"/>
                <w:sz w:val="16"/>
              </w:rPr>
              <w:t>customer_segment</w:t>
            </w:r>
          </w:p>
        </w:tc>
        <w:tc>
          <w:tcPr>
            <w:tcW w:type="dxa" w:w="2448"/>
            <w:tcMar>
              <w:top w:w="55" w:type="dxa"/>
              <w:start w:w="75" w:type="dxa"/>
              <w:bottom w:w="55" w:type="dxa"/>
              <w:end w:w="75" w:type="dxa"/>
            </w:tcMar>
            <w:vAlign w:val="center"/>
          </w:tcPr>
          <w:p>
            <w:pPr>
              <w:spacing w:after="0" w:line="240" w:lineRule="auto"/>
              <w:jc w:val="center"/>
            </w:pPr>
            <w:r>
              <w:rPr>
                <w:rFonts w:ascii="Aptos" w:hAnsi="Aptos"/>
                <w:b w:val="0"/>
                <w:color w:val="1F1F1F"/>
                <w:sz w:val="16"/>
              </w:rPr>
              <w:t>product</w:t>
            </w:r>
          </w:p>
        </w:tc>
        <w:tc>
          <w:tcPr>
            <w:tcW w:type="dxa" w:w="2448"/>
            <w:tcMar>
              <w:top w:w="55" w:type="dxa"/>
              <w:start w:w="75" w:type="dxa"/>
              <w:bottom w:w="55" w:type="dxa"/>
              <w:end w:w="75" w:type="dxa"/>
            </w:tcMar>
            <w:vAlign w:val="center"/>
          </w:tcPr>
          <w:p>
            <w:pPr>
              <w:spacing w:after="0" w:line="240" w:lineRule="auto"/>
              <w:jc w:val="center"/>
            </w:pPr>
            <w:r>
              <w:rPr>
                <w:rFonts w:ascii="Aptos" w:hAnsi="Aptos"/>
                <w:b w:val="0"/>
                <w:color w:val="1F1F1F"/>
                <w:sz w:val="16"/>
              </w:rPr>
              <w:t>expected_amount</w:t>
            </w:r>
          </w:p>
        </w:tc>
        <w:tc>
          <w:tcPr>
            <w:tcW w:type="dxa" w:w="2448"/>
            <w:tcMar>
              <w:top w:w="55" w:type="dxa"/>
              <w:start w:w="75" w:type="dxa"/>
              <w:bottom w:w="55" w:type="dxa"/>
              <w:end w:w="75" w:type="dxa"/>
            </w:tcMar>
            <w:vAlign w:val="center"/>
          </w:tcPr>
          <w:p>
            <w:pPr>
              <w:spacing w:after="0" w:line="240" w:lineRule="auto"/>
              <w:jc w:val="center"/>
            </w:pPr>
            <w:r>
              <w:rPr>
                <w:rFonts w:ascii="Aptos" w:hAnsi="Aptos"/>
                <w:b w:val="0"/>
                <w:color w:val="1F1F1F"/>
                <w:sz w:val="16"/>
              </w:rPr>
              <w:t>billed_amount</w:t>
            </w:r>
          </w:p>
        </w:tc>
      </w:tr>
      <w:tr>
        <w:tc>
          <w:tcPr>
            <w:tcW w:type="dxa" w:w="2448"/>
            <w:tcMar>
              <w:top w:w="55" w:type="dxa"/>
              <w:start w:w="75" w:type="dxa"/>
              <w:bottom w:w="55" w:type="dxa"/>
              <w:end w:w="75" w:type="dxa"/>
            </w:tcMar>
            <w:vAlign w:val="center"/>
            <w:shd w:fill="F3F6F8"/>
          </w:tcPr>
          <w:p>
            <w:pPr>
              <w:spacing w:after="0" w:line="240" w:lineRule="auto"/>
              <w:jc w:val="center"/>
            </w:pPr>
            <w:r>
              <w:rPr>
                <w:rFonts w:ascii="Aptos" w:hAnsi="Aptos"/>
                <w:b w:val="0"/>
                <w:color w:val="1F1F1F"/>
                <w:sz w:val="16"/>
              </w:rPr>
              <w:t>leakage_amount</w:t>
            </w:r>
          </w:p>
        </w:tc>
        <w:tc>
          <w:tcPr>
            <w:tcW w:type="dxa" w:w="2448"/>
            <w:tcMar>
              <w:top w:w="55" w:type="dxa"/>
              <w:start w:w="75" w:type="dxa"/>
              <w:bottom w:w="55" w:type="dxa"/>
              <w:end w:w="75" w:type="dxa"/>
            </w:tcMar>
            <w:vAlign w:val="center"/>
            <w:shd w:fill="F3F6F8"/>
          </w:tcPr>
          <w:p>
            <w:pPr>
              <w:spacing w:after="0" w:line="240" w:lineRule="auto"/>
              <w:jc w:val="center"/>
            </w:pPr>
            <w:r>
              <w:rPr>
                <w:rFonts w:ascii="Aptos" w:hAnsi="Aptos"/>
                <w:b w:val="0"/>
                <w:color w:val="1F1F1F"/>
                <w:sz w:val="16"/>
              </w:rPr>
              <w:t>billing_variance_pct</w:t>
            </w:r>
          </w:p>
        </w:tc>
        <w:tc>
          <w:tcPr>
            <w:tcW w:type="dxa" w:w="2448"/>
            <w:tcMar>
              <w:top w:w="55" w:type="dxa"/>
              <w:start w:w="75" w:type="dxa"/>
              <w:bottom w:w="55" w:type="dxa"/>
              <w:end w:w="75" w:type="dxa"/>
            </w:tcMar>
            <w:vAlign w:val="center"/>
            <w:shd w:fill="F3F6F8"/>
          </w:tcPr>
          <w:p>
            <w:pPr>
              <w:spacing w:after="0" w:line="240" w:lineRule="auto"/>
              <w:jc w:val="center"/>
            </w:pPr>
            <w:r>
              <w:rPr>
                <w:rFonts w:ascii="Aptos" w:hAnsi="Aptos"/>
                <w:b w:val="0"/>
                <w:color w:val="1F1F1F"/>
                <w:sz w:val="16"/>
              </w:rPr>
              <w:t>discount_pct</w:t>
            </w:r>
          </w:p>
        </w:tc>
        <w:tc>
          <w:tcPr>
            <w:tcW w:type="dxa" w:w="2448"/>
            <w:tcMar>
              <w:top w:w="55" w:type="dxa"/>
              <w:start w:w="75" w:type="dxa"/>
              <w:bottom w:w="55" w:type="dxa"/>
              <w:end w:w="75" w:type="dxa"/>
            </w:tcMar>
            <w:vAlign w:val="center"/>
            <w:shd w:fill="F3F6F8"/>
          </w:tcPr>
          <w:p>
            <w:pPr>
              <w:spacing w:after="0" w:line="240" w:lineRule="auto"/>
              <w:jc w:val="center"/>
            </w:pPr>
            <w:r>
              <w:rPr>
                <w:rFonts w:ascii="Aptos" w:hAnsi="Aptos"/>
                <w:b w:val="0"/>
                <w:color w:val="1F1F1F"/>
                <w:sz w:val="16"/>
              </w:rPr>
              <w:t>payment_status</w:t>
            </w:r>
          </w:p>
        </w:tc>
      </w:tr>
      <w:tr>
        <w:tc>
          <w:tcPr>
            <w:tcW w:type="dxa" w:w="2448"/>
            <w:tcMar>
              <w:top w:w="55" w:type="dxa"/>
              <w:start w:w="75" w:type="dxa"/>
              <w:bottom w:w="55" w:type="dxa"/>
              <w:end w:w="75" w:type="dxa"/>
            </w:tcMar>
            <w:vAlign w:val="center"/>
          </w:tcPr>
          <w:p>
            <w:pPr>
              <w:spacing w:after="0" w:line="240" w:lineRule="auto"/>
              <w:jc w:val="center"/>
            </w:pPr>
            <w:r>
              <w:rPr>
                <w:rFonts w:ascii="Aptos" w:hAnsi="Aptos"/>
                <w:b w:val="0"/>
                <w:color w:val="1F1F1F"/>
                <w:sz w:val="16"/>
              </w:rPr>
              <w:t>amount_paid</w:t>
            </w:r>
          </w:p>
        </w:tc>
        <w:tc>
          <w:tcPr>
            <w:tcW w:type="dxa" w:w="2448"/>
            <w:tcMar>
              <w:top w:w="55" w:type="dxa"/>
              <w:start w:w="75" w:type="dxa"/>
              <w:bottom w:w="55" w:type="dxa"/>
              <w:end w:w="75" w:type="dxa"/>
            </w:tcMar>
            <w:vAlign w:val="center"/>
          </w:tcPr>
          <w:p>
            <w:pPr>
              <w:spacing w:after="0" w:line="240" w:lineRule="auto"/>
              <w:jc w:val="center"/>
            </w:pPr>
            <w:r>
              <w:rPr>
                <w:rFonts w:ascii="Aptos" w:hAnsi="Aptos"/>
                <w:b w:val="0"/>
                <w:color w:val="1F1F1F"/>
                <w:sz w:val="16"/>
              </w:rPr>
              <w:t>overdue_amount</w:t>
            </w:r>
          </w:p>
        </w:tc>
        <w:tc>
          <w:tcPr>
            <w:tcW w:type="dxa" w:w="2448"/>
            <w:tcMar>
              <w:top w:w="55" w:type="dxa"/>
              <w:start w:w="75" w:type="dxa"/>
              <w:bottom w:w="55" w:type="dxa"/>
              <w:end w:w="75" w:type="dxa"/>
            </w:tcMar>
            <w:vAlign w:val="center"/>
          </w:tcPr>
          <w:p>
            <w:pPr>
              <w:spacing w:after="0" w:line="240" w:lineRule="auto"/>
              <w:jc w:val="center"/>
            </w:pPr>
            <w:r>
              <w:rPr>
                <w:rFonts w:ascii="Aptos" w:hAnsi="Aptos"/>
                <w:b w:val="0"/>
                <w:color w:val="1F1F1F"/>
                <w:sz w:val="16"/>
              </w:rPr>
              <w:t>days_overdue</w:t>
            </w:r>
          </w:p>
        </w:tc>
        <w:tc>
          <w:tcPr>
            <w:tcW w:type="dxa" w:w="2448"/>
            <w:tcMar>
              <w:top w:w="55" w:type="dxa"/>
              <w:start w:w="75" w:type="dxa"/>
              <w:bottom w:w="55" w:type="dxa"/>
              <w:end w:w="75" w:type="dxa"/>
            </w:tcMar>
            <w:vAlign w:val="center"/>
          </w:tcPr>
          <w:p>
            <w:pPr>
              <w:spacing w:after="0" w:line="240" w:lineRule="auto"/>
              <w:jc w:val="center"/>
            </w:pPr>
            <w:r>
              <w:rPr>
                <w:rFonts w:ascii="Aptos" w:hAnsi="Aptos"/>
                <w:b w:val="0"/>
                <w:color w:val="1F1F1F"/>
                <w:sz w:val="16"/>
              </w:rPr>
              <w:t>issue_type</w:t>
            </w:r>
          </w:p>
        </w:tc>
      </w:tr>
    </w:tbl>
    <w:p>
      <w:pPr>
        <w:spacing w:after="0"/>
      </w:pPr>
    </w:p>
    <w:p>
      <w:pPr>
        <w:pStyle w:val="Heading2"/>
        <w:keepNext w:val="0"/>
        <w:spacing w:after="100" w:before="0" w:line="259" w:lineRule="auto"/>
      </w:pPr>
      <w:r>
        <w:rPr>
          <w:rFonts w:ascii="Aptos" w:hAnsi="Aptos"/>
          <w:b w:val="0"/>
          <w:color w:val="1F1F1F"/>
          <w:sz w:val="21"/>
        </w:rPr>
        <w:t>Validation checks</w:t>
      </w:r>
    </w:p>
    <w:p>
      <w:pPr>
        <w:pStyle w:val="ListBullet"/>
        <w:spacing w:after="50" w:line="250" w:lineRule="auto"/>
      </w:pPr>
      <w:r>
        <w:rPr>
          <w:rFonts w:ascii="Aptos" w:hAnsi="Aptos"/>
          <w:b w:val="0"/>
          <w:color w:val="1F1F1F"/>
          <w:sz w:val="20"/>
        </w:rPr>
        <w:t>Missing or extra columns</w:t>
      </w:r>
    </w:p>
    <w:p>
      <w:pPr>
        <w:pStyle w:val="ListBullet"/>
        <w:spacing w:after="50" w:line="250" w:lineRule="auto"/>
      </w:pPr>
      <w:r>
        <w:rPr>
          <w:rFonts w:ascii="Aptos" w:hAnsi="Aptos"/>
          <w:b w:val="0"/>
          <w:color w:val="1F1F1F"/>
          <w:sz w:val="20"/>
        </w:rPr>
        <w:t>Unreadable CSV files</w:t>
      </w:r>
    </w:p>
    <w:p>
      <w:pPr>
        <w:pStyle w:val="ListBullet"/>
        <w:spacing w:after="50" w:line="250" w:lineRule="auto"/>
      </w:pPr>
      <w:r>
        <w:rPr>
          <w:rFonts w:ascii="Aptos" w:hAnsi="Aptos"/>
          <w:b w:val="0"/>
          <w:color w:val="1F1F1F"/>
          <w:sz w:val="20"/>
        </w:rPr>
        <w:t>Invalid billing dates</w:t>
      </w:r>
    </w:p>
    <w:p>
      <w:pPr>
        <w:pStyle w:val="ListBullet"/>
        <w:spacing w:after="50" w:line="250" w:lineRule="auto"/>
      </w:pPr>
      <w:r>
        <w:rPr>
          <w:rFonts w:ascii="Aptos" w:hAnsi="Aptos"/>
          <w:b w:val="0"/>
          <w:color w:val="1F1F1F"/>
          <w:sz w:val="20"/>
        </w:rPr>
        <w:t>Non-numeric financial values</w:t>
      </w:r>
    </w:p>
    <w:p>
      <w:pPr>
        <w:pStyle w:val="ListBullet"/>
        <w:spacing w:after="50" w:line="250" w:lineRule="auto"/>
      </w:pPr>
      <w:r>
        <w:rPr>
          <w:rFonts w:ascii="Aptos" w:hAnsi="Aptos"/>
          <w:b w:val="0"/>
          <w:color w:val="1F1F1F"/>
          <w:sz w:val="20"/>
        </w:rPr>
        <w:t>Duplicate invoice IDs</w:t>
      </w:r>
    </w:p>
    <w:p>
      <w:pPr>
        <w:pStyle w:val="ListBullet"/>
        <w:spacing w:after="50" w:line="250" w:lineRule="auto"/>
      </w:pPr>
      <w:r>
        <w:rPr>
          <w:rFonts w:ascii="Aptos" w:hAnsi="Aptos"/>
          <w:b w:val="0"/>
          <w:color w:val="1F1F1F"/>
          <w:sz w:val="20"/>
        </w:rPr>
        <w:t>Unexpected negative values</w:t>
      </w:r>
    </w:p>
    <w:p>
      <w:pPr>
        <w:pStyle w:val="ListBullet"/>
        <w:spacing w:after="50" w:line="250" w:lineRule="auto"/>
      </w:pPr>
      <w:r>
        <w:rPr>
          <w:rFonts w:ascii="Aptos" w:hAnsi="Aptos"/>
          <w:b w:val="0"/>
          <w:color w:val="1F1F1F"/>
          <w:sz w:val="20"/>
        </w:rPr>
        <w:t>Missing customer or invoice identifiers</w:t>
      </w:r>
    </w:p>
    <w:p>
      <w:pPr>
        <w:pStyle w:val="ListBullet"/>
        <w:spacing w:after="50" w:line="250" w:lineRule="auto"/>
      </w:pPr>
      <w:r>
        <w:rPr>
          <w:rFonts w:ascii="Aptos" w:hAnsi="Aptos"/>
          <w:b w:val="0"/>
          <w:color w:val="1F1F1F"/>
          <w:sz w:val="20"/>
        </w:rPr>
        <w:t>Empty datasets</w:t>
      </w:r>
    </w:p>
    <w:tbl>
      <w:tblPr>
        <w:tblW w:type="auto" w:w="0"/>
        <w:jc w:val="center"/>
        <w:tblLayout w:type="fixed"/>
        <w:tblLook w:firstColumn="1" w:firstRow="1" w:lastColumn="0" w:lastRow="0" w:noHBand="0" w:noVBand="1" w:val="04A0"/>
      </w:tblPr>
      <w:tblGrid>
        <w:gridCol w:w="10080"/>
      </w:tblGrid>
      <w:tr>
        <w:tc>
          <w:tcPr>
            <w:tcW w:type="dxa" w:w="9792"/>
            <w:shd w:fill="FFF4E5"/>
            <w:tcMar>
              <w:top w:w="130" w:type="dxa"/>
              <w:start w:w="160" w:type="dxa"/>
              <w:bottom w:w="130" w:type="dxa"/>
              <w:end w:w="160" w:type="dxa"/>
            </w:tcMar>
          </w:tcPr>
          <w:p>
            <w:pPr>
              <w:spacing w:after="40"/>
            </w:pPr>
            <w:r>
              <w:rPr>
                <w:rFonts w:ascii="Aptos" w:hAnsi="Aptos"/>
                <w:b/>
                <w:color w:val="C65911"/>
                <w:sz w:val="21"/>
              </w:rPr>
              <w:t>Failure behavior</w:t>
            </w:r>
          </w:p>
          <w:p>
            <w:pPr>
              <w:spacing w:after="0" w:line="259" w:lineRule="auto"/>
            </w:pPr>
            <w:r>
              <w:rPr>
                <w:rFonts w:ascii="Aptos" w:hAnsi="Aptos"/>
                <w:b w:val="0"/>
                <w:color w:val="1F1F1F"/>
                <w:sz w:val="20"/>
              </w:rPr>
              <w:t>Invalid files do not crash the dashboard. The user receives a concise explanation of the problem and the correction required.</w:t>
            </w:r>
          </w:p>
        </w:tc>
      </w:tr>
    </w:tbl>
    <w:p>
      <w:pPr>
        <w:spacing w:after="0"/>
      </w:pPr>
    </w:p>
    <w:p>
      <w:pPr>
        <w:pStyle w:val="Heading1"/>
        <w:keepNext w:val="0"/>
        <w:spacing w:after="100" w:before="0" w:line="259" w:lineRule="auto"/>
      </w:pPr>
      <w:r>
        <w:rPr>
          <w:rFonts w:ascii="Aptos" w:hAnsi="Aptos"/>
          <w:b w:val="0"/>
          <w:color w:val="1F1F1F"/>
          <w:sz w:val="21"/>
        </w:rPr>
        <w:t>5. Authoritative Billing Calculations</w:t>
      </w:r>
    </w:p>
    <w:p>
      <w:pPr>
        <w:keepNext w:val="0"/>
        <w:spacing w:after="100" w:before="0" w:line="259" w:lineRule="auto"/>
      </w:pPr>
      <w:r>
        <w:rPr>
          <w:rFonts w:ascii="Aptos" w:hAnsi="Aptos"/>
          <w:b w:val="0"/>
          <w:color w:val="1F1F1F"/>
          <w:sz w:val="21"/>
        </w:rPr>
        <w:t>Although the CSV contains leakage_amount and billing_variance_pct fields, the application retains those only for reference and recalculates authoritative values from expected_amount and billed_amount.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7365D"/>
            <w:tcMar>
              <w:top w:w="90" w:type="dxa"/>
              <w:start w:w="100" w:type="dxa"/>
              <w:bottom w:w="90" w:type="dxa"/>
              <w:end w:w="100" w:type="dxa"/>
            </w:tcMar>
            <w:vAlign w:val="center"/>
          </w:tcPr>
          <w:p>
            <w:pPr>
              <w:spacing w:after="0"/>
              <w:jc w:val="center"/>
            </w:pPr>
            <w:r>
              <w:rPr>
                <w:rFonts w:ascii="Aptos" w:hAnsi="Aptos"/>
                <w:b/>
                <w:color w:val="FFFFFF"/>
                <w:sz w:val="18"/>
              </w:rPr>
              <w:t>Metric</w:t>
            </w:r>
          </w:p>
        </w:tc>
        <w:tc>
          <w:tcPr>
            <w:tcW w:type="dxa" w:w="3816"/>
            <w:shd w:fill="17365D"/>
            <w:tcMar>
              <w:top w:w="90" w:type="dxa"/>
              <w:start w:w="100" w:type="dxa"/>
              <w:bottom w:w="90" w:type="dxa"/>
              <w:end w:w="100" w:type="dxa"/>
            </w:tcMar>
            <w:vAlign w:val="center"/>
          </w:tcPr>
          <w:p>
            <w:pPr>
              <w:spacing w:after="0"/>
              <w:jc w:val="center"/>
            </w:pPr>
            <w:r>
              <w:rPr>
                <w:rFonts w:ascii="Aptos" w:hAnsi="Aptos"/>
                <w:b/>
                <w:color w:val="FFFFFF"/>
                <w:sz w:val="18"/>
              </w:rPr>
              <w:t>Calculation</w:t>
            </w:r>
          </w:p>
        </w:tc>
        <w:tc>
          <w:tcPr>
            <w:tcW w:type="dxa" w:w="4176"/>
            <w:shd w:fill="17365D"/>
            <w:tcMar>
              <w:top w:w="90" w:type="dxa"/>
              <w:start w:w="100" w:type="dxa"/>
              <w:bottom w:w="90" w:type="dxa"/>
              <w:end w:w="100" w:type="dxa"/>
            </w:tcMar>
            <w:vAlign w:val="center"/>
          </w:tcPr>
          <w:p>
            <w:pPr>
              <w:spacing w:after="0"/>
              <w:jc w:val="center"/>
            </w:pPr>
            <w:r>
              <w:rPr>
                <w:rFonts w:ascii="Aptos" w:hAnsi="Aptos"/>
                <w:b/>
                <w:color w:val="FFFFFF"/>
                <w:sz w:val="18"/>
              </w:rPr>
              <w:t>Interpretation</w:t>
            </w:r>
          </w:p>
        </w:tc>
      </w:tr>
      <w:tr>
        <w:tc>
          <w:tcPr>
            <w:tcW w:type="dxa" w:w="2232"/>
            <w:tcMar>
              <w:top w:w="80" w:type="dxa"/>
              <w:start w:w="100" w:type="dxa"/>
              <w:bottom w:w="80" w:type="dxa"/>
              <w:end w:w="100" w:type="dxa"/>
            </w:tcMar>
            <w:vAlign w:val="center"/>
          </w:tcPr>
          <w:p>
            <w:pPr>
              <w:spacing w:after="0" w:line="240" w:lineRule="auto"/>
              <w:jc w:val="left"/>
            </w:pPr>
            <w:r>
              <w:rPr>
                <w:rFonts w:ascii="Aptos" w:hAnsi="Aptos"/>
                <w:b w:val="0"/>
                <w:color w:val="1F1F1F"/>
                <w:sz w:val="17"/>
              </w:rPr>
              <w:t>Signed billing difference</w:t>
            </w:r>
          </w:p>
        </w:tc>
        <w:tc>
          <w:tcPr>
            <w:tcW w:type="dxa" w:w="3816"/>
            <w:tcMar>
              <w:top w:w="80" w:type="dxa"/>
              <w:start w:w="100" w:type="dxa"/>
              <w:bottom w:w="80" w:type="dxa"/>
              <w:end w:w="100" w:type="dxa"/>
            </w:tcMar>
            <w:vAlign w:val="center"/>
          </w:tcPr>
          <w:p>
            <w:pPr>
              <w:spacing w:after="0" w:line="240" w:lineRule="auto"/>
              <w:jc w:val="left"/>
            </w:pPr>
            <w:r>
              <w:rPr>
                <w:rFonts w:ascii="Aptos" w:hAnsi="Aptos"/>
                <w:b w:val="0"/>
                <w:color w:val="1F1F1F"/>
                <w:sz w:val="17"/>
              </w:rPr>
              <w:t>Expected Amount - Billed Amount</w:t>
            </w:r>
          </w:p>
        </w:tc>
        <w:tc>
          <w:tcPr>
            <w:tcW w:type="dxa" w:w="4176"/>
            <w:tcMar>
              <w:top w:w="80" w:type="dxa"/>
              <w:start w:w="100" w:type="dxa"/>
              <w:bottom w:w="80" w:type="dxa"/>
              <w:end w:w="100" w:type="dxa"/>
            </w:tcMar>
            <w:vAlign w:val="center"/>
          </w:tcPr>
          <w:p>
            <w:pPr>
              <w:spacing w:after="0" w:line="240" w:lineRule="auto"/>
              <w:jc w:val="left"/>
            </w:pPr>
            <w:r>
              <w:rPr>
                <w:rFonts w:ascii="Aptos" w:hAnsi="Aptos"/>
                <w:b w:val="0"/>
                <w:color w:val="1F1F1F"/>
                <w:sz w:val="17"/>
              </w:rPr>
              <w:t>Positive = underbilling; negative = overbilling.</w:t>
            </w:r>
          </w:p>
        </w:tc>
      </w:tr>
      <w:tr>
        <w:tc>
          <w:tcPr>
            <w:tcW w:type="dxa" w:w="2232"/>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7"/>
              </w:rPr>
              <w:t>Positive revenue leakage</w:t>
            </w:r>
          </w:p>
        </w:tc>
        <w:tc>
          <w:tcPr>
            <w:tcW w:type="dxa" w:w="3816"/>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7"/>
              </w:rPr>
              <w:t>Sum of max(Expected Amount - Billed Amount, 0)</w:t>
            </w:r>
          </w:p>
        </w:tc>
        <w:tc>
          <w:tcPr>
            <w:tcW w:type="dxa" w:w="4176"/>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7"/>
              </w:rPr>
              <w:t>Overbilling never reduces the positive leakage KPI.</w:t>
            </w:r>
          </w:p>
        </w:tc>
      </w:tr>
      <w:tr>
        <w:tc>
          <w:tcPr>
            <w:tcW w:type="dxa" w:w="2232"/>
            <w:tcMar>
              <w:top w:w="80" w:type="dxa"/>
              <w:start w:w="100" w:type="dxa"/>
              <w:bottom w:w="80" w:type="dxa"/>
              <w:end w:w="100" w:type="dxa"/>
            </w:tcMar>
            <w:vAlign w:val="center"/>
          </w:tcPr>
          <w:p>
            <w:pPr>
              <w:spacing w:after="0" w:line="240" w:lineRule="auto"/>
              <w:jc w:val="left"/>
            </w:pPr>
            <w:r>
              <w:rPr>
                <w:rFonts w:ascii="Aptos" w:hAnsi="Aptos"/>
                <w:b w:val="0"/>
                <w:color w:val="1F1F1F"/>
                <w:sz w:val="17"/>
              </w:rPr>
              <w:t>Overbilling exposure</w:t>
            </w:r>
          </w:p>
        </w:tc>
        <w:tc>
          <w:tcPr>
            <w:tcW w:type="dxa" w:w="3816"/>
            <w:tcMar>
              <w:top w:w="80" w:type="dxa"/>
              <w:start w:w="100" w:type="dxa"/>
              <w:bottom w:w="80" w:type="dxa"/>
              <w:end w:w="100" w:type="dxa"/>
            </w:tcMar>
            <w:vAlign w:val="center"/>
          </w:tcPr>
          <w:p>
            <w:pPr>
              <w:spacing w:after="0" w:line="240" w:lineRule="auto"/>
              <w:jc w:val="left"/>
            </w:pPr>
            <w:r>
              <w:rPr>
                <w:rFonts w:ascii="Aptos" w:hAnsi="Aptos"/>
                <w:b w:val="0"/>
                <w:color w:val="1F1F1F"/>
                <w:sz w:val="17"/>
              </w:rPr>
              <w:t>Sum of max(Billed Amount - Expected Amount, 0)</w:t>
            </w:r>
          </w:p>
        </w:tc>
        <w:tc>
          <w:tcPr>
            <w:tcW w:type="dxa" w:w="4176"/>
            <w:tcMar>
              <w:top w:w="80" w:type="dxa"/>
              <w:start w:w="100" w:type="dxa"/>
              <w:bottom w:w="80" w:type="dxa"/>
              <w:end w:w="100" w:type="dxa"/>
            </w:tcMar>
            <w:vAlign w:val="center"/>
          </w:tcPr>
          <w:p>
            <w:pPr>
              <w:spacing w:after="0" w:line="240" w:lineRule="auto"/>
              <w:jc w:val="left"/>
            </w:pPr>
            <w:r>
              <w:rPr>
                <w:rFonts w:ascii="Aptos" w:hAnsi="Aptos"/>
                <w:b w:val="0"/>
                <w:color w:val="1F1F1F"/>
                <w:sz w:val="17"/>
              </w:rPr>
              <w:t>Tracked separately from leakage.</w:t>
            </w:r>
          </w:p>
        </w:tc>
      </w:tr>
      <w:tr>
        <w:tc>
          <w:tcPr>
            <w:tcW w:type="dxa" w:w="2232"/>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7"/>
              </w:rPr>
              <w:t>Billing variance %</w:t>
            </w:r>
          </w:p>
        </w:tc>
        <w:tc>
          <w:tcPr>
            <w:tcW w:type="dxa" w:w="3816"/>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7"/>
              </w:rPr>
              <w:t>((Expected - Billed) / Expected) x 100</w:t>
            </w:r>
          </w:p>
        </w:tc>
        <w:tc>
          <w:tcPr>
            <w:tcW w:type="dxa" w:w="4176"/>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7"/>
              </w:rPr>
              <w:t>Zero expected amounts produce a missing variance rather than a division error.</w:t>
            </w:r>
          </w:p>
        </w:tc>
      </w:tr>
      <w:tr>
        <w:tc>
          <w:tcPr>
            <w:tcW w:type="dxa" w:w="2232"/>
            <w:tcMar>
              <w:top w:w="80" w:type="dxa"/>
              <w:start w:w="100" w:type="dxa"/>
              <w:bottom w:w="80" w:type="dxa"/>
              <w:end w:w="100" w:type="dxa"/>
            </w:tcMar>
            <w:vAlign w:val="center"/>
          </w:tcPr>
          <w:p>
            <w:pPr>
              <w:spacing w:after="0" w:line="240" w:lineRule="auto"/>
              <w:jc w:val="left"/>
            </w:pPr>
            <w:r>
              <w:rPr>
                <w:rFonts w:ascii="Aptos" w:hAnsi="Aptos"/>
                <w:b w:val="0"/>
                <w:color w:val="1F1F1F"/>
                <w:sz w:val="17"/>
              </w:rPr>
              <w:t>Billing classification</w:t>
            </w:r>
          </w:p>
        </w:tc>
        <w:tc>
          <w:tcPr>
            <w:tcW w:type="dxa" w:w="3816"/>
            <w:tcMar>
              <w:top w:w="80" w:type="dxa"/>
              <w:start w:w="100" w:type="dxa"/>
              <w:bottom w:w="80" w:type="dxa"/>
              <w:end w:w="100" w:type="dxa"/>
            </w:tcMar>
            <w:vAlign w:val="center"/>
          </w:tcPr>
          <w:p>
            <w:pPr>
              <w:spacing w:after="0" w:line="240" w:lineRule="auto"/>
              <w:jc w:val="left"/>
            </w:pPr>
            <w:r>
              <w:rPr>
                <w:rFonts w:ascii="Aptos" w:hAnsi="Aptos"/>
                <w:b w:val="0"/>
                <w:color w:val="1F1F1F"/>
                <w:sz w:val="17"/>
              </w:rPr>
              <w:t>Difference &gt; tolerance: Underbilled; &lt; -tolerance: Overbilled; otherwise Correct</w:t>
            </w:r>
          </w:p>
        </w:tc>
        <w:tc>
          <w:tcPr>
            <w:tcW w:type="dxa" w:w="4176"/>
            <w:tcMar>
              <w:top w:w="80" w:type="dxa"/>
              <w:start w:w="100" w:type="dxa"/>
              <w:bottom w:w="80" w:type="dxa"/>
              <w:end w:w="100" w:type="dxa"/>
            </w:tcMar>
            <w:vAlign w:val="center"/>
          </w:tcPr>
          <w:p>
            <w:pPr>
              <w:spacing w:after="0" w:line="240" w:lineRule="auto"/>
              <w:jc w:val="left"/>
            </w:pPr>
            <w:r>
              <w:rPr>
                <w:rFonts w:ascii="Aptos" w:hAnsi="Aptos"/>
                <w:b w:val="0"/>
                <w:color w:val="1F1F1F"/>
                <w:sz w:val="17"/>
              </w:rPr>
              <w:t>A small shared tolerance (for example, one cent) avoids floating-point noise.</w:t>
            </w:r>
          </w:p>
        </w:tc>
      </w:tr>
    </w:tbl>
    <w:p>
      <w:pPr>
        <w:spacing w:after="0"/>
      </w:pPr>
    </w:p>
    <w:p>
      <w:pPr>
        <w:pStyle w:val="Heading1"/>
        <w:keepNext w:val="0"/>
        <w:spacing w:after="100" w:before="0" w:line="259" w:lineRule="auto"/>
      </w:pPr>
      <w:r>
        <w:rPr>
          <w:rFonts w:ascii="Aptos" w:hAnsi="Aptos"/>
          <w:b w:val="0"/>
          <w:color w:val="1F1F1F"/>
          <w:sz w:val="21"/>
        </w:rPr>
        <w:t>6. User Experience and Functional Capabilities</w:t>
      </w:r>
    </w:p>
    <w:p>
      <w:pPr>
        <w:keepNext w:val="0"/>
        <w:spacing w:after="100" w:before="0" w:line="259" w:lineRule="auto"/>
      </w:pPr>
      <w:r>
        <w:rPr>
          <w:rFonts w:ascii="Aptos" w:hAnsi="Aptos"/>
          <w:b w:val="0"/>
          <w:color w:val="1F1F1F"/>
          <w:sz w:val="21"/>
        </w:rPr>
        <w:t>Shared sidebar controls provide data-source status, row counts, billing-date range, validation warnings, dynamic filters, and a reset action. Multiselect values are generated from the loaded dataset rather than hard-coded.</w:t>
      </w:r>
    </w:p>
    <w:p>
      <w:pPr>
        <w:pStyle w:val="Heading2"/>
        <w:keepNext w:val="0"/>
        <w:spacing w:after="100" w:before="0" w:line="259" w:lineRule="auto"/>
      </w:pPr>
      <w:r>
        <w:rPr>
          <w:rFonts w:ascii="Aptos" w:hAnsi="Aptos"/>
          <w:b w:val="0"/>
          <w:color w:val="1F1F1F"/>
          <w:sz w:val="21"/>
        </w:rPr>
        <w:t>Tab 1 - Overview</w:t>
      </w:r>
    </w:p>
    <w:p>
      <w:pPr>
        <w:pStyle w:val="ListBullet"/>
        <w:spacing w:after="50" w:line="250" w:lineRule="auto"/>
      </w:pPr>
      <w:r>
        <w:rPr>
          <w:rFonts w:ascii="Aptos" w:hAnsi="Aptos"/>
          <w:b w:val="0"/>
          <w:color w:val="1F1F1F"/>
          <w:sz w:val="20"/>
        </w:rPr>
        <w:t>Five KPI cards: Total Expected Revenue, Total Billed Amount, Positive Revenue Leakage, Total Overdue Amount, and Total Invoices.</w:t>
      </w:r>
    </w:p>
    <w:p>
      <w:pPr>
        <w:pStyle w:val="ListBullet"/>
        <w:spacing w:after="50" w:line="250" w:lineRule="auto"/>
      </w:pPr>
      <w:r>
        <w:rPr>
          <w:rFonts w:ascii="Aptos" w:hAnsi="Aptos"/>
          <w:b w:val="0"/>
          <w:color w:val="1F1F1F"/>
          <w:sz w:val="20"/>
        </w:rPr>
        <w:t>Paid-versus-unpaid summary with non-paid statuses grouped as unpaid for the summary while preserving original labels in filters.</w:t>
      </w:r>
    </w:p>
    <w:p>
      <w:pPr>
        <w:pStyle w:val="ListBullet"/>
        <w:spacing w:after="50" w:line="250" w:lineRule="auto"/>
      </w:pPr>
      <w:r>
        <w:rPr>
          <w:rFonts w:ascii="Aptos" w:hAnsi="Aptos"/>
          <w:b w:val="0"/>
          <w:color w:val="1F1F1F"/>
          <w:sz w:val="20"/>
        </w:rPr>
        <w:t>Expected-versus-billed comparison by month, region, or product.</w:t>
      </w:r>
    </w:p>
    <w:p>
      <w:pPr>
        <w:pStyle w:val="ListBullet"/>
        <w:spacing w:after="50" w:line="250" w:lineRule="auto"/>
      </w:pPr>
      <w:r>
        <w:rPr>
          <w:rFonts w:ascii="Aptos" w:hAnsi="Aptos"/>
          <w:b w:val="0"/>
          <w:color w:val="1F1F1F"/>
          <w:sz w:val="20"/>
        </w:rPr>
        <w:t>Monthly trend for expected revenue, billed revenue, and positive leakage.</w:t>
      </w:r>
    </w:p>
    <w:p>
      <w:pPr>
        <w:pStyle w:val="ListBullet"/>
        <w:spacing w:after="50" w:line="250" w:lineRule="auto"/>
      </w:pPr>
      <w:r>
        <w:rPr>
          <w:rFonts w:ascii="Aptos" w:hAnsi="Aptos"/>
          <w:b w:val="0"/>
          <w:color w:val="1F1F1F"/>
          <w:sz w:val="20"/>
        </w:rPr>
        <w:t>Filtered invoice detail table with export of the currently filtered records.</w:t>
      </w:r>
    </w:p>
    <w:p>
      <w:pPr>
        <w:pStyle w:val="Heading2"/>
        <w:keepNext w:val="0"/>
        <w:spacing w:after="100" w:before="0" w:line="259" w:lineRule="auto"/>
      </w:pPr>
      <w:r>
        <w:rPr>
          <w:rFonts w:ascii="Aptos" w:hAnsi="Aptos"/>
          <w:b w:val="0"/>
          <w:color w:val="1F1F1F"/>
          <w:sz w:val="21"/>
        </w:rPr>
        <w:t>Tab 2 - Leakage Analysis</w:t>
      </w:r>
    </w:p>
    <w:p>
      <w:pPr>
        <w:pStyle w:val="ListBullet"/>
        <w:spacing w:after="50" w:line="250" w:lineRule="auto"/>
      </w:pPr>
      <w:r>
        <w:rPr>
          <w:rFonts w:ascii="Aptos" w:hAnsi="Aptos"/>
          <w:b w:val="0"/>
          <w:color w:val="1F1F1F"/>
          <w:sz w:val="20"/>
        </w:rPr>
        <w:t>KPI cards for positive leakage, underbilled invoice count, overbilling exposure, and correctly billed invoice count.</w:t>
      </w:r>
    </w:p>
    <w:p>
      <w:pPr>
        <w:pStyle w:val="ListBullet"/>
        <w:spacing w:after="50" w:line="250" w:lineRule="auto"/>
      </w:pPr>
      <w:r>
        <w:rPr>
          <w:rFonts w:ascii="Aptos" w:hAnsi="Aptos"/>
          <w:b w:val="0"/>
          <w:color w:val="1F1F1F"/>
          <w:sz w:val="20"/>
        </w:rPr>
        <w:t>Invoice classification chart: Underbilled, Overbilled, Correctly billed.</w:t>
      </w:r>
    </w:p>
    <w:p>
      <w:pPr>
        <w:pStyle w:val="ListBullet"/>
        <w:spacing w:after="50" w:line="250" w:lineRule="auto"/>
      </w:pPr>
      <w:r>
        <w:rPr>
          <w:rFonts w:ascii="Aptos" w:hAnsi="Aptos"/>
          <w:b w:val="0"/>
          <w:color w:val="1F1F1F"/>
          <w:sz w:val="20"/>
        </w:rPr>
        <w:t>Customer-level analysis including positive leakage, affected invoice count, expected amount, billed amount, and average leakage per affected invoice.</w:t>
      </w:r>
    </w:p>
    <w:p>
      <w:pPr>
        <w:pStyle w:val="ListBullet"/>
        <w:spacing w:after="50" w:line="250" w:lineRule="auto"/>
      </w:pPr>
      <w:r>
        <w:rPr>
          <w:rFonts w:ascii="Aptos" w:hAnsi="Aptos"/>
          <w:b w:val="0"/>
          <w:color w:val="1F1F1F"/>
          <w:sz w:val="20"/>
        </w:rPr>
        <w:t>Leakage analysis by region, product, and issue type using positive invoice-level leakage only.</w:t>
      </w:r>
    </w:p>
    <w:p>
      <w:pPr>
        <w:pStyle w:val="ListBullet"/>
        <w:spacing w:after="50" w:line="250" w:lineRule="auto"/>
      </w:pPr>
      <w:r>
        <w:rPr>
          <w:rFonts w:ascii="Aptos" w:hAnsi="Aptos"/>
          <w:b w:val="0"/>
          <w:color w:val="1F1F1F"/>
          <w:sz w:val="20"/>
        </w:rPr>
        <w:t>Top 10 leakage cases sorted from highest to lowest positive leakage.</w:t>
      </w:r>
    </w:p>
    <w:p>
      <w:pPr>
        <w:pStyle w:val="Heading2"/>
        <w:keepNext w:val="0"/>
        <w:spacing w:after="100" w:before="0" w:line="259" w:lineRule="auto"/>
      </w:pPr>
      <w:r>
        <w:rPr>
          <w:rFonts w:ascii="Aptos" w:hAnsi="Aptos"/>
          <w:b w:val="0"/>
          <w:color w:val="1F1F1F"/>
          <w:sz w:val="21"/>
        </w:rPr>
        <w:t>Tab 3 - Anomaly Detection</w:t>
      </w:r>
    </w:p>
    <w:p>
      <w:pPr>
        <w:keepNext w:val="0"/>
        <w:spacing w:after="100" w:before="0" w:line="259" w:lineRule="auto"/>
      </w:pPr>
      <w:r>
        <w:rPr>
          <w:rFonts w:ascii="Aptos" w:hAnsi="Aptos"/>
          <w:b w:val="0"/>
          <w:color w:val="1F1F1F"/>
          <w:sz w:val="21"/>
        </w:rPr>
        <w:t>The default anomaly method is the Interquartile Range (IQR), using a configurable multiplier of 1.5. Both unusually low and unusually high values are detected.</w:t>
      </w:r>
    </w:p>
    <w:p>
      <w:pPr>
        <w:pStyle w:val="ListBullet"/>
        <w:spacing w:after="50" w:line="250" w:lineRule="auto"/>
      </w:pPr>
      <w:r>
        <w:rPr>
          <w:rFonts w:ascii="Aptos" w:hAnsi="Aptos"/>
          <w:b w:val="0"/>
          <w:color w:val="1F1F1F"/>
          <w:sz w:val="20"/>
        </w:rPr>
        <w:t>Selectable numeric fields include expected amount, billed amount, calculated difference, positive leakage, variance %, discount %, amount paid, overdue amount, and days overdue.</w:t>
      </w:r>
    </w:p>
    <w:p>
      <w:pPr>
        <w:pStyle w:val="ListBullet"/>
        <w:spacing w:after="50" w:line="250" w:lineRule="auto"/>
      </w:pPr>
      <w:r>
        <w:rPr>
          <w:rFonts w:ascii="Aptos" w:hAnsi="Aptos"/>
          <w:b w:val="0"/>
          <w:color w:val="1F1F1F"/>
          <w:sz w:val="20"/>
        </w:rPr>
        <w:t>Results show lower/upper thresholds, anomaly count and percentage, and minimum/median/maximum values.</w:t>
      </w:r>
    </w:p>
    <w:p>
      <w:pPr>
        <w:pStyle w:val="ListBullet"/>
        <w:spacing w:after="50" w:line="250" w:lineRule="auto"/>
      </w:pPr>
      <w:r>
        <w:rPr>
          <w:rFonts w:ascii="Aptos" w:hAnsi="Aptos"/>
          <w:b w:val="0"/>
          <w:color w:val="1F1F1F"/>
          <w:sz w:val="20"/>
        </w:rPr>
        <w:t>Box plot and scatter plot provide visual context, with anomaly points highlighted.</w:t>
      </w:r>
    </w:p>
    <w:p>
      <w:pPr>
        <w:pStyle w:val="ListBullet"/>
        <w:spacing w:after="50" w:line="250" w:lineRule="auto"/>
      </w:pPr>
      <w:r>
        <w:rPr>
          <w:rFonts w:ascii="Aptos" w:hAnsi="Aptos"/>
          <w:b w:val="0"/>
          <w:color w:val="1F1F1F"/>
          <w:sz w:val="20"/>
        </w:rPr>
        <w:t>Missing values are excluded from threshold calculation; constant or insufficient data is handled explicitly.</w:t>
      </w:r>
    </w:p>
    <w:p>
      <w:pPr>
        <w:pStyle w:val="ListBullet"/>
        <w:spacing w:after="50" w:line="250" w:lineRule="auto"/>
      </w:pPr>
      <w:r>
        <w:rPr>
          <w:rFonts w:ascii="Aptos" w:hAnsi="Aptos"/>
          <w:b w:val="0"/>
          <w:color w:val="1F1F1F"/>
          <w:sz w:val="20"/>
        </w:rPr>
        <w:t>Flags are described as statistical anomalies, not confirmed billing errors.</w:t>
      </w:r>
    </w:p>
    <w:p>
      <w:pPr>
        <w:pStyle w:val="Heading2"/>
        <w:keepNext w:val="0"/>
        <w:spacing w:after="100" w:before="0" w:line="259" w:lineRule="auto"/>
      </w:pPr>
      <w:r>
        <w:rPr>
          <w:rFonts w:ascii="Aptos" w:hAnsi="Aptos"/>
          <w:b w:val="0"/>
          <w:color w:val="1F1F1F"/>
          <w:sz w:val="21"/>
        </w:rPr>
        <w:t>Tab 4 - Ask AI</w:t>
      </w:r>
    </w:p>
    <w:p>
      <w:pPr>
        <w:keepNext w:val="0"/>
        <w:spacing w:after="100" w:before="0" w:line="259" w:lineRule="auto"/>
      </w:pPr>
      <w:r>
        <w:rPr>
          <w:rFonts w:ascii="Aptos" w:hAnsi="Aptos"/>
          <w:b w:val="0"/>
          <w:color w:val="1F1F1F"/>
          <w:sz w:val="21"/>
        </w:rPr>
        <w:t>The AI tab provides a Streamlit chat experience with session-level conversation history and example prompts. It supports a fixed set of billing analyses so that the model cannot execute arbitrary code.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168"/>
            <w:shd w:fill="17365D"/>
            <w:tcMar>
              <w:top w:w="90" w:type="dxa"/>
              <w:start w:w="100" w:type="dxa"/>
              <w:bottom w:w="90" w:type="dxa"/>
              <w:end w:w="100" w:type="dxa"/>
            </w:tcMar>
            <w:vAlign w:val="center"/>
          </w:tcPr>
          <w:p>
            <w:pPr>
              <w:spacing w:after="0"/>
              <w:jc w:val="center"/>
            </w:pPr>
            <w:r>
              <w:rPr>
                <w:rFonts w:ascii="Aptos" w:hAnsi="Aptos"/>
                <w:b/>
                <w:color w:val="FFFFFF"/>
                <w:sz w:val="18"/>
              </w:rPr>
              <w:t>Supported analysis</w:t>
            </w:r>
          </w:p>
        </w:tc>
        <w:tc>
          <w:tcPr>
            <w:tcW w:type="dxa" w:w="6623"/>
            <w:shd w:fill="17365D"/>
            <w:tcMar>
              <w:top w:w="90" w:type="dxa"/>
              <w:start w:w="100" w:type="dxa"/>
              <w:bottom w:w="90" w:type="dxa"/>
              <w:end w:w="100" w:type="dxa"/>
            </w:tcMar>
            <w:vAlign w:val="center"/>
          </w:tcPr>
          <w:p>
            <w:pPr>
              <w:spacing w:after="0"/>
              <w:jc w:val="center"/>
            </w:pPr>
            <w:r>
              <w:rPr>
                <w:rFonts w:ascii="Aptos" w:hAnsi="Aptos"/>
                <w:b/>
                <w:color w:val="FFFFFF"/>
                <w:sz w:val="18"/>
              </w:rPr>
              <w:t>Example question</w:t>
            </w:r>
          </w:p>
        </w:tc>
      </w:tr>
      <w:tr>
        <w:tc>
          <w:tcPr>
            <w:tcW w:type="dxa" w:w="3168"/>
            <w:tcMar>
              <w:top w:w="80" w:type="dxa"/>
              <w:start w:w="100" w:type="dxa"/>
              <w:bottom w:w="80" w:type="dxa"/>
              <w:end w:w="100" w:type="dxa"/>
            </w:tcMar>
            <w:vAlign w:val="center"/>
          </w:tcPr>
          <w:p>
            <w:pPr>
              <w:spacing w:after="0" w:line="240" w:lineRule="auto"/>
              <w:jc w:val="left"/>
            </w:pPr>
            <w:r>
              <w:rPr>
                <w:rFonts w:ascii="Aptos" w:hAnsi="Aptos"/>
                <w:b w:val="0"/>
                <w:color w:val="1F1F1F"/>
                <w:sz w:val="18"/>
              </w:rPr>
              <w:t>Top leakage customers</w:t>
            </w:r>
          </w:p>
        </w:tc>
        <w:tc>
          <w:tcPr>
            <w:tcW w:type="dxa" w:w="6623"/>
            <w:tcMar>
              <w:top w:w="80" w:type="dxa"/>
              <w:start w:w="100" w:type="dxa"/>
              <w:bottom w:w="80" w:type="dxa"/>
              <w:end w:w="100" w:type="dxa"/>
            </w:tcMar>
            <w:vAlign w:val="center"/>
          </w:tcPr>
          <w:p>
            <w:pPr>
              <w:spacing w:after="0" w:line="240" w:lineRule="auto"/>
              <w:jc w:val="left"/>
            </w:pPr>
            <w:r>
              <w:rPr>
                <w:rFonts w:ascii="Aptos" w:hAnsi="Aptos"/>
                <w:b w:val="0"/>
                <w:color w:val="1F1F1F"/>
                <w:sz w:val="18"/>
              </w:rPr>
              <w:t>Which customers have the highest leakage?</w:t>
            </w:r>
          </w:p>
        </w:tc>
      </w:tr>
      <w:tr>
        <w:tc>
          <w:tcPr>
            <w:tcW w:type="dxa" w:w="3168"/>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Top underbilling</w:t>
            </w:r>
          </w:p>
        </w:tc>
        <w:tc>
          <w:tcPr>
            <w:tcW w:type="dxa" w:w="6623"/>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Show the top five underbilled invoices.</w:t>
            </w:r>
          </w:p>
        </w:tc>
      </w:tr>
      <w:tr>
        <w:tc>
          <w:tcPr>
            <w:tcW w:type="dxa" w:w="3168"/>
            <w:tcMar>
              <w:top w:w="80" w:type="dxa"/>
              <w:start w:w="100" w:type="dxa"/>
              <w:bottom w:w="80" w:type="dxa"/>
              <w:end w:w="100" w:type="dxa"/>
            </w:tcMar>
            <w:vAlign w:val="center"/>
          </w:tcPr>
          <w:p>
            <w:pPr>
              <w:spacing w:after="0" w:line="240" w:lineRule="auto"/>
              <w:jc w:val="center"/>
            </w:pPr>
            <w:r>
              <w:rPr>
                <w:rFonts w:ascii="Aptos" w:hAnsi="Aptos"/>
                <w:b w:val="0"/>
                <w:color w:val="1F1F1F"/>
                <w:sz w:val="18"/>
              </w:rPr>
              <w:t>Issue analysis</w:t>
            </w:r>
          </w:p>
        </w:tc>
        <w:tc>
          <w:tcPr>
            <w:tcW w:type="dxa" w:w="6623"/>
            <w:tcMar>
              <w:top w:w="80" w:type="dxa"/>
              <w:start w:w="100" w:type="dxa"/>
              <w:bottom w:w="80" w:type="dxa"/>
              <w:end w:w="100" w:type="dxa"/>
            </w:tcMar>
            <w:vAlign w:val="center"/>
          </w:tcPr>
          <w:p>
            <w:pPr>
              <w:spacing w:after="0" w:line="240" w:lineRule="auto"/>
              <w:jc w:val="left"/>
            </w:pPr>
            <w:r>
              <w:rPr>
                <w:rFonts w:ascii="Aptos" w:hAnsi="Aptos"/>
                <w:b w:val="0"/>
                <w:color w:val="1F1F1F"/>
                <w:sz w:val="18"/>
              </w:rPr>
              <w:t>Which issue types create the most leakage?</w:t>
            </w:r>
          </w:p>
        </w:tc>
      </w:tr>
      <w:tr>
        <w:tc>
          <w:tcPr>
            <w:tcW w:type="dxa" w:w="3168"/>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Discount anomalies</w:t>
            </w:r>
          </w:p>
        </w:tc>
        <w:tc>
          <w:tcPr>
            <w:tcW w:type="dxa" w:w="6623"/>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Are there unusual discounts?</w:t>
            </w:r>
          </w:p>
        </w:tc>
      </w:tr>
      <w:tr>
        <w:tc>
          <w:tcPr>
            <w:tcW w:type="dxa" w:w="3168"/>
            <w:tcMar>
              <w:top w:w="80" w:type="dxa"/>
              <w:start w:w="100" w:type="dxa"/>
              <w:bottom w:w="80" w:type="dxa"/>
              <w:end w:w="100" w:type="dxa"/>
            </w:tcMar>
            <w:vAlign w:val="center"/>
          </w:tcPr>
          <w:p>
            <w:pPr>
              <w:spacing w:after="0" w:line="240" w:lineRule="auto"/>
              <w:jc w:val="center"/>
            </w:pPr>
            <w:r>
              <w:rPr>
                <w:rFonts w:ascii="Aptos" w:hAnsi="Aptos"/>
                <w:b w:val="0"/>
                <w:color w:val="1F1F1F"/>
                <w:sz w:val="18"/>
              </w:rPr>
              <w:t>Risk summary</w:t>
            </w:r>
          </w:p>
        </w:tc>
        <w:tc>
          <w:tcPr>
            <w:tcW w:type="dxa" w:w="6623"/>
            <w:tcMar>
              <w:top w:w="80" w:type="dxa"/>
              <w:start w:w="100" w:type="dxa"/>
              <w:bottom w:w="80" w:type="dxa"/>
              <w:end w:w="100" w:type="dxa"/>
            </w:tcMar>
            <w:vAlign w:val="center"/>
          </w:tcPr>
          <w:p>
            <w:pPr>
              <w:spacing w:after="0" w:line="240" w:lineRule="auto"/>
              <w:jc w:val="left"/>
            </w:pPr>
            <w:r>
              <w:rPr>
                <w:rFonts w:ascii="Aptos" w:hAnsi="Aptos"/>
                <w:b w:val="0"/>
                <w:color w:val="1F1F1F"/>
                <w:sz w:val="18"/>
              </w:rPr>
              <w:t>Summarize the biggest revenue risks.</w:t>
            </w:r>
          </w:p>
        </w:tc>
      </w:tr>
    </w:tbl>
    <w:p>
      <w:pPr>
        <w:spacing w:after="0"/>
      </w:pPr>
    </w:p>
    <w:p>
      <w:pPr>
        <w:pStyle w:val="Heading1"/>
        <w:keepNext w:val="0"/>
        <w:spacing w:after="100" w:before="0" w:line="259" w:lineRule="auto"/>
      </w:pPr>
      <w:r>
        <w:rPr>
          <w:rFonts w:ascii="Aptos" w:hAnsi="Aptos"/>
          <w:b w:val="0"/>
          <w:color w:val="1F1F1F"/>
          <w:sz w:val="21"/>
        </w:rPr>
        <w:t>7. AI Integration and Safety Design</w:t>
      </w:r>
    </w:p>
    <w:p>
      <w:pPr>
        <w:keepNext w:val="0"/>
        <w:spacing w:after="100" w:before="0" w:line="259" w:lineRule="auto"/>
      </w:pPr>
      <w:r>
        <w:rPr>
          <w:rFonts w:ascii="Aptos" w:hAnsi="Aptos"/>
          <w:b w:val="0"/>
          <w:color w:val="1F1F1F"/>
          <w:sz w:val="21"/>
        </w:rPr>
        <w:t>The AI layer is deliberately separated from the financial calculation layer. A user question is mapped to a supported analysis, the predefined Pandas calculation is run, and only a compact result summary is provided to Groq for explanation.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024"/>
            <w:shd w:fill="17365D"/>
            <w:tcMar>
              <w:top w:w="90" w:type="dxa"/>
              <w:start w:w="100" w:type="dxa"/>
              <w:bottom w:w="90" w:type="dxa"/>
              <w:end w:w="100" w:type="dxa"/>
            </w:tcMar>
            <w:vAlign w:val="center"/>
          </w:tcPr>
          <w:p>
            <w:pPr>
              <w:spacing w:after="0"/>
              <w:jc w:val="center"/>
            </w:pPr>
            <w:r>
              <w:rPr>
                <w:rFonts w:ascii="Aptos" w:hAnsi="Aptos"/>
                <w:b/>
                <w:color w:val="FFFFFF"/>
                <w:sz w:val="18"/>
              </w:rPr>
              <w:t>Pipeline stage</w:t>
            </w:r>
          </w:p>
        </w:tc>
        <w:tc>
          <w:tcPr>
            <w:tcW w:type="dxa" w:w="6768"/>
            <w:shd w:fill="17365D"/>
            <w:tcMar>
              <w:top w:w="90" w:type="dxa"/>
              <w:start w:w="100" w:type="dxa"/>
              <w:bottom w:w="90" w:type="dxa"/>
              <w:end w:w="100" w:type="dxa"/>
            </w:tcMar>
            <w:vAlign w:val="center"/>
          </w:tcPr>
          <w:p>
            <w:pPr>
              <w:spacing w:after="0"/>
              <w:jc w:val="center"/>
            </w:pPr>
            <w:r>
              <w:rPr>
                <w:rFonts w:ascii="Aptos" w:hAnsi="Aptos"/>
                <w:b/>
                <w:color w:val="FFFFFF"/>
                <w:sz w:val="18"/>
              </w:rPr>
              <w:t>Responsibility</w:t>
            </w:r>
          </w:p>
        </w:tc>
      </w:tr>
      <w:tr>
        <w:tc>
          <w:tcPr>
            <w:tcW w:type="dxa" w:w="3024"/>
            <w:tcMar>
              <w:top w:w="80" w:type="dxa"/>
              <w:start w:w="100" w:type="dxa"/>
              <w:bottom w:w="80" w:type="dxa"/>
              <w:end w:w="100" w:type="dxa"/>
            </w:tcMar>
            <w:vAlign w:val="center"/>
          </w:tcPr>
          <w:p>
            <w:pPr>
              <w:spacing w:after="0" w:line="240" w:lineRule="auto"/>
              <w:jc w:val="center"/>
            </w:pPr>
            <w:r>
              <w:rPr>
                <w:rFonts w:ascii="Aptos" w:hAnsi="Aptos"/>
                <w:b w:val="0"/>
                <w:color w:val="1F1F1F"/>
                <w:sz w:val="18"/>
              </w:rPr>
              <w:t>User question</w:t>
            </w:r>
          </w:p>
        </w:tc>
        <w:tc>
          <w:tcPr>
            <w:tcW w:type="dxa" w:w="6768"/>
            <w:tcMar>
              <w:top w:w="80" w:type="dxa"/>
              <w:start w:w="100" w:type="dxa"/>
              <w:bottom w:w="80" w:type="dxa"/>
              <w:end w:w="100" w:type="dxa"/>
            </w:tcMar>
            <w:vAlign w:val="center"/>
          </w:tcPr>
          <w:p>
            <w:pPr>
              <w:spacing w:after="0" w:line="240" w:lineRule="auto"/>
              <w:jc w:val="left"/>
            </w:pPr>
            <w:r>
              <w:rPr>
                <w:rFonts w:ascii="Aptos" w:hAnsi="Aptos"/>
                <w:b w:val="0"/>
                <w:color w:val="1F1F1F"/>
                <w:sz w:val="18"/>
              </w:rPr>
              <w:t>Natural-language request in the Ask AI tab.</w:t>
            </w:r>
          </w:p>
        </w:tc>
      </w:tr>
      <w:tr>
        <w:tc>
          <w:tcPr>
            <w:tcW w:type="dxa" w:w="3024"/>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Supported analysis identification</w:t>
            </w:r>
          </w:p>
        </w:tc>
        <w:tc>
          <w:tcPr>
            <w:tcW w:type="dxa" w:w="6768"/>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Map the request to a predefined analytical function.</w:t>
            </w:r>
          </w:p>
        </w:tc>
      </w:tr>
      <w:tr>
        <w:tc>
          <w:tcPr>
            <w:tcW w:type="dxa" w:w="3024"/>
            <w:tcMar>
              <w:top w:w="80" w:type="dxa"/>
              <w:start w:w="100" w:type="dxa"/>
              <w:bottom w:w="80" w:type="dxa"/>
              <w:end w:w="100" w:type="dxa"/>
            </w:tcMar>
            <w:vAlign w:val="center"/>
          </w:tcPr>
          <w:p>
            <w:pPr>
              <w:spacing w:after="0" w:line="240" w:lineRule="auto"/>
              <w:jc w:val="center"/>
            </w:pPr>
            <w:r>
              <w:rPr>
                <w:rFonts w:ascii="Aptos" w:hAnsi="Aptos"/>
                <w:b w:val="0"/>
                <w:color w:val="1F1F1F"/>
                <w:sz w:val="18"/>
              </w:rPr>
              <w:t>Pandas calculation</w:t>
            </w:r>
          </w:p>
        </w:tc>
        <w:tc>
          <w:tcPr>
            <w:tcW w:type="dxa" w:w="6768"/>
            <w:tcMar>
              <w:top w:w="80" w:type="dxa"/>
              <w:start w:w="100" w:type="dxa"/>
              <w:bottom w:w="80" w:type="dxa"/>
              <w:end w:w="100" w:type="dxa"/>
            </w:tcMar>
            <w:vAlign w:val="center"/>
          </w:tcPr>
          <w:p>
            <w:pPr>
              <w:spacing w:after="0" w:line="240" w:lineRule="auto"/>
              <w:jc w:val="left"/>
            </w:pPr>
            <w:r>
              <w:rPr>
                <w:rFonts w:ascii="Aptos" w:hAnsi="Aptos"/>
                <w:b w:val="0"/>
                <w:color w:val="1F1F1F"/>
                <w:sz w:val="18"/>
              </w:rPr>
              <w:t>Calculate and validate the result locally.</w:t>
            </w:r>
          </w:p>
        </w:tc>
      </w:tr>
      <w:tr>
        <w:tc>
          <w:tcPr>
            <w:tcW w:type="dxa" w:w="3024"/>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Compact result summary</w:t>
            </w:r>
          </w:p>
        </w:tc>
        <w:tc>
          <w:tcPr>
            <w:tcW w:type="dxa" w:w="6768"/>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Prepare totals, filters, row count, definitions, and a small aggregate table.</w:t>
            </w:r>
          </w:p>
        </w:tc>
      </w:tr>
      <w:tr>
        <w:tc>
          <w:tcPr>
            <w:tcW w:type="dxa" w:w="3024"/>
            <w:tcMar>
              <w:top w:w="80" w:type="dxa"/>
              <w:start w:w="100" w:type="dxa"/>
              <w:bottom w:w="80" w:type="dxa"/>
              <w:end w:w="100" w:type="dxa"/>
            </w:tcMar>
            <w:vAlign w:val="center"/>
          </w:tcPr>
          <w:p>
            <w:pPr>
              <w:spacing w:after="0" w:line="240" w:lineRule="auto"/>
              <w:jc w:val="center"/>
            </w:pPr>
            <w:r>
              <w:rPr>
                <w:rFonts w:ascii="Aptos" w:hAnsi="Aptos"/>
                <w:b w:val="0"/>
                <w:color w:val="1F1F1F"/>
                <w:sz w:val="18"/>
              </w:rPr>
              <w:t>Groq explanation</w:t>
            </w:r>
          </w:p>
        </w:tc>
        <w:tc>
          <w:tcPr>
            <w:tcW w:type="dxa" w:w="6768"/>
            <w:tcMar>
              <w:top w:w="80" w:type="dxa"/>
              <w:start w:w="100" w:type="dxa"/>
              <w:bottom w:w="80" w:type="dxa"/>
              <w:end w:w="100" w:type="dxa"/>
            </w:tcMar>
            <w:vAlign w:val="center"/>
          </w:tcPr>
          <w:p>
            <w:pPr>
              <w:spacing w:after="0" w:line="240" w:lineRule="auto"/>
              <w:jc w:val="left"/>
            </w:pPr>
            <w:r>
              <w:rPr>
                <w:rFonts w:ascii="Aptos" w:hAnsi="Aptos"/>
                <w:b w:val="0"/>
                <w:color w:val="1F1F1F"/>
                <w:sz w:val="18"/>
              </w:rPr>
              <w:t>Explain the supplied results without recalculating or inventing figures.</w:t>
            </w:r>
          </w:p>
        </w:tc>
      </w:tr>
      <w:tr>
        <w:tc>
          <w:tcPr>
            <w:tcW w:type="dxa" w:w="3024"/>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Display</w:t>
            </w:r>
          </w:p>
        </w:tc>
        <w:tc>
          <w:tcPr>
            <w:tcW w:type="dxa" w:w="6768"/>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Show the explanation together with the supporting table.</w:t>
            </w:r>
          </w:p>
        </w:tc>
      </w:tr>
    </w:tbl>
    <w:p>
      <w:pPr>
        <w:spacing w:after="0"/>
      </w:pPr>
    </w:p>
    <w:p>
      <w:pPr>
        <w:pStyle w:val="Heading2"/>
        <w:keepNext w:val="0"/>
        <w:spacing w:after="100" w:before="0" w:line="259" w:lineRule="auto"/>
      </w:pPr>
      <w:r>
        <w:rPr>
          <w:rFonts w:ascii="Aptos" w:hAnsi="Aptos"/>
          <w:b w:val="0"/>
          <w:color w:val="1F1F1F"/>
          <w:sz w:val="21"/>
        </w:rPr>
        <w:t>Information sent to Groq</w:t>
      </w:r>
    </w:p>
    <w:p>
      <w:pPr>
        <w:pStyle w:val="ListBullet"/>
        <w:spacing w:after="50" w:line="250" w:lineRule="auto"/>
      </w:pPr>
      <w:r>
        <w:rPr>
          <w:rFonts w:ascii="Aptos" w:hAnsi="Aptos"/>
          <w:b w:val="0"/>
          <w:color w:val="1F1F1F"/>
          <w:sz w:val="20"/>
        </w:rPr>
        <w:t>User question</w:t>
      </w:r>
    </w:p>
    <w:p>
      <w:pPr>
        <w:pStyle w:val="ListBullet"/>
        <w:spacing w:after="50" w:line="250" w:lineRule="auto"/>
      </w:pPr>
      <w:r>
        <w:rPr>
          <w:rFonts w:ascii="Aptos" w:hAnsi="Aptos"/>
          <w:b w:val="0"/>
          <w:color w:val="1F1F1F"/>
          <w:sz w:val="20"/>
        </w:rPr>
        <w:t>Active filters</w:t>
      </w:r>
    </w:p>
    <w:p>
      <w:pPr>
        <w:pStyle w:val="ListBullet"/>
        <w:spacing w:after="50" w:line="250" w:lineRule="auto"/>
      </w:pPr>
      <w:r>
        <w:rPr>
          <w:rFonts w:ascii="Aptos" w:hAnsi="Aptos"/>
          <w:b w:val="0"/>
          <w:color w:val="1F1F1F"/>
          <w:sz w:val="20"/>
        </w:rPr>
        <w:t>Filtered dataset row count</w:t>
      </w:r>
    </w:p>
    <w:p>
      <w:pPr>
        <w:pStyle w:val="ListBullet"/>
        <w:spacing w:after="50" w:line="250" w:lineRule="auto"/>
      </w:pPr>
      <w:r>
        <w:rPr>
          <w:rFonts w:ascii="Aptos" w:hAnsi="Aptos"/>
          <w:b w:val="0"/>
          <w:color w:val="1F1F1F"/>
          <w:sz w:val="20"/>
        </w:rPr>
        <w:t>Relevant verified totals</w:t>
      </w:r>
    </w:p>
    <w:p>
      <w:pPr>
        <w:pStyle w:val="ListBullet"/>
        <w:spacing w:after="50" w:line="250" w:lineRule="auto"/>
      </w:pPr>
      <w:r>
        <w:rPr>
          <w:rFonts w:ascii="Aptos" w:hAnsi="Aptos"/>
          <w:b w:val="0"/>
          <w:color w:val="1F1F1F"/>
          <w:sz w:val="20"/>
        </w:rPr>
        <w:t>Small aggregated table</w:t>
      </w:r>
    </w:p>
    <w:p>
      <w:pPr>
        <w:pStyle w:val="ListBullet"/>
        <w:spacing w:after="50" w:line="250" w:lineRule="auto"/>
      </w:pPr>
      <w:r>
        <w:rPr>
          <w:rFonts w:ascii="Aptos" w:hAnsi="Aptos"/>
          <w:b w:val="0"/>
          <w:color w:val="1F1F1F"/>
          <w:sz w:val="20"/>
        </w:rPr>
        <w:t>Definitions of leakage and anomaly flags</w:t>
      </w:r>
    </w:p>
    <w:p>
      <w:pPr>
        <w:pStyle w:val="Heading2"/>
        <w:keepNext w:val="0"/>
        <w:spacing w:after="100" w:before="0" w:line="259" w:lineRule="auto"/>
      </w:pPr>
      <w:r>
        <w:rPr>
          <w:rFonts w:ascii="Aptos" w:hAnsi="Aptos"/>
          <w:b w:val="0"/>
          <w:color w:val="1F1F1F"/>
          <w:sz w:val="21"/>
        </w:rPr>
        <w:t>Information not sent to Groq</w:t>
      </w:r>
    </w:p>
    <w:p>
      <w:pPr>
        <w:pStyle w:val="ListBullet"/>
        <w:spacing w:after="50" w:line="250" w:lineRule="auto"/>
      </w:pPr>
      <w:r>
        <w:rPr>
          <w:rFonts w:ascii="Aptos" w:hAnsi="Aptos"/>
          <w:b w:val="0"/>
          <w:color w:val="1F1F1F"/>
          <w:sz w:val="20"/>
        </w:rPr>
        <w:t>Complete CSV</w:t>
      </w:r>
    </w:p>
    <w:p>
      <w:pPr>
        <w:pStyle w:val="ListBullet"/>
        <w:spacing w:after="50" w:line="250" w:lineRule="auto"/>
      </w:pPr>
      <w:r>
        <w:rPr>
          <w:rFonts w:ascii="Aptos" w:hAnsi="Aptos"/>
          <w:b w:val="0"/>
          <w:color w:val="1F1F1F"/>
          <w:sz w:val="20"/>
        </w:rPr>
        <w:t>Unrelated records</w:t>
      </w:r>
    </w:p>
    <w:p>
      <w:pPr>
        <w:pStyle w:val="ListBullet"/>
        <w:spacing w:after="50" w:line="250" w:lineRule="auto"/>
      </w:pPr>
      <w:r>
        <w:rPr>
          <w:rFonts w:ascii="Aptos" w:hAnsi="Aptos"/>
          <w:b w:val="0"/>
          <w:color w:val="1F1F1F"/>
          <w:sz w:val="20"/>
        </w:rPr>
        <w:t>Arbitrary generated code</w:t>
      </w:r>
    </w:p>
    <w:p>
      <w:pPr>
        <w:pStyle w:val="ListBullet"/>
        <w:spacing w:after="50" w:line="250" w:lineRule="auto"/>
      </w:pPr>
      <w:r>
        <w:rPr>
          <w:rFonts w:ascii="Aptos" w:hAnsi="Aptos"/>
          <w:b w:val="0"/>
          <w:color w:val="1F1F1F"/>
          <w:sz w:val="20"/>
        </w:rPr>
        <w:t>Environment variables or API secrets</w:t>
      </w:r>
    </w:p>
    <w:tbl>
      <w:tblPr>
        <w:tblW w:type="auto" w:w="0"/>
        <w:jc w:val="center"/>
        <w:tblLayout w:type="fixed"/>
        <w:tblLook w:firstColumn="1" w:firstRow="1" w:lastColumn="0" w:lastRow="0" w:noHBand="0" w:noVBand="1" w:val="04A0"/>
      </w:tblPr>
      <w:tblGrid>
        <w:gridCol w:w="10080"/>
      </w:tblGrid>
      <w:tr>
        <w:tc>
          <w:tcPr>
            <w:tcW w:type="dxa" w:w="9792"/>
            <w:shd w:fill="EDF5E8"/>
            <w:tcMar>
              <w:top w:w="130" w:type="dxa"/>
              <w:start w:w="160" w:type="dxa"/>
              <w:bottom w:w="130" w:type="dxa"/>
              <w:end w:w="160" w:type="dxa"/>
            </w:tcMar>
          </w:tcPr>
          <w:p>
            <w:pPr>
              <w:spacing w:after="40"/>
            </w:pPr>
            <w:r>
              <w:rPr>
                <w:rFonts w:ascii="Aptos" w:hAnsi="Aptos"/>
                <w:b/>
                <w:color w:val="548235"/>
                <w:sz w:val="21"/>
              </w:rPr>
              <w:t>Graceful degradation</w:t>
            </w:r>
          </w:p>
          <w:p>
            <w:pPr>
              <w:spacing w:after="0" w:line="259" w:lineRule="auto"/>
            </w:pPr>
            <w:r>
              <w:rPr>
                <w:rFonts w:ascii="Aptos" w:hAnsi="Aptos"/>
                <w:b w:val="0"/>
                <w:color w:val="1F1F1F"/>
                <w:sz w:val="20"/>
              </w:rPr>
              <w:t>If GROQ_API_KEY is missing, the AI tab shows setup guidance and example questions. If an API request fails, the deterministic Pandas result remains available.</w:t>
            </w:r>
          </w:p>
        </w:tc>
      </w:tr>
    </w:tbl>
    <w:p>
      <w:pPr>
        <w:spacing w:after="0"/>
      </w:pPr>
    </w:p>
    <w:p>
      <w:pPr>
        <w:pStyle w:val="Heading1"/>
        <w:keepNext w:val="0"/>
        <w:spacing w:after="100" w:before="0" w:line="259" w:lineRule="auto"/>
      </w:pPr>
      <w:r>
        <w:rPr>
          <w:rFonts w:ascii="Aptos" w:hAnsi="Aptos"/>
          <w:b w:val="0"/>
          <w:color w:val="1F1F1F"/>
          <w:sz w:val="21"/>
        </w:rPr>
        <w:t>8. Technical Design</w:t>
      </w:r>
    </w:p>
    <w:p>
      <w:pPr>
        <w:keepNext w:val="0"/>
        <w:spacing w:after="100" w:before="0" w:line="259" w:lineRule="auto"/>
      </w:pPr>
      <w:r>
        <w:rPr>
          <w:rFonts w:ascii="Aptos" w:hAnsi="Aptos"/>
          <w:b w:val="0"/>
          <w:color w:val="1F1F1F"/>
          <w:sz w:val="21"/>
        </w:rPr>
        <w:t>Responsibilities are separated into small modules so that data handling, financial calculations, anomaly detection, AI communication, and UI rendering can be reviewed independently.</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shd w:fill="17365D"/>
            <w:tcMar>
              <w:top w:w="90" w:type="dxa"/>
              <w:start w:w="100" w:type="dxa"/>
              <w:bottom w:w="90" w:type="dxa"/>
              <w:end w:w="100" w:type="dxa"/>
            </w:tcMar>
            <w:vAlign w:val="center"/>
          </w:tcPr>
          <w:p>
            <w:pPr>
              <w:spacing w:after="0"/>
              <w:jc w:val="center"/>
            </w:pPr>
            <w:r>
              <w:rPr>
                <w:rFonts w:ascii="Aptos" w:hAnsi="Aptos"/>
                <w:b/>
                <w:color w:val="FFFFFF"/>
                <w:sz w:val="18"/>
              </w:rPr>
              <w:t>Module</w:t>
            </w:r>
          </w:p>
        </w:tc>
        <w:tc>
          <w:tcPr>
            <w:tcW w:type="dxa" w:w="7200"/>
            <w:shd w:fill="17365D"/>
            <w:tcMar>
              <w:top w:w="90" w:type="dxa"/>
              <w:start w:w="100" w:type="dxa"/>
              <w:bottom w:w="90" w:type="dxa"/>
              <w:end w:w="100" w:type="dxa"/>
            </w:tcMar>
            <w:vAlign w:val="center"/>
          </w:tcPr>
          <w:p>
            <w:pPr>
              <w:spacing w:after="0"/>
              <w:jc w:val="center"/>
            </w:pPr>
            <w:r>
              <w:rPr>
                <w:rFonts w:ascii="Aptos" w:hAnsi="Aptos"/>
                <w:b/>
                <w:color w:val="FFFFFF"/>
                <w:sz w:val="18"/>
              </w:rPr>
              <w:t>Primary responsibility</w:t>
            </w:r>
          </w:p>
        </w:tc>
      </w:tr>
      <w:tr>
        <w:tc>
          <w:tcPr>
            <w:tcW w:type="dxa" w:w="2592"/>
            <w:tcMar>
              <w:top w:w="80" w:type="dxa"/>
              <w:start w:w="100" w:type="dxa"/>
              <w:bottom w:w="80" w:type="dxa"/>
              <w:end w:w="100" w:type="dxa"/>
            </w:tcMar>
            <w:vAlign w:val="center"/>
          </w:tcPr>
          <w:p>
            <w:pPr>
              <w:spacing w:after="0" w:line="240" w:lineRule="auto"/>
              <w:jc w:val="center"/>
            </w:pPr>
            <w:r>
              <w:rPr>
                <w:rFonts w:ascii="Aptos" w:hAnsi="Aptos"/>
                <w:b w:val="0"/>
                <w:color w:val="1F1F1F"/>
                <w:sz w:val="18"/>
              </w:rPr>
              <w:t>data_loader.py</w:t>
            </w:r>
          </w:p>
        </w:tc>
        <w:tc>
          <w:tcPr>
            <w:tcW w:type="dxa" w:w="7200"/>
            <w:tcMar>
              <w:top w:w="80" w:type="dxa"/>
              <w:start w:w="100" w:type="dxa"/>
              <w:bottom w:w="80" w:type="dxa"/>
              <w:end w:w="100" w:type="dxa"/>
            </w:tcMar>
            <w:vAlign w:val="center"/>
          </w:tcPr>
          <w:p>
            <w:pPr>
              <w:spacing w:after="0" w:line="240" w:lineRule="auto"/>
              <w:jc w:val="left"/>
            </w:pPr>
            <w:r>
              <w:rPr>
                <w:rFonts w:ascii="Aptos" w:hAnsi="Aptos"/>
                <w:b w:val="0"/>
                <w:color w:val="1F1F1F"/>
                <w:sz w:val="18"/>
              </w:rPr>
              <w:t>Read bundled/uploaded CSV, validate schema, convert data types, and produce validation messages.</w:t>
            </w:r>
          </w:p>
        </w:tc>
      </w:tr>
      <w:tr>
        <w:tc>
          <w:tcPr>
            <w:tcW w:type="dxa" w:w="2592"/>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calculations.py</w:t>
            </w:r>
          </w:p>
        </w:tc>
        <w:tc>
          <w:tcPr>
            <w:tcW w:type="dxa" w:w="7200"/>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Calculate billing difference, positive leakage, variance %, billing classification, and grouped summaries.</w:t>
            </w:r>
          </w:p>
        </w:tc>
      </w:tr>
      <w:tr>
        <w:tc>
          <w:tcPr>
            <w:tcW w:type="dxa" w:w="2592"/>
            <w:tcMar>
              <w:top w:w="80" w:type="dxa"/>
              <w:start w:w="100" w:type="dxa"/>
              <w:bottom w:w="80" w:type="dxa"/>
              <w:end w:w="100" w:type="dxa"/>
            </w:tcMar>
            <w:vAlign w:val="center"/>
          </w:tcPr>
          <w:p>
            <w:pPr>
              <w:spacing w:after="0" w:line="240" w:lineRule="auto"/>
              <w:jc w:val="center"/>
            </w:pPr>
            <w:r>
              <w:rPr>
                <w:rFonts w:ascii="Aptos" w:hAnsi="Aptos"/>
                <w:b w:val="0"/>
                <w:color w:val="1F1F1F"/>
                <w:sz w:val="18"/>
              </w:rPr>
              <w:t>anomaly.py</w:t>
            </w:r>
          </w:p>
        </w:tc>
        <w:tc>
          <w:tcPr>
            <w:tcW w:type="dxa" w:w="7200"/>
            <w:tcMar>
              <w:top w:w="80" w:type="dxa"/>
              <w:start w:w="100" w:type="dxa"/>
              <w:bottom w:w="80" w:type="dxa"/>
              <w:end w:w="100" w:type="dxa"/>
            </w:tcMar>
            <w:vAlign w:val="center"/>
          </w:tcPr>
          <w:p>
            <w:pPr>
              <w:spacing w:after="0" w:line="240" w:lineRule="auto"/>
              <w:jc w:val="left"/>
            </w:pPr>
            <w:r>
              <w:rPr>
                <w:rFonts w:ascii="Aptos" w:hAnsi="Aptos"/>
                <w:b w:val="0"/>
                <w:color w:val="1F1F1F"/>
                <w:sz w:val="18"/>
              </w:rPr>
              <w:t>Calculate IQR thresholds, create anomaly flags, and handle missing/constant/insufficient data.</w:t>
            </w:r>
          </w:p>
        </w:tc>
      </w:tr>
      <w:tr>
        <w:tc>
          <w:tcPr>
            <w:tcW w:type="dxa" w:w="2592"/>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groq_client.py</w:t>
            </w:r>
          </w:p>
        </w:tc>
        <w:tc>
          <w:tcPr>
            <w:tcW w:type="dxa" w:w="7200"/>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Read environment configuration, send compact prompts to Groq, and handle API errors/timeouts.</w:t>
            </w:r>
          </w:p>
        </w:tc>
      </w:tr>
      <w:tr>
        <w:tc>
          <w:tcPr>
            <w:tcW w:type="dxa" w:w="2592"/>
            <w:tcMar>
              <w:top w:w="80" w:type="dxa"/>
              <w:start w:w="100" w:type="dxa"/>
              <w:bottom w:w="80" w:type="dxa"/>
              <w:end w:w="100" w:type="dxa"/>
            </w:tcMar>
            <w:vAlign w:val="center"/>
          </w:tcPr>
          <w:p>
            <w:pPr>
              <w:spacing w:after="0" w:line="240" w:lineRule="auto"/>
              <w:jc w:val="center"/>
            </w:pPr>
            <w:r>
              <w:rPr>
                <w:rFonts w:ascii="Aptos" w:hAnsi="Aptos"/>
                <w:b w:val="0"/>
                <w:color w:val="1F1F1F"/>
                <w:sz w:val="18"/>
              </w:rPr>
              <w:t>Tab components</w:t>
            </w:r>
          </w:p>
        </w:tc>
        <w:tc>
          <w:tcPr>
            <w:tcW w:type="dxa" w:w="7200"/>
            <w:tcMar>
              <w:top w:w="80" w:type="dxa"/>
              <w:start w:w="100" w:type="dxa"/>
              <w:bottom w:w="80" w:type="dxa"/>
              <w:end w:w="100" w:type="dxa"/>
            </w:tcMar>
            <w:vAlign w:val="center"/>
          </w:tcPr>
          <w:p>
            <w:pPr>
              <w:spacing w:after="0" w:line="240" w:lineRule="auto"/>
              <w:jc w:val="left"/>
            </w:pPr>
            <w:r>
              <w:rPr>
                <w:rFonts w:ascii="Aptos" w:hAnsi="Aptos"/>
                <w:b w:val="0"/>
                <w:color w:val="1F1F1F"/>
                <w:sz w:val="18"/>
              </w:rPr>
              <w:t>Each component focuses on rendering one application tab.</w:t>
            </w:r>
          </w:p>
        </w:tc>
      </w:tr>
    </w:tbl>
    <w:p>
      <w:pPr>
        <w:spacing w:after="0"/>
      </w:pPr>
    </w:p>
    <w:p>
      <w:pPr>
        <w:pStyle w:val="Heading2"/>
        <w:keepNext w:val="0"/>
        <w:spacing w:after="100" w:before="0" w:line="259" w:lineRule="auto"/>
      </w:pPr>
      <w:r>
        <w:rPr>
          <w:rFonts w:ascii="Aptos" w:hAnsi="Aptos"/>
          <w:b w:val="0"/>
          <w:color w:val="1F1F1F"/>
          <w:sz w:val="21"/>
        </w:rPr>
        <w:t>Technology stack</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shd w:fill="17365D"/>
            <w:tcMar>
              <w:top w:w="90" w:type="dxa"/>
              <w:start w:w="100" w:type="dxa"/>
              <w:bottom w:w="90" w:type="dxa"/>
              <w:end w:w="100" w:type="dxa"/>
            </w:tcMar>
            <w:vAlign w:val="center"/>
          </w:tcPr>
          <w:p>
            <w:pPr>
              <w:spacing w:after="0"/>
              <w:jc w:val="center"/>
            </w:pPr>
            <w:r>
              <w:rPr>
                <w:rFonts w:ascii="Aptos" w:hAnsi="Aptos"/>
                <w:b/>
                <w:color w:val="FFFFFF"/>
                <w:sz w:val="18"/>
              </w:rPr>
              <w:t>Technology</w:t>
            </w:r>
          </w:p>
        </w:tc>
        <w:tc>
          <w:tcPr>
            <w:tcW w:type="dxa" w:w="7200"/>
            <w:shd w:fill="17365D"/>
            <w:tcMar>
              <w:top w:w="90" w:type="dxa"/>
              <w:start w:w="100" w:type="dxa"/>
              <w:bottom w:w="90" w:type="dxa"/>
              <w:end w:w="100" w:type="dxa"/>
            </w:tcMar>
            <w:vAlign w:val="center"/>
          </w:tcPr>
          <w:p>
            <w:pPr>
              <w:spacing w:after="0"/>
              <w:jc w:val="center"/>
            </w:pPr>
            <w:r>
              <w:rPr>
                <w:rFonts w:ascii="Aptos" w:hAnsi="Aptos"/>
                <w:b/>
                <w:color w:val="FFFFFF"/>
                <w:sz w:val="18"/>
              </w:rPr>
              <w:t>Role</w:t>
            </w:r>
          </w:p>
        </w:tc>
      </w:tr>
      <w:tr>
        <w:tc>
          <w:tcPr>
            <w:tcW w:type="dxa" w:w="2592"/>
            <w:tcMar>
              <w:top w:w="80" w:type="dxa"/>
              <w:start w:w="100" w:type="dxa"/>
              <w:bottom w:w="80" w:type="dxa"/>
              <w:end w:w="100" w:type="dxa"/>
            </w:tcMar>
            <w:vAlign w:val="center"/>
          </w:tcPr>
          <w:p>
            <w:pPr>
              <w:spacing w:after="0" w:line="240" w:lineRule="auto"/>
              <w:jc w:val="center"/>
            </w:pPr>
            <w:r>
              <w:rPr>
                <w:rFonts w:ascii="Aptos" w:hAnsi="Aptos"/>
                <w:b w:val="0"/>
                <w:color w:val="1F1F1F"/>
                <w:sz w:val="18"/>
              </w:rPr>
              <w:t>Streamlit</w:t>
            </w:r>
          </w:p>
        </w:tc>
        <w:tc>
          <w:tcPr>
            <w:tcW w:type="dxa" w:w="7200"/>
            <w:tcMar>
              <w:top w:w="80" w:type="dxa"/>
              <w:start w:w="100" w:type="dxa"/>
              <w:bottom w:w="80" w:type="dxa"/>
              <w:end w:w="100" w:type="dxa"/>
            </w:tcMar>
            <w:vAlign w:val="center"/>
          </w:tcPr>
          <w:p>
            <w:pPr>
              <w:spacing w:after="0" w:line="240" w:lineRule="auto"/>
              <w:jc w:val="left"/>
            </w:pPr>
            <w:r>
              <w:rPr>
                <w:rFonts w:ascii="Aptos" w:hAnsi="Aptos"/>
                <w:b w:val="0"/>
                <w:color w:val="1F1F1F"/>
                <w:sz w:val="18"/>
              </w:rPr>
              <w:t>Dashboard, sidebar controls, tabs, chat interface</w:t>
            </w:r>
          </w:p>
        </w:tc>
      </w:tr>
      <w:tr>
        <w:tc>
          <w:tcPr>
            <w:tcW w:type="dxa" w:w="2592"/>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Pandas</w:t>
            </w:r>
          </w:p>
        </w:tc>
        <w:tc>
          <w:tcPr>
            <w:tcW w:type="dxa" w:w="7200"/>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Validation, transformations, calculations, grouping</w:t>
            </w:r>
          </w:p>
        </w:tc>
      </w:tr>
      <w:tr>
        <w:tc>
          <w:tcPr>
            <w:tcW w:type="dxa" w:w="2592"/>
            <w:tcMar>
              <w:top w:w="80" w:type="dxa"/>
              <w:start w:w="100" w:type="dxa"/>
              <w:bottom w:w="80" w:type="dxa"/>
              <w:end w:w="100" w:type="dxa"/>
            </w:tcMar>
            <w:vAlign w:val="center"/>
          </w:tcPr>
          <w:p>
            <w:pPr>
              <w:spacing w:after="0" w:line="240" w:lineRule="auto"/>
              <w:jc w:val="center"/>
            </w:pPr>
            <w:r>
              <w:rPr>
                <w:rFonts w:ascii="Aptos" w:hAnsi="Aptos"/>
                <w:b w:val="0"/>
                <w:color w:val="1F1F1F"/>
                <w:sz w:val="18"/>
              </w:rPr>
              <w:t>Plotly</w:t>
            </w:r>
          </w:p>
        </w:tc>
        <w:tc>
          <w:tcPr>
            <w:tcW w:type="dxa" w:w="7200"/>
            <w:tcMar>
              <w:top w:w="80" w:type="dxa"/>
              <w:start w:w="100" w:type="dxa"/>
              <w:bottom w:w="80" w:type="dxa"/>
              <w:end w:w="100" w:type="dxa"/>
            </w:tcMar>
            <w:vAlign w:val="center"/>
          </w:tcPr>
          <w:p>
            <w:pPr>
              <w:spacing w:after="0" w:line="240" w:lineRule="auto"/>
              <w:jc w:val="center"/>
            </w:pPr>
            <w:r>
              <w:rPr>
                <w:rFonts w:ascii="Aptos" w:hAnsi="Aptos"/>
                <w:b w:val="0"/>
                <w:color w:val="1F1F1F"/>
                <w:sz w:val="18"/>
              </w:rPr>
              <w:t>Interactive charts</w:t>
            </w:r>
          </w:p>
        </w:tc>
      </w:tr>
      <w:tr>
        <w:tc>
          <w:tcPr>
            <w:tcW w:type="dxa" w:w="2592"/>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Groq</w:t>
            </w:r>
          </w:p>
        </w:tc>
        <w:tc>
          <w:tcPr>
            <w:tcW w:type="dxa" w:w="7200"/>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Natural-language explanation of verified analytical results</w:t>
            </w:r>
          </w:p>
        </w:tc>
      </w:tr>
    </w:tbl>
    <w:p>
      <w:pPr>
        <w:spacing w:after="0"/>
      </w:pPr>
    </w:p>
    <w:p>
      <w:pPr>
        <w:keepNext w:val="0"/>
        <w:spacing w:after="100" w:before="0" w:line="259" w:lineRule="auto"/>
      </w:pPr>
      <w:r>
        <w:rPr>
          <w:rFonts w:ascii="Aptos" w:hAnsi="Aptos"/>
          <w:b w:val="0"/>
          <w:color w:val="666666"/>
          <w:sz w:val="20"/>
        </w:rPr>
        <w:t>The project intentionally excludes LangChain, LangGraph, a database, an authentication layer, and a separate backend service.</w:t>
      </w:r>
    </w:p>
    <w:p>
      <w:pPr>
        <w:pStyle w:val="Heading1"/>
        <w:keepNext w:val="0"/>
        <w:spacing w:after="100" w:before="0" w:line="259" w:lineRule="auto"/>
      </w:pPr>
      <w:r>
        <w:rPr>
          <w:rFonts w:ascii="Aptos" w:hAnsi="Aptos"/>
          <w:b w:val="0"/>
          <w:color w:val="1F1F1F"/>
          <w:sz w:val="21"/>
        </w:rPr>
        <w:t>9. Visual and Interaction Design</w:t>
      </w:r>
    </w:p>
    <w:p>
      <w:pPr>
        <w:pStyle w:val="ListBullet"/>
        <w:spacing w:after="50" w:line="250" w:lineRule="auto"/>
      </w:pPr>
      <w:r>
        <w:rPr>
          <w:rFonts w:ascii="Aptos" w:hAnsi="Aptos"/>
          <w:b w:val="0"/>
          <w:color w:val="1F1F1F"/>
          <w:sz w:val="20"/>
        </w:rPr>
        <w:t>Wide Streamlit layout with a clean title and short description.</w:t>
      </w:r>
    </w:p>
    <w:p>
      <w:pPr>
        <w:pStyle w:val="ListBullet"/>
        <w:spacing w:after="50" w:line="250" w:lineRule="auto"/>
      </w:pPr>
      <w:r>
        <w:rPr>
          <w:rFonts w:ascii="Aptos" w:hAnsi="Aptos"/>
          <w:b w:val="0"/>
          <w:color w:val="1F1F1F"/>
          <w:sz w:val="20"/>
        </w:rPr>
        <w:t>Consistent currency and percentage formatting.</w:t>
      </w:r>
    </w:p>
    <w:p>
      <w:pPr>
        <w:pStyle w:val="ListBullet"/>
        <w:spacing w:after="50" w:line="250" w:lineRule="auto"/>
      </w:pPr>
      <w:r>
        <w:rPr>
          <w:rFonts w:ascii="Aptos" w:hAnsi="Aptos"/>
          <w:b w:val="0"/>
          <w:color w:val="1F1F1F"/>
          <w:sz w:val="20"/>
        </w:rPr>
        <w:t>Expected revenue shown in blue; billed/paid revenue in green; leakage/risk in red or orange.</w:t>
      </w:r>
    </w:p>
    <w:p>
      <w:pPr>
        <w:pStyle w:val="ListBullet"/>
        <w:spacing w:after="50" w:line="250" w:lineRule="auto"/>
      </w:pPr>
      <w:r>
        <w:rPr>
          <w:rFonts w:ascii="Aptos" w:hAnsi="Aptos"/>
          <w:b w:val="0"/>
          <w:color w:val="1F1F1F"/>
          <w:sz w:val="20"/>
        </w:rPr>
        <w:t>Responsive Plotly charts and tables with the most important columns first.</w:t>
      </w:r>
    </w:p>
    <w:p>
      <w:pPr>
        <w:pStyle w:val="ListBullet"/>
        <w:spacing w:after="50" w:line="250" w:lineRule="auto"/>
      </w:pPr>
      <w:r>
        <w:rPr>
          <w:rFonts w:ascii="Aptos" w:hAnsi="Aptos"/>
          <w:b w:val="0"/>
          <w:color w:val="1F1F1F"/>
          <w:sz w:val="20"/>
        </w:rPr>
        <w:t>Expandable help text for formulas and limited custom styling to keep maintenance simple.</w:t>
      </w:r>
    </w:p>
    <w:p>
      <w:pPr>
        <w:pStyle w:val="Heading1"/>
        <w:keepNext w:val="0"/>
        <w:spacing w:after="100" w:before="0" w:line="259" w:lineRule="auto"/>
      </w:pPr>
      <w:r>
        <w:rPr>
          <w:rFonts w:ascii="Aptos" w:hAnsi="Aptos"/>
          <w:b w:val="0"/>
          <w:color w:val="1F1F1F"/>
          <w:sz w:val="21"/>
        </w:rPr>
        <w:t>10. Verification and Acceptance Criteria</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shd w:fill="17365D"/>
            <w:tcMar>
              <w:top w:w="90" w:type="dxa"/>
              <w:start w:w="100" w:type="dxa"/>
              <w:bottom w:w="90" w:type="dxa"/>
              <w:end w:w="100" w:type="dxa"/>
            </w:tcMar>
            <w:vAlign w:val="center"/>
          </w:tcPr>
          <w:p>
            <w:pPr>
              <w:spacing w:after="0"/>
              <w:jc w:val="center"/>
            </w:pPr>
            <w:r>
              <w:rPr>
                <w:rFonts w:ascii="Aptos" w:hAnsi="Aptos"/>
                <w:b/>
                <w:color w:val="FFFFFF"/>
                <w:sz w:val="18"/>
              </w:rPr>
              <w:t>Area</w:t>
            </w:r>
          </w:p>
        </w:tc>
        <w:tc>
          <w:tcPr>
            <w:tcW w:type="dxa" w:w="7416"/>
            <w:shd w:fill="17365D"/>
            <w:tcMar>
              <w:top w:w="90" w:type="dxa"/>
              <w:start w:w="100" w:type="dxa"/>
              <w:bottom w:w="90" w:type="dxa"/>
              <w:end w:w="100" w:type="dxa"/>
            </w:tcMar>
            <w:vAlign w:val="center"/>
          </w:tcPr>
          <w:p>
            <w:pPr>
              <w:spacing w:after="0"/>
              <w:jc w:val="center"/>
            </w:pPr>
            <w:r>
              <w:rPr>
                <w:rFonts w:ascii="Aptos" w:hAnsi="Aptos"/>
                <w:b/>
                <w:color w:val="FFFFFF"/>
                <w:sz w:val="18"/>
              </w:rPr>
              <w:t>Acceptance criterion</w:t>
            </w:r>
          </w:p>
        </w:tc>
      </w:tr>
      <w:tr>
        <w:tc>
          <w:tcPr>
            <w:tcW w:type="dxa" w:w="2376"/>
            <w:tcMar>
              <w:top w:w="80" w:type="dxa"/>
              <w:start w:w="100" w:type="dxa"/>
              <w:bottom w:w="80" w:type="dxa"/>
              <w:end w:w="100" w:type="dxa"/>
            </w:tcMar>
            <w:vAlign w:val="center"/>
          </w:tcPr>
          <w:p>
            <w:pPr>
              <w:spacing w:after="0" w:line="240" w:lineRule="auto"/>
              <w:jc w:val="center"/>
            </w:pPr>
            <w:r>
              <w:rPr>
                <w:rFonts w:ascii="Aptos" w:hAnsi="Aptos"/>
                <w:b w:val="0"/>
                <w:color w:val="1F1F1F"/>
                <w:sz w:val="18"/>
              </w:rPr>
              <w:t>Data loading</w:t>
            </w:r>
          </w:p>
        </w:tc>
        <w:tc>
          <w:tcPr>
            <w:tcW w:type="dxa" w:w="7416"/>
            <w:tcMar>
              <w:top w:w="80" w:type="dxa"/>
              <w:start w:w="100" w:type="dxa"/>
              <w:bottom w:w="80" w:type="dxa"/>
              <w:end w:w="100" w:type="dxa"/>
            </w:tcMar>
            <w:vAlign w:val="center"/>
          </w:tcPr>
          <w:p>
            <w:pPr>
              <w:spacing w:after="0" w:line="240" w:lineRule="auto"/>
              <w:jc w:val="left"/>
            </w:pPr>
            <w:r>
              <w:rPr>
                <w:rFonts w:ascii="Aptos" w:hAnsi="Aptos"/>
                <w:b w:val="0"/>
                <w:color w:val="1F1F1F"/>
                <w:sz w:val="18"/>
              </w:rPr>
              <w:t>Bundled CSV loads; valid upload replaces it; invalid schemas generate useful messages.</w:t>
            </w:r>
          </w:p>
        </w:tc>
      </w:tr>
      <w:tr>
        <w:tc>
          <w:tcPr>
            <w:tcW w:type="dxa" w:w="2376"/>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Application structure</w:t>
            </w:r>
          </w:p>
        </w:tc>
        <w:tc>
          <w:tcPr>
            <w:tcW w:type="dxa" w:w="7416"/>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Exactly four tabs render successfully.</w:t>
            </w:r>
          </w:p>
        </w:tc>
      </w:tr>
      <w:tr>
        <w:tc>
          <w:tcPr>
            <w:tcW w:type="dxa" w:w="2376"/>
            <w:tcMar>
              <w:top w:w="80" w:type="dxa"/>
              <w:start w:w="100" w:type="dxa"/>
              <w:bottom w:w="80" w:type="dxa"/>
              <w:end w:w="100" w:type="dxa"/>
            </w:tcMar>
            <w:vAlign w:val="center"/>
          </w:tcPr>
          <w:p>
            <w:pPr>
              <w:spacing w:after="0" w:line="240" w:lineRule="auto"/>
              <w:jc w:val="left"/>
            </w:pPr>
            <w:r>
              <w:rPr>
                <w:rFonts w:ascii="Aptos" w:hAnsi="Aptos"/>
                <w:b w:val="0"/>
                <w:color w:val="1F1F1F"/>
                <w:sz w:val="18"/>
              </w:rPr>
              <w:t>Financial correctness</w:t>
            </w:r>
          </w:p>
        </w:tc>
        <w:tc>
          <w:tcPr>
            <w:tcW w:type="dxa" w:w="7416"/>
            <w:tcMar>
              <w:top w:w="80" w:type="dxa"/>
              <w:start w:w="100" w:type="dxa"/>
              <w:bottom w:w="80" w:type="dxa"/>
              <w:end w:w="100" w:type="dxa"/>
            </w:tcMar>
            <w:vAlign w:val="center"/>
          </w:tcPr>
          <w:p>
            <w:pPr>
              <w:spacing w:after="0" w:line="240" w:lineRule="auto"/>
              <w:jc w:val="left"/>
            </w:pPr>
            <w:r>
              <w:rPr>
                <w:rFonts w:ascii="Aptos" w:hAnsi="Aptos"/>
                <w:b w:val="0"/>
                <w:color w:val="1F1F1F"/>
                <w:sz w:val="18"/>
              </w:rPr>
              <w:t>Positive leakage excludes overbilling; KPIs match independent Pandas calculations; zero expected amounts do not fail.</w:t>
            </w:r>
          </w:p>
        </w:tc>
      </w:tr>
      <w:tr>
        <w:tc>
          <w:tcPr>
            <w:tcW w:type="dxa" w:w="2376"/>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Filtering</w:t>
            </w:r>
          </w:p>
        </w:tc>
        <w:tc>
          <w:tcPr>
            <w:tcW w:type="dxa" w:w="7416"/>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Shared filters update every relevant KPI, chart, and table.</w:t>
            </w:r>
          </w:p>
        </w:tc>
      </w:tr>
      <w:tr>
        <w:tc>
          <w:tcPr>
            <w:tcW w:type="dxa" w:w="2376"/>
            <w:tcMar>
              <w:top w:w="80" w:type="dxa"/>
              <w:start w:w="100" w:type="dxa"/>
              <w:bottom w:w="80" w:type="dxa"/>
              <w:end w:w="100" w:type="dxa"/>
            </w:tcMar>
            <w:vAlign w:val="center"/>
          </w:tcPr>
          <w:p>
            <w:pPr>
              <w:spacing w:after="0" w:line="240" w:lineRule="auto"/>
              <w:jc w:val="center"/>
            </w:pPr>
            <w:r>
              <w:rPr>
                <w:rFonts w:ascii="Aptos" w:hAnsi="Aptos"/>
                <w:b w:val="0"/>
                <w:color w:val="1F1F1F"/>
                <w:sz w:val="18"/>
              </w:rPr>
              <w:t>Anomaly logic</w:t>
            </w:r>
          </w:p>
        </w:tc>
        <w:tc>
          <w:tcPr>
            <w:tcW w:type="dxa" w:w="7416"/>
            <w:tcMar>
              <w:top w:w="80" w:type="dxa"/>
              <w:start w:w="100" w:type="dxa"/>
              <w:bottom w:w="80" w:type="dxa"/>
              <w:end w:w="100" w:type="dxa"/>
            </w:tcMar>
            <w:vAlign w:val="center"/>
          </w:tcPr>
          <w:p>
            <w:pPr>
              <w:spacing w:after="0" w:line="240" w:lineRule="auto"/>
              <w:jc w:val="left"/>
            </w:pPr>
            <w:r>
              <w:rPr>
                <w:rFonts w:ascii="Aptos" w:hAnsi="Aptos"/>
                <w:b w:val="0"/>
                <w:color w:val="1F1F1F"/>
                <w:sz w:val="18"/>
              </w:rPr>
              <w:t>IQR anomalies are reproducible and edge cases are handled.</w:t>
            </w:r>
          </w:p>
        </w:tc>
      </w:tr>
      <w:tr>
        <w:tc>
          <w:tcPr>
            <w:tcW w:type="dxa" w:w="2376"/>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AI resilience</w:t>
            </w:r>
          </w:p>
        </w:tc>
        <w:tc>
          <w:tcPr>
            <w:tcW w:type="dxa" w:w="7416"/>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Missing Groq credentials do not break non-AI analytics; failed Groq calls still display calculated results.</w:t>
            </w:r>
          </w:p>
        </w:tc>
      </w:tr>
      <w:tr>
        <w:tc>
          <w:tcPr>
            <w:tcW w:type="dxa" w:w="2376"/>
            <w:tcMar>
              <w:top w:w="80" w:type="dxa"/>
              <w:start w:w="100" w:type="dxa"/>
              <w:bottom w:w="80" w:type="dxa"/>
              <w:end w:w="100" w:type="dxa"/>
            </w:tcMar>
            <w:vAlign w:val="center"/>
          </w:tcPr>
          <w:p>
            <w:pPr>
              <w:spacing w:after="0" w:line="240" w:lineRule="auto"/>
              <w:jc w:val="center"/>
            </w:pPr>
            <w:r>
              <w:rPr>
                <w:rFonts w:ascii="Aptos" w:hAnsi="Aptos"/>
                <w:b w:val="0"/>
                <w:color w:val="1F1F1F"/>
                <w:sz w:val="18"/>
              </w:rPr>
              <w:t>Data privacy</w:t>
            </w:r>
          </w:p>
        </w:tc>
        <w:tc>
          <w:tcPr>
            <w:tcW w:type="dxa" w:w="7416"/>
            <w:tcMar>
              <w:top w:w="80" w:type="dxa"/>
              <w:start w:w="100" w:type="dxa"/>
              <w:bottom w:w="80" w:type="dxa"/>
              <w:end w:w="100" w:type="dxa"/>
            </w:tcMar>
            <w:vAlign w:val="center"/>
          </w:tcPr>
          <w:p>
            <w:pPr>
              <w:spacing w:after="0" w:line="240" w:lineRule="auto"/>
              <w:jc w:val="left"/>
            </w:pPr>
            <w:r>
              <w:rPr>
                <w:rFonts w:ascii="Aptos" w:hAnsi="Aptos"/>
                <w:b w:val="0"/>
                <w:color w:val="1F1F1F"/>
                <w:sz w:val="18"/>
              </w:rPr>
              <w:t>The complete CSV is never placed in a Groq request.</w:t>
            </w:r>
          </w:p>
        </w:tc>
      </w:tr>
      <w:tr>
        <w:tc>
          <w:tcPr>
            <w:tcW w:type="dxa" w:w="2376"/>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Operational readiness</w:t>
            </w:r>
          </w:p>
        </w:tc>
        <w:tc>
          <w:tcPr>
            <w:tcW w:type="dxa" w:w="7416"/>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The app starts using the documented Streamlit command and README includes setup/troubleshooting instructions.</w:t>
            </w:r>
          </w:p>
        </w:tc>
      </w:tr>
    </w:tbl>
    <w:p>
      <w:pPr>
        <w:spacing w:after="0"/>
      </w:pPr>
    </w:p>
    <w:p>
      <w:r>
        <w:br w:type="page"/>
      </w:r>
    </w:p>
    <w:p>
      <w:pPr>
        <w:pStyle w:val="Heading1"/>
        <w:keepNext w:val="0"/>
        <w:spacing w:after="100" w:before="0" w:line="259" w:lineRule="auto"/>
      </w:pPr>
      <w:r>
        <w:rPr>
          <w:rFonts w:ascii="Aptos" w:hAnsi="Aptos"/>
          <w:b w:val="0"/>
          <w:color w:val="1F1F1F"/>
          <w:sz w:val="21"/>
        </w:rPr>
        <w:t>11. Suggested Review / Demo Scenarios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04"/>
            <w:shd w:fill="17365D"/>
            <w:tcMar>
              <w:top w:w="90" w:type="dxa"/>
              <w:start w:w="100" w:type="dxa"/>
              <w:bottom w:w="90" w:type="dxa"/>
              <w:end w:w="100" w:type="dxa"/>
            </w:tcMar>
            <w:vAlign w:val="center"/>
          </w:tcPr>
          <w:p>
            <w:pPr>
              <w:spacing w:after="0"/>
              <w:jc w:val="center"/>
            </w:pPr>
            <w:r>
              <w:rPr>
                <w:rFonts w:ascii="Aptos" w:hAnsi="Aptos"/>
                <w:b/>
                <w:color w:val="FFFFFF"/>
                <w:sz w:val="18"/>
              </w:rPr>
              <w:t>Scenario</w:t>
            </w:r>
          </w:p>
        </w:tc>
        <w:tc>
          <w:tcPr>
            <w:tcW w:type="dxa" w:w="7488"/>
            <w:shd w:fill="17365D"/>
            <w:tcMar>
              <w:top w:w="90" w:type="dxa"/>
              <w:start w:w="100" w:type="dxa"/>
              <w:bottom w:w="90" w:type="dxa"/>
              <w:end w:w="100" w:type="dxa"/>
            </w:tcMar>
            <w:vAlign w:val="center"/>
          </w:tcPr>
          <w:p>
            <w:pPr>
              <w:spacing w:after="0"/>
              <w:jc w:val="center"/>
            </w:pPr>
            <w:r>
              <w:rPr>
                <w:rFonts w:ascii="Aptos" w:hAnsi="Aptos"/>
                <w:b/>
                <w:color w:val="FFFFFF"/>
                <w:sz w:val="18"/>
              </w:rPr>
              <w:t>What to demonstrate</w:t>
            </w:r>
          </w:p>
        </w:tc>
      </w:tr>
      <w:tr>
        <w:tc>
          <w:tcPr>
            <w:tcW w:type="dxa" w:w="2304"/>
            <w:tcMar>
              <w:top w:w="80" w:type="dxa"/>
              <w:start w:w="100" w:type="dxa"/>
              <w:bottom w:w="80" w:type="dxa"/>
              <w:end w:w="100" w:type="dxa"/>
            </w:tcMar>
            <w:vAlign w:val="center"/>
          </w:tcPr>
          <w:p>
            <w:pPr>
              <w:spacing w:after="0" w:line="240" w:lineRule="auto"/>
              <w:jc w:val="center"/>
            </w:pPr>
            <w:r>
              <w:rPr>
                <w:rFonts w:ascii="Aptos" w:hAnsi="Aptos"/>
                <w:b w:val="0"/>
                <w:color w:val="1F1F1F"/>
                <w:sz w:val="18"/>
              </w:rPr>
              <w:t>Overview</w:t>
            </w:r>
          </w:p>
        </w:tc>
        <w:tc>
          <w:tcPr>
            <w:tcW w:type="dxa" w:w="7488"/>
            <w:tcMar>
              <w:top w:w="80" w:type="dxa"/>
              <w:start w:w="100" w:type="dxa"/>
              <w:bottom w:w="80" w:type="dxa"/>
              <w:end w:w="100" w:type="dxa"/>
            </w:tcMar>
            <w:vAlign w:val="center"/>
          </w:tcPr>
          <w:p>
            <w:pPr>
              <w:spacing w:after="0" w:line="240" w:lineRule="auto"/>
              <w:jc w:val="left"/>
            </w:pPr>
            <w:r>
              <w:rPr>
                <w:rFonts w:ascii="Aptos" w:hAnsi="Aptos"/>
                <w:b w:val="0"/>
                <w:color w:val="1F1F1F"/>
                <w:sz w:val="18"/>
              </w:rPr>
              <w:t>Load the bundled CSV and confirm the five KPI cards and monthly revenue trend.</w:t>
            </w:r>
          </w:p>
        </w:tc>
      </w:tr>
      <w:tr>
        <w:tc>
          <w:tcPr>
            <w:tcW w:type="dxa" w:w="2304"/>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Leakage drill-down</w:t>
            </w:r>
          </w:p>
        </w:tc>
        <w:tc>
          <w:tcPr>
            <w:tcW w:type="dxa" w:w="7488"/>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Filter to a region or product and inspect the top underbilled invoices and customer leakage ranking.</w:t>
            </w:r>
          </w:p>
        </w:tc>
      </w:tr>
      <w:tr>
        <w:tc>
          <w:tcPr>
            <w:tcW w:type="dxa" w:w="2304"/>
            <w:tcMar>
              <w:top w:w="80" w:type="dxa"/>
              <w:start w:w="100" w:type="dxa"/>
              <w:bottom w:w="80" w:type="dxa"/>
              <w:end w:w="100" w:type="dxa"/>
            </w:tcMar>
            <w:vAlign w:val="center"/>
          </w:tcPr>
          <w:p>
            <w:pPr>
              <w:spacing w:after="0" w:line="240" w:lineRule="auto"/>
              <w:jc w:val="center"/>
            </w:pPr>
            <w:r>
              <w:rPr>
                <w:rFonts w:ascii="Aptos" w:hAnsi="Aptos"/>
                <w:b w:val="0"/>
                <w:color w:val="1F1F1F"/>
                <w:sz w:val="18"/>
              </w:rPr>
              <w:t>Anomaly analysis</w:t>
            </w:r>
          </w:p>
        </w:tc>
        <w:tc>
          <w:tcPr>
            <w:tcW w:type="dxa" w:w="7488"/>
            <w:tcMar>
              <w:top w:w="80" w:type="dxa"/>
              <w:start w:w="100" w:type="dxa"/>
              <w:bottom w:w="80" w:type="dxa"/>
              <w:end w:w="100" w:type="dxa"/>
            </w:tcMar>
            <w:vAlign w:val="center"/>
          </w:tcPr>
          <w:p>
            <w:pPr>
              <w:spacing w:after="0" w:line="240" w:lineRule="auto"/>
              <w:jc w:val="left"/>
            </w:pPr>
            <w:r>
              <w:rPr>
                <w:rFonts w:ascii="Aptos" w:hAnsi="Aptos"/>
                <w:b w:val="0"/>
                <w:color w:val="1F1F1F"/>
                <w:sz w:val="18"/>
              </w:rPr>
              <w:t>Select discount_pct or billed_amount, use the 1.5 IQR multiplier, and review flagged records.</w:t>
            </w:r>
          </w:p>
        </w:tc>
      </w:tr>
      <w:tr>
        <w:tc>
          <w:tcPr>
            <w:tcW w:type="dxa" w:w="2304"/>
            <w:tcMar>
              <w:top w:w="80" w:type="dxa"/>
              <w:start w:w="100" w:type="dxa"/>
              <w:bottom w:w="80" w:type="dxa"/>
              <w:end w:w="100" w:type="dxa"/>
            </w:tcMar>
            <w:vAlign w:val="center"/>
            <w:shd w:fill="F8FAFC"/>
          </w:tcPr>
          <w:p>
            <w:pPr>
              <w:spacing w:after="0" w:line="240" w:lineRule="auto"/>
              <w:jc w:val="center"/>
            </w:pPr>
            <w:r>
              <w:rPr>
                <w:rFonts w:ascii="Aptos" w:hAnsi="Aptos"/>
                <w:b w:val="0"/>
                <w:color w:val="1F1F1F"/>
                <w:sz w:val="18"/>
              </w:rPr>
              <w:t>AI question</w:t>
            </w:r>
          </w:p>
        </w:tc>
        <w:tc>
          <w:tcPr>
            <w:tcW w:type="dxa" w:w="7488"/>
            <w:tcMar>
              <w:top w:w="80" w:type="dxa"/>
              <w:start w:w="100" w:type="dxa"/>
              <w:bottom w:w="80" w:type="dxa"/>
              <w:end w:w="100" w:type="dxa"/>
            </w:tcMar>
            <w:vAlign w:val="center"/>
            <w:shd w:fill="F8FAFC"/>
          </w:tcPr>
          <w:p>
            <w:pPr>
              <w:spacing w:after="0" w:line="240" w:lineRule="auto"/>
              <w:jc w:val="left"/>
            </w:pPr>
            <w:r>
              <w:rPr>
                <w:rFonts w:ascii="Aptos" w:hAnsi="Aptos"/>
                <w:b w:val="0"/>
                <w:color w:val="1F1F1F"/>
                <w:sz w:val="18"/>
              </w:rPr>
              <w:t>Ask "Which customers have the highest leakage?" and confirm the explanation matches the supporting calculated table.</w:t>
            </w:r>
          </w:p>
        </w:tc>
      </w:tr>
      <w:tr>
        <w:tc>
          <w:tcPr>
            <w:tcW w:type="dxa" w:w="2304"/>
            <w:tcMar>
              <w:top w:w="80" w:type="dxa"/>
              <w:start w:w="100" w:type="dxa"/>
              <w:bottom w:w="80" w:type="dxa"/>
              <w:end w:w="100" w:type="dxa"/>
            </w:tcMar>
            <w:vAlign w:val="center"/>
          </w:tcPr>
          <w:p>
            <w:pPr>
              <w:spacing w:after="0" w:line="240" w:lineRule="auto"/>
              <w:jc w:val="center"/>
            </w:pPr>
            <w:r>
              <w:rPr>
                <w:rFonts w:ascii="Aptos" w:hAnsi="Aptos"/>
                <w:b w:val="0"/>
                <w:color w:val="1F1F1F"/>
                <w:sz w:val="18"/>
              </w:rPr>
              <w:t>Failure behavior</w:t>
            </w:r>
          </w:p>
        </w:tc>
        <w:tc>
          <w:tcPr>
            <w:tcW w:type="dxa" w:w="7488"/>
            <w:tcMar>
              <w:top w:w="80" w:type="dxa"/>
              <w:start w:w="100" w:type="dxa"/>
              <w:bottom w:w="80" w:type="dxa"/>
              <w:end w:w="100" w:type="dxa"/>
            </w:tcMar>
            <w:vAlign w:val="center"/>
          </w:tcPr>
          <w:p>
            <w:pPr>
              <w:spacing w:after="0" w:line="240" w:lineRule="auto"/>
              <w:jc w:val="left"/>
            </w:pPr>
            <w:r>
              <w:rPr>
                <w:rFonts w:ascii="Aptos" w:hAnsi="Aptos"/>
                <w:b w:val="0"/>
                <w:color w:val="1F1F1F"/>
                <w:sz w:val="18"/>
              </w:rPr>
              <w:t>Remove/disable the Groq API key and confirm the three analytical tabs still work and the AI tab provides guidance.</w:t>
            </w:r>
          </w:p>
        </w:tc>
      </w:tr>
    </w:tbl>
    <w:p>
      <w:pPr>
        <w:spacing w:after="0"/>
      </w:pPr>
    </w:p>
    <w:p>
      <w:pPr>
        <w:pStyle w:val="Heading1"/>
        <w:keepNext w:val="0"/>
        <w:spacing w:after="100" w:before="0" w:line="259" w:lineRule="auto"/>
      </w:pPr>
      <w:r>
        <w:rPr>
          <w:rFonts w:ascii="Aptos" w:hAnsi="Aptos"/>
          <w:b w:val="0"/>
          <w:color w:val="1F1F1F"/>
          <w:sz w:val="21"/>
        </w:rPr>
        <w:t>12. Conclusion</w:t>
      </w:r>
    </w:p>
    <w:p>
      <w:pPr>
        <w:keepNext w:val="0"/>
        <w:spacing w:after="100" w:before="0" w:line="259" w:lineRule="auto"/>
      </w:pPr>
      <w:r>
        <w:rPr>
          <w:rFonts w:ascii="Aptos" w:hAnsi="Aptos"/>
          <w:b w:val="0"/>
          <w:color w:val="1F1F1F"/>
          <w:sz w:val="21"/>
        </w:rPr>
        <w:t>The AI-Based Revenue Leakage Identifier Agent provides a focused, reviewable approach to billing assurance using a single CSV source. Its main strength is the clear separation between deterministic financial analysis and AI explanation: Pandas is responsible for the numbers, while Groq makes those results easier to understand and investigate. The design is intentionally simple, transparent, and resilient so that reviewers can validate the calculations and user experience without depending on production billing systems.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7"/>
      </w:rPr>
      <w:t>Review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color w:val="666666"/>
        <w:sz w:val="17"/>
      </w:rPr>
      <w:t>AI Revenue Leakage Identifier Agent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1F6D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