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42.png" ContentType="image/png"/>
  <Override PartName="/word/media/rId34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market-research-agent"/>
    <w:p>
      <w:pPr>
        <w:pStyle w:val="Heading1"/>
      </w:pPr>
      <w:r>
        <w:t xml:space="preserve">Market Research Agent</w:t>
      </w:r>
    </w:p>
    <w:bookmarkStart w:id="11" w:name="X8d7ce609e38b8ee93395846e7071829c4e6c32b"/>
    <w:p>
      <w:pPr>
        <w:pStyle w:val="Heading2"/>
      </w:pPr>
      <w:r>
        <w:t xml:space="preserve">A practical competitor-research workflow for small enterprises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Project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users</w:t>
            </w:r>
          </w:p>
        </w:tc>
        <w:tc>
          <w:tcPr/>
          <w:p>
            <w:pPr>
              <w:pStyle w:val="Compact"/>
            </w:pPr>
            <w:r>
              <w:t xml:space="preserve">Founders, product teams, consultants, analysts, and technical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scope</w:t>
            </w:r>
          </w:p>
        </w:tc>
        <w:tc>
          <w:tcPr/>
          <w:p>
            <w:pPr>
              <w:pStyle w:val="Compact"/>
            </w:pPr>
            <w:r>
              <w:t xml:space="preserve">One target company, five candidates, three human-approved competitors, and one cited briefing</w:t>
            </w:r>
          </w:p>
        </w:tc>
      </w:tr>
    </w:tbl>
    <w:p>
      <w:pPr>
        <w:pStyle w:val="BodyText"/>
      </w:pPr>
      <w:r>
        <w:t xml:space="preserve">This document explains what we built, why we made the main design choices, and</w:t>
      </w:r>
      <w:r>
        <w:t xml:space="preserve"> </w:t>
      </w:r>
      <w:r>
        <w:t xml:space="preserve">where the current implementation stops. Setup instructions are in</w:t>
      </w:r>
      <w:r>
        <w:t xml:space="preserve"> </w:t>
      </w:r>
      <w:hyperlink r:id="rId9">
        <w:r>
          <w:rPr>
            <w:rStyle w:val="Hyperlink"/>
          </w:rPr>
          <w:t xml:space="preserve">SETUP.md</w:t>
        </w:r>
      </w:hyperlink>
      <w:r>
        <w:t xml:space="preserve">, and the code-level architecture is documented in</w:t>
      </w:r>
      <w:r>
        <w:t xml:space="preserve"> </w:t>
      </w:r>
      <w:hyperlink r:id="rId10">
        <w:r>
          <w:rPr>
            <w:rStyle w:val="Hyperlink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030c37e4902336cec4b6376b2056805c3bb8346">
        <w:r>
          <w:rPr>
            <w:rStyle w:val="Hyperlink"/>
          </w:rPr>
          <w:t xml:space="preserve">What the product does</w:t>
        </w:r>
      </w:hyperlink>
    </w:p>
    <w:p>
      <w:pPr>
        <w:pStyle w:val="Compact"/>
        <w:numPr>
          <w:ilvl w:val="0"/>
          <w:numId w:val="1001"/>
        </w:numPr>
      </w:pPr>
      <w:hyperlink w:anchor="X0dabbd8faa061f6600b5ec510c88bd8b24af21a">
        <w:r>
          <w:rPr>
            <w:rStyle w:val="Hyperlink"/>
          </w:rPr>
          <w:t xml:space="preserve">The problem we set out to solve</w:t>
        </w:r>
      </w:hyperlink>
    </w:p>
    <w:p>
      <w:pPr>
        <w:pStyle w:val="Compact"/>
        <w:numPr>
          <w:ilvl w:val="0"/>
          <w:numId w:val="1001"/>
        </w:numPr>
      </w:pPr>
      <w:hyperlink w:anchor="X12a7ad31d2d61a706c0ce7c68d3916c9cc89a23">
        <w:r>
          <w:rPr>
            <w:rStyle w:val="Hyperlink"/>
          </w:rPr>
          <w:t xml:space="preserve">How a research run works</w:t>
        </w:r>
      </w:hyperlink>
    </w:p>
    <w:p>
      <w:pPr>
        <w:pStyle w:val="Compact"/>
        <w:numPr>
          <w:ilvl w:val="0"/>
          <w:numId w:val="1001"/>
        </w:numPr>
      </w:pPr>
      <w:hyperlink w:anchor="X5c90f2048b63421c7488370d594087e0b41acf2">
        <w:r>
          <w:rPr>
            <w:rStyle w:val="Hyperlink"/>
          </w:rPr>
          <w:t xml:space="preserve">Who it is for</w:t>
        </w:r>
      </w:hyperlink>
    </w:p>
    <w:p>
      <w:pPr>
        <w:pStyle w:val="Compact"/>
        <w:numPr>
          <w:ilvl w:val="0"/>
          <w:numId w:val="1001"/>
        </w:numPr>
      </w:pPr>
      <w:hyperlink w:anchor="Xd168f9158c4edfbef9b87443f4cdc9c95f3dc4d">
        <w:r>
          <w:rPr>
            <w:rStyle w:val="Hyperlink"/>
          </w:rPr>
          <w:t xml:space="preserve">Where automation stops</w:t>
        </w:r>
      </w:hyperlink>
    </w:p>
    <w:p>
      <w:pPr>
        <w:pStyle w:val="Compact"/>
        <w:numPr>
          <w:ilvl w:val="0"/>
          <w:numId w:val="1001"/>
        </w:numPr>
      </w:pPr>
      <w:hyperlink w:anchor="X181ac22c88e99cc68d26508a04dd09638a038e7">
        <w:r>
          <w:rPr>
            <w:rStyle w:val="Hyperlink"/>
          </w:rPr>
          <w:t xml:space="preserve">Search and evidence ingestion</w:t>
        </w:r>
      </w:hyperlink>
    </w:p>
    <w:p>
      <w:pPr>
        <w:pStyle w:val="Compact"/>
        <w:numPr>
          <w:ilvl w:val="0"/>
          <w:numId w:val="1001"/>
        </w:numPr>
      </w:pPr>
      <w:hyperlink w:anchor="Xb1880ef19f3c3b87037d81dde50fd0ba970500b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6c4e867a653041390a2a1648e07e7ea2c0fbce3">
        <w:r>
          <w:rPr>
            <w:rStyle w:val="Hyperlink"/>
          </w:rPr>
          <w:t xml:space="preserve">Agent responsibilities and control flow</w:t>
        </w:r>
      </w:hyperlink>
    </w:p>
    <w:p>
      <w:pPr>
        <w:pStyle w:val="Compact"/>
        <w:numPr>
          <w:ilvl w:val="0"/>
          <w:numId w:val="1001"/>
        </w:numPr>
      </w:pPr>
      <w:hyperlink w:anchor="X17f95c74ee7c84eaf952f46ac6b8ba55bef7ce3">
        <w:r>
          <w:rPr>
            <w:rStyle w:val="Hyperlink"/>
          </w:rPr>
          <w:t xml:space="preserve">State and audit history</w:t>
        </w:r>
      </w:hyperlink>
    </w:p>
    <w:p>
      <w:pPr>
        <w:pStyle w:val="Compact"/>
        <w:numPr>
          <w:ilvl w:val="0"/>
          <w:numId w:val="1001"/>
        </w:numPr>
      </w:pPr>
      <w:hyperlink w:anchor="X84e88d8a16eea680c3e521e4ec146215437c73f">
        <w:r>
          <w:rPr>
            <w:rStyle w:val="Hyperlink"/>
          </w:rPr>
          <w:t xml:space="preserve">Technology choices</w:t>
        </w:r>
      </w:hyperlink>
    </w:p>
    <w:p>
      <w:pPr>
        <w:pStyle w:val="Compact"/>
        <w:numPr>
          <w:ilvl w:val="0"/>
          <w:numId w:val="1001"/>
        </w:numPr>
      </w:pPr>
      <w:hyperlink w:anchor="Xc772e5f934191af4b073047a9546b269062e3fa">
        <w:r>
          <w:rPr>
            <w:rStyle w:val="Hyperlink"/>
          </w:rPr>
          <w:t xml:space="preserve">Quality and safety controls</w:t>
        </w:r>
      </w:hyperlink>
    </w:p>
    <w:p>
      <w:pPr>
        <w:pStyle w:val="Compact"/>
        <w:numPr>
          <w:ilvl w:val="0"/>
          <w:numId w:val="1001"/>
        </w:numPr>
      </w:pPr>
      <w:hyperlink w:anchor="Xb48498dd245f628b506de4e4de47a256a47a7cc">
        <w:r>
          <w:rPr>
            <w:rStyle w:val="Hyperlink"/>
          </w:rPr>
          <w:t xml:space="preserve">What has been delivered and tested</w:t>
        </w:r>
      </w:hyperlink>
    </w:p>
    <w:p>
      <w:pPr>
        <w:pStyle w:val="Compact"/>
        <w:numPr>
          <w:ilvl w:val="0"/>
          <w:numId w:val="1001"/>
        </w:numPr>
      </w:pPr>
      <w:hyperlink w:anchor="Xa95b6c1a6add8c93227a06906d5c9107c5afe24">
        <w:r>
          <w:rPr>
            <w:rStyle w:val="Hyperlink"/>
          </w:rPr>
          <w:t xml:space="preserve">What we learned and what comes next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what-the-product-does"/>
    <w:p>
      <w:pPr>
        <w:pStyle w:val="Heading2"/>
      </w:pPr>
      <w:r>
        <w:t xml:space="preserve">1. What the product does</w:t>
      </w:r>
    </w:p>
    <w:p>
      <w:pPr>
        <w:pStyle w:val="FirstParagraph"/>
      </w:pPr>
      <w:r>
        <w:t xml:space="preserve">The Market Research Agent turns a company name and a bounded research scope</w:t>
      </w:r>
      <w:r>
        <w:t xml:space="preserve"> </w:t>
      </w:r>
      <w:r>
        <w:t xml:space="preserve">into a cited competitor briefing. It is aimed at a small team that needs a</w:t>
      </w:r>
      <w:r>
        <w:t xml:space="preserve"> </w:t>
      </w:r>
      <w:r>
        <w:t xml:space="preserve">useful market scan but does not have a dedicated competitive-intelligence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A typical run answers four questions:</w:t>
      </w:r>
    </w:p>
    <w:p>
      <w:pPr>
        <w:pStyle w:val="Compact"/>
        <w:numPr>
          <w:ilvl w:val="0"/>
          <w:numId w:val="1002"/>
        </w:numPr>
      </w:pPr>
      <w:r>
        <w:t xml:space="preserve">Who are the most relevant competitors?</w:t>
      </w:r>
    </w:p>
    <w:p>
      <w:pPr>
        <w:pStyle w:val="Compact"/>
        <w:numPr>
          <w:ilvl w:val="0"/>
          <w:numId w:val="1002"/>
        </w:numPr>
      </w:pPr>
      <w:r>
        <w:t xml:space="preserve">What do they offer?</w:t>
      </w:r>
    </w:p>
    <w:p>
      <w:pPr>
        <w:pStyle w:val="Compact"/>
        <w:numPr>
          <w:ilvl w:val="0"/>
          <w:numId w:val="1002"/>
        </w:numPr>
      </w:pPr>
      <w:r>
        <w:t xml:space="preserve">What do they charge?</w:t>
      </w:r>
    </w:p>
    <w:p>
      <w:pPr>
        <w:pStyle w:val="Compact"/>
        <w:numPr>
          <w:ilvl w:val="0"/>
          <w:numId w:val="1002"/>
        </w:numPr>
      </w:pPr>
      <w:r>
        <w:t xml:space="preserve">What has changed recently?</w:t>
      </w:r>
    </w:p>
    <w:p>
      <w:pPr>
        <w:pStyle w:val="FirstParagraph"/>
      </w:pPr>
      <w:r>
        <w:t xml:space="preserve">The system does not send a single broad prompt to an LLM and hope for a good</w:t>
      </w:r>
      <w:r>
        <w:t xml:space="preserve"> </w:t>
      </w:r>
      <w:r>
        <w:t xml:space="preserve">report. It separates the work into discovery, evidence collection, analysis,</w:t>
      </w:r>
      <w:r>
        <w:t xml:space="preserve"> </w:t>
      </w:r>
      <w:r>
        <w:t xml:space="preserve">and report compilation. A person chooses the three competitors that deserve</w:t>
      </w:r>
      <w:r>
        <w:t xml:space="preserve"> </w:t>
      </w:r>
      <w:r>
        <w:t xml:space="preserve">deeper research before the more expensive part of the run begins.</w:t>
      </w:r>
    </w:p>
    <w:p>
      <w:pPr>
        <w:pStyle w:val="BodyText"/>
      </w:pPr>
      <w:r>
        <w:t xml:space="preserve">The four agent roles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Competitor Discovery Agent:</w:t>
      </w:r>
      <w:r>
        <w:t xml:space="preserve"> </w:t>
      </w:r>
      <w:r>
        <w:t xml:space="preserve">proposes and scores five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Research Agent:</w:t>
      </w:r>
      <w:r>
        <w:t xml:space="preserve"> </w:t>
      </w:r>
      <w:r>
        <w:t xml:space="preserve">gathers web and news evidence for each approved</w:t>
      </w:r>
      <w:r>
        <w:t xml:space="preserve"> </w:t>
      </w:r>
      <w:r>
        <w:t xml:space="preserve">competitor. You.com is always used; Serper.dev can be added as a second</w:t>
      </w:r>
      <w:r>
        <w:t xml:space="preserve"> </w:t>
      </w:r>
      <w:r>
        <w:t xml:space="preserve">provider.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 &amp; Verification Agent:</w:t>
      </w:r>
      <w:r>
        <w:t xml:space="preserve"> </w:t>
      </w:r>
      <w:r>
        <w:t xml:space="preserve">extracts claims, links them to evidence,</w:t>
      </w:r>
      <w:r>
        <w:t xml:space="preserve"> </w:t>
      </w:r>
      <w:r>
        <w:t xml:space="preserve">and records uncertainty or conflicts.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Orchestrator Agent:</w:t>
      </w:r>
      <w:r>
        <w:t xml:space="preserve"> </w:t>
      </w:r>
      <w:r>
        <w:t xml:space="preserve">manages the run, approvals, retries, budgets, and</w:t>
      </w:r>
      <w:r>
        <w:t xml:space="preserve"> </w:t>
      </w:r>
      <w:r>
        <w:t xml:space="preserve">final compilation.</w:t>
      </w:r>
    </w:p>
    <w:p>
      <w:pPr>
        <w:pStyle w:val="FirstParagraph"/>
      </w:pPr>
      <w:r>
        <w:t xml:space="preserve">PostgreSQL is the formal record of what happened. Pinecone retrieves relevant</w:t>
      </w:r>
      <w:r>
        <w:t xml:space="preserve"> </w:t>
      </w:r>
      <w:r>
        <w:t xml:space="preserve">evidence during analysis, and LangSmith remains the primary development trace</w:t>
      </w:r>
      <w:r>
        <w:t xml:space="preserve"> </w:t>
      </w:r>
      <w:r>
        <w:t xml:space="preserve">and evaluation workspace. Future AGI is an optional, separately enabled</w:t>
      </w:r>
      <w:r>
        <w:t xml:space="preserve"> </w:t>
      </w:r>
      <w:r>
        <w:t xml:space="preserve">quality layer: it can trace the same LangChain/LangGraph activity and its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API scores dedicated discovery, analysis, and batch-scenario</w:t>
      </w:r>
      <w:r>
        <w:t xml:space="preserve"> </w:t>
      </w:r>
      <w:r>
        <w:t xml:space="preserve">scripts. It does not participate in production routing or replace the audit</w:t>
      </w:r>
      <w:r>
        <w:t xml:space="preserve"> </w:t>
      </w:r>
      <w:r>
        <w:t xml:space="preserve">trail. The final Markdown, CSV, and PDF exporters use the verified records</w:t>
      </w:r>
      <w:r>
        <w:t xml:space="preserve"> </w:t>
      </w:r>
      <w:r>
        <w:t xml:space="preserve">already stored by the pipeline; they do not ask an LLM to rewrite the facts</w:t>
      </w:r>
      <w:r>
        <w:t xml:space="preserve"> </w:t>
      </w:r>
      <w:r>
        <w:t xml:space="preserve">one more time.</w:t>
      </w:r>
    </w:p>
    <w:bookmarkStart w:id="13" w:name="what-a-completed-run-provides"/>
    <w:p>
      <w:pPr>
        <w:pStyle w:val="Heading3"/>
      </w:pPr>
      <w:r>
        <w:t xml:space="preserve">What a completed run provides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Five candidates scored as direct, indirect, or emerging competitors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</w:t>
            </w:r>
          </w:p>
        </w:tc>
        <w:tc>
          <w:tcPr/>
          <w:p>
            <w:pPr>
              <w:pStyle w:val="Compact"/>
            </w:pPr>
            <w:r>
              <w:t xml:space="preserve">Exactly three competitors selected for full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Current web and news evidence collected independently for each competitor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Pricing, features, customers, positioning, differentiators, and recent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Evidence IDs, source URLs, confidence, conflicts, and explicit unknowns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A partial report when one branch cannot be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Cited Markdown, CSV, and PDF briefings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the-problem-we-set-out-to-solve"/>
    <w:p>
      <w:pPr>
        <w:pStyle w:val="Heading2"/>
      </w:pPr>
      <w:r>
        <w:t xml:space="preserve">2. The problem we set out to solve</w:t>
      </w:r>
    </w:p>
    <w:p>
      <w:pPr>
        <w:pStyle w:val="FirstParagraph"/>
      </w:pPr>
      <w:r>
        <w:t xml:space="preserve">Competitor research is usually assembled from browser tabs, copied snippets,</w:t>
      </w:r>
      <w:r>
        <w:t xml:space="preserve"> </w:t>
      </w:r>
      <w:r>
        <w:t xml:space="preserve">and notes written at different times. That works for a quick conversation but</w:t>
      </w:r>
      <w:r>
        <w:t xml:space="preserve"> </w:t>
      </w:r>
      <w:r>
        <w:t xml:space="preserve">breaks down when somebody asks where a price came from, whether a feature is</w:t>
      </w:r>
      <w:r>
        <w:t xml:space="preserve"> </w:t>
      </w:r>
      <w:r>
        <w:t xml:space="preserve">still available, or why one company was classified as a direct competitor.</w:t>
      </w:r>
    </w:p>
    <w:p>
      <w:pPr>
        <w:pStyle w:val="BodyText"/>
      </w:pPr>
      <w:r>
        <w:t xml:space="preserve">We focused on five recurring problems: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What it causes</w:t>
            </w:r>
          </w:p>
        </w:tc>
        <w:tc>
          <w:tcPr/>
          <w:p>
            <w:pPr>
              <w:pStyle w:val="Compact"/>
            </w:pPr>
            <w:r>
              <w:t xml:space="preserve">How the MVP responds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becomes stale</w:t>
            </w:r>
          </w:p>
        </w:tc>
        <w:tc>
          <w:tcPr/>
          <w:p>
            <w:pPr>
              <w:pStyle w:val="Compact"/>
            </w:pPr>
            <w:r>
              <w:t xml:space="preserve">Teams compare old prices or positioning</w:t>
            </w:r>
          </w:p>
        </w:tc>
        <w:tc>
          <w:tcPr/>
          <w:p>
            <w:pPr>
              <w:pStyle w:val="Compact"/>
            </w:pPr>
            <w:r>
              <w:t xml:space="preserve">Every run performs fresh web and news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use different formats</w:t>
            </w:r>
          </w:p>
        </w:tc>
        <w:tc>
          <w:tcPr/>
          <w:p>
            <w:pPr>
              <w:pStyle w:val="Compact"/>
            </w:pPr>
            <w:r>
              <w:t xml:space="preserve">Comparisons become subjective</w:t>
            </w:r>
          </w:p>
        </w:tc>
        <w:tc>
          <w:tcPr/>
          <w:p>
            <w:pPr>
              <w:pStyle w:val="Compact"/>
            </w:pPr>
            <w:r>
              <w:t xml:space="preserve">Pydantic schemas keep the same fields for every competitor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 disappear from the write-up</w:t>
            </w:r>
          </w:p>
        </w:tc>
        <w:tc>
          <w:tcPr/>
          <w:p>
            <w:pPr>
              <w:pStyle w:val="Compact"/>
            </w:pPr>
            <w:r>
              <w:t xml:space="preserve">Claims are hard to defend</w:t>
            </w:r>
          </w:p>
        </w:tc>
        <w:tc>
          <w:tcPr/>
          <w:p>
            <w:pPr>
              <w:pStyle w:val="Compact"/>
            </w:pPr>
            <w:r>
              <w:t xml:space="preserve">Claims retain evidence IDs that resolve to source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failed search stops the job</w:t>
            </w:r>
          </w:p>
        </w:tc>
        <w:tc>
          <w:tcPr/>
          <w:p>
            <w:pPr>
              <w:pStyle w:val="Compact"/>
            </w:pPr>
            <w:r>
              <w:t xml:space="preserve">Useful work is discarded</w:t>
            </w:r>
          </w:p>
        </w:tc>
        <w:tc>
          <w:tcPr/>
          <w:p>
            <w:pPr>
              <w:pStyle w:val="Compact"/>
            </w:pPr>
            <w:r>
              <w:t xml:space="preserve">Each competitor runs in an independent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Open-ended agents keep working</w:t>
            </w:r>
          </w:p>
        </w:tc>
        <w:tc>
          <w:tcPr/>
          <w:p>
            <w:pPr>
              <w:pStyle w:val="Compact"/>
            </w:pPr>
            <w:r>
              <w:t xml:space="preserve">Cost and completion time are unclear</w:t>
            </w:r>
          </w:p>
        </w:tc>
        <w:tc>
          <w:tcPr/>
          <w:p>
            <w:pPr>
              <w:pStyle w:val="Compact"/>
            </w:pPr>
            <w:r>
              <w:t xml:space="preserve">Budgets, retries, and completion rules are enforced in Python</w:t>
            </w:r>
          </w:p>
        </w:tc>
      </w:tr>
    </w:tbl>
    <w:p>
      <w:pPr>
        <w:pStyle w:val="BodyText"/>
      </w:pPr>
      <w:r>
        <w:t xml:space="preserve">This is a decision-support tool. It can shorten the collection and comparison</w:t>
      </w:r>
      <w:r>
        <w:t xml:space="preserve"> </w:t>
      </w:r>
      <w:r>
        <w:t xml:space="preserve">work, but it is not intended to make a final strategy decision on behalf of a</w:t>
      </w:r>
      <w:r>
        <w:t xml:space="preserve"> </w:t>
      </w:r>
      <w:r>
        <w:t xml:space="preserve">founder, consultant, or product manager.</w:t>
      </w:r>
    </w:p>
    <w:p>
      <w:r>
        <w:pict>
          <v:rect style="width:0;height:1.5pt" o:hralign="center" o:hrstd="t" o:hr="t"/>
        </w:pict>
      </w:r>
    </w:p>
    <w:bookmarkEnd w:id="15"/>
    <w:bookmarkStart w:id="20" w:name="how-a-research-run-works"/>
    <w:p>
      <w:pPr>
        <w:pStyle w:val="Heading2"/>
      </w:pPr>
      <w:r>
        <w:t xml:space="preserve">3. How a research run works</w:t>
      </w:r>
    </w:p>
    <w:p>
      <w:pPr>
        <w:pStyle w:val="FirstParagraph"/>
      </w:pPr>
      <w:r>
        <w:t xml:space="preserve">Each run leaves a traceable chain from the original request to the final</w:t>
      </w:r>
      <w:r>
        <w:t xml:space="preserve"> </w:t>
      </w:r>
      <w:r>
        <w:t xml:space="preserve">briefing. PostgreSQL stores the business records and events in that chain;</w:t>
      </w:r>
      <w:r>
        <w:t xml:space="preserve"> </w:t>
      </w:r>
      <w:r>
        <w:t xml:space="preserve">Pinecone stores the searchable representation of the collected evidence.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Research-run lifecycle: You.com-only discovery, human selection, concurrent multi-provider Web Research using You.com and optional Serper.dev, Analysis &amp; Verification, a coverage gate that can loop into targeted gap research, and compilation into an exportable briefing" title="" id="17" name="Picture"/>
            <a:graphic>
              <a:graphicData uri="http://schemas.openxmlformats.org/drawingml/2006/picture">
                <pic:pic>
                  <pic:nvPicPr>
                    <pic:cNvPr descr="images/research-run-lifecycle-v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Research-run lifecycle: You.com-only discovery, human selection, concurrent multi-provider Web Research using You.com and optional Serper.dev, Analysis &amp; Verification, a coverage gate that can loop into targeted gap research, and compilation into an exportable briefing</w:t>
      </w:r>
    </w:p>
    <w:p>
      <w:pPr>
        <w:pStyle w:val="BodyText"/>
      </w:pPr>
      <w:r>
        <w:rPr>
          <w:i/>
          <w:iCs/>
        </w:rPr>
        <w:t xml:space="preserve">Future AGI is intentionally outside these numbered production stages. When</w:t>
      </w:r>
      <w:r>
        <w:rPr>
          <w:i/>
          <w:iCs/>
        </w:rPr>
        <w:t xml:space="preserve"> </w:t>
      </w:r>
      <w:r>
        <w:rPr>
          <w:i/>
          <w:iCs/>
        </w:rPr>
        <w:t xml:space="preserve">enabled, it observes the LangChain/LangGraph activity; the separate eval and</w:t>
      </w:r>
      <w:r>
        <w:rPr>
          <w:i/>
          <w:iCs/>
        </w:rPr>
        <w:t xml:space="preserve"> </w:t>
      </w:r>
      <w:r>
        <w:rPr>
          <w:i/>
          <w:iCs/>
        </w:rPr>
        <w:t xml:space="preserve">batch-scenario scripts exercise the same agents without changing this run</w:t>
      </w:r>
      <w:r>
        <w:rPr>
          <w:i/>
          <w:iCs/>
        </w:rPr>
        <w:t xml:space="preserve"> </w:t>
      </w:r>
      <w:r>
        <w:rPr>
          <w:i/>
          <w:iCs/>
        </w:rPr>
        <w:t xml:space="preserve">sequence.</w:t>
      </w:r>
    </w:p>
    <w:p>
      <w:pPr>
        <w:pStyle w:val="BodyText"/>
      </w:pPr>
      <w:r>
        <w:t xml:space="preserve">The sequence is straightforward:</w:t>
      </w:r>
    </w:p>
    <w:p>
      <w:pPr>
        <w:pStyle w:val="Compact"/>
        <w:numPr>
          <w:ilvl w:val="0"/>
          <w:numId w:val="1004"/>
        </w:numPr>
      </w:pPr>
      <w:r>
        <w:t xml:space="preserve">The user supplies the target company, industry, geography, customer</w:t>
      </w:r>
      <w:r>
        <w:t xml:space="preserve"> </w:t>
      </w:r>
      <w:r>
        <w:t xml:space="preserve">segment, news window, and budget.</w:t>
      </w:r>
    </w:p>
    <w:p>
      <w:pPr>
        <w:pStyle w:val="Compact"/>
        <w:numPr>
          <w:ilvl w:val="0"/>
          <w:numId w:val="1004"/>
        </w:numPr>
      </w:pPr>
      <w:r>
        <w:t xml:space="preserve">Discovery queries You.com and returns five scored candidates.</w:t>
      </w:r>
    </w:p>
    <w:p>
      <w:pPr>
        <w:pStyle w:val="Compact"/>
        <w:numPr>
          <w:ilvl w:val="0"/>
          <w:numId w:val="1004"/>
        </w:numPr>
      </w:pPr>
      <w:r>
        <w:t xml:space="preserve">The user selects exactly three. The API validates this rule even if the</w:t>
      </w:r>
      <w:r>
        <w:t xml:space="preserve"> </w:t>
      </w:r>
      <w:r>
        <w:t xml:space="preserve">interface is bypassed.</w:t>
      </w:r>
    </w:p>
    <w:p>
      <w:pPr>
        <w:pStyle w:val="Compact"/>
        <w:numPr>
          <w:ilvl w:val="0"/>
          <w:numId w:val="1004"/>
        </w:numPr>
      </w:pPr>
      <w:r>
        <w:t xml:space="preserve">Before full research starts, the graph estimates the cost. A higher budget</w:t>
      </w:r>
      <w:r>
        <w:t xml:space="preserve"> </w:t>
      </w:r>
      <w:r>
        <w:t xml:space="preserve">requires approval.</w:t>
      </w:r>
    </w:p>
    <w:p>
      <w:pPr>
        <w:pStyle w:val="Compact"/>
        <w:numPr>
          <w:ilvl w:val="0"/>
          <w:numId w:val="1004"/>
        </w:numPr>
      </w:pPr>
      <w:r>
        <w:t xml:space="preserve">One Web Research branch runs for each competitor. Every active branch uses</w:t>
      </w:r>
      <w:r>
        <w:t xml:space="preserve"> </w:t>
      </w:r>
      <w:r>
        <w:t xml:space="preserve">You.com and, when configured, Serper.dev.</w:t>
      </w:r>
    </w:p>
    <w:p>
      <w:pPr>
        <w:pStyle w:val="Compact"/>
        <w:numPr>
          <w:ilvl w:val="0"/>
          <w:numId w:val="1004"/>
        </w:numPr>
      </w:pPr>
      <w:r>
        <w:t xml:space="preserve">Search results are merged, validated, deduplicated, embedded, and stored.</w:t>
      </w:r>
    </w:p>
    <w:p>
      <w:pPr>
        <w:pStyle w:val="Compact"/>
        <w:numPr>
          <w:ilvl w:val="0"/>
          <w:numId w:val="1004"/>
        </w:numPr>
      </w:pPr>
      <w:r>
        <w:t xml:space="preserve">The Analysis &amp; Verification branches retrieve evidence by competitor and</w:t>
      </w:r>
      <w:r>
        <w:t xml:space="preserve"> </w:t>
      </w:r>
      <w:r>
        <w:t xml:space="preserve">category and produce typed claims.</w:t>
      </w:r>
    </w:p>
    <w:p>
      <w:pPr>
        <w:pStyle w:val="Compact"/>
        <w:numPr>
          <w:ilvl w:val="0"/>
          <w:numId w:val="1004"/>
        </w:numPr>
      </w:pPr>
      <w:r>
        <w:t xml:space="preserve">A coverage check accepts the profile, requests targeted gap research, or</w:t>
      </w:r>
      <w:r>
        <w:t xml:space="preserve"> </w:t>
      </w:r>
      <w:r>
        <w:t xml:space="preserve">marks the branch incomplete.</w:t>
      </w:r>
    </w:p>
    <w:p>
      <w:pPr>
        <w:pStyle w:val="Compact"/>
        <w:numPr>
          <w:ilvl w:val="0"/>
          <w:numId w:val="1004"/>
        </w:numPr>
      </w:pPr>
      <w:r>
        <w:t xml:space="preserve">The exporters build the cited briefing from the stored profiles and</w:t>
      </w:r>
      <w:r>
        <w:t xml:space="preserve"> </w:t>
      </w:r>
      <w:r>
        <w:t xml:space="preserve">evidence records.</w:t>
      </w:r>
    </w:p>
    <w:p>
      <w:pPr>
        <w:pStyle w:val="FirstParagraph"/>
      </w:pPr>
      <w:r>
        <w:t xml:space="preserve">Human approval happens before the three full research branches. If a branch</w:t>
      </w:r>
      <w:r>
        <w:t xml:space="preserve"> </w:t>
      </w:r>
      <w:r>
        <w:t xml:space="preserve">still lacks enough evidence after its retry allowance is exhausted, the other</w:t>
      </w:r>
      <w:r>
        <w:t xml:space="preserve"> </w:t>
      </w:r>
      <w:r>
        <w:t xml:space="preserve">branches continue and the briefing carries a visible warning.</w:t>
      </w:r>
    </w:p>
    <w:bookmarkStart w:id="19" w:name="one-deliberate-constraint"/>
    <w:p>
      <w:pPr>
        <w:pStyle w:val="Heading3"/>
      </w:pPr>
      <w:r>
        <w:t xml:space="preserve">One deliberate constraint</w:t>
      </w:r>
    </w:p>
    <w:p>
      <w:pPr>
        <w:pStyle w:val="FirstParagraph"/>
      </w:pPr>
      <w:r>
        <w:rPr>
          <w:rStyle w:val="VerbatimChar"/>
        </w:rPr>
        <w:t xml:space="preserve">app/export/markdown_exporter.py</w:t>
      </w:r>
      <w:r>
        <w:t xml:space="preserve"> </w:t>
      </w:r>
      <w:r>
        <w:t xml:space="preserve">formats verified data without another model</w:t>
      </w:r>
      <w:r>
        <w:t xml:space="preserve"> </w:t>
      </w:r>
      <w:r>
        <w:t xml:space="preserve">call. We chose this because a final “make this sound better” prompt could add a</w:t>
      </w:r>
      <w:r>
        <w:t xml:space="preserve"> </w:t>
      </w:r>
      <w:r>
        <w:t xml:space="preserve">claim that had never passed through evidence validation.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who-it-is-for"/>
    <w:p>
      <w:pPr>
        <w:pStyle w:val="Heading2"/>
      </w:pPr>
      <w:r>
        <w:t xml:space="preserve">4. Who it is for</w:t>
      </w:r>
    </w:p>
    <w:p>
      <w:pPr>
        <w:pStyle w:val="FirstParagraph"/>
      </w:pPr>
      <w:r>
        <w:t xml:space="preserve">The MVP is most useful when the research question is bounded and the user can</w:t>
      </w:r>
      <w:r>
        <w:t xml:space="preserve"> </w:t>
      </w:r>
      <w:r>
        <w:t xml:space="preserve">review the result before acting on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Likely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or small-business owner</w:t>
            </w:r>
          </w:p>
        </w:tc>
        <w:tc>
          <w:tcPr/>
          <w:p>
            <w:pPr>
              <w:pStyle w:val="Compact"/>
            </w:pPr>
            <w:r>
              <w:t xml:space="preserve">Prepare a first market landscape without hiring an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Compare current features, pricing, and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or competitive-intelligence contributor</w:t>
            </w:r>
          </w:p>
        </w:tc>
        <w:tc>
          <w:tcPr/>
          <w:p>
            <w:pPr>
              <w:pStyle w:val="Compact"/>
            </w:pPr>
            <w:r>
              <w:t xml:space="preserve">Create source-backed talking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Produce a repeatable starting point for client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 or student</w:t>
            </w:r>
          </w:p>
        </w:tc>
        <w:tc>
          <w:tcPr/>
          <w:p>
            <w:pPr>
              <w:pStyle w:val="Compact"/>
            </w:pPr>
            <w:r>
              <w:t xml:space="preserve">Study a working multi-agent research and verification pipeline</w:t>
            </w:r>
          </w:p>
        </w:tc>
      </w:tr>
    </w:tbl>
    <w:bookmarkStart w:id="24" w:name="flagship-use-cases"/>
    <w:p>
      <w:pPr>
        <w:pStyle w:val="Heading3"/>
      </w:pPr>
      <w:r>
        <w:t xml:space="preserve">Flagship use cases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Flagship use cases: competitor discovery, pricing, differentiation, recent changes, evidence confidence, and exportable briefings" title="" id="22" name="Picture"/>
            <a:graphic>
              <a:graphicData uri="http://schemas.openxmlformats.org/drawingml/2006/picture">
                <pic:pic>
                  <pic:nvPicPr>
                    <pic:cNvPr descr="images/flagship-use-cases-v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Flagship use cases: competitor discovery, pricing, differentiation, recent changes, evidence confidence, and exportable briefings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the system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competes with us?</w:t>
            </w:r>
          </w:p>
        </w:tc>
        <w:tc>
          <w:tcPr/>
          <w:p>
            <w:pPr>
              <w:pStyle w:val="Compact"/>
            </w:pPr>
            <w:r>
              <w:t xml:space="preserve">Five scored candidates, followed by a human-selected shortlist of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 they charge?</w:t>
            </w:r>
          </w:p>
        </w:tc>
        <w:tc>
          <w:tcPr/>
          <w:p>
            <w:pPr>
              <w:pStyle w:val="Compact"/>
            </w:pPr>
            <w:r>
              <w:t xml:space="preserve">Pricing details with currency, cadence, date, and source context when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are they different?</w:t>
            </w:r>
          </w:p>
        </w:tc>
        <w:tc>
          <w:tcPr/>
          <w:p>
            <w:pPr>
              <w:pStyle w:val="Compact"/>
            </w:pPr>
            <w:r>
              <w:t xml:space="preserve">Comparable features, customers, positioning, and differentiators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changed recently?</w:t>
            </w:r>
          </w:p>
        </w:tc>
        <w:tc>
          <w:tcPr/>
          <w:p>
            <w:pPr>
              <w:pStyle w:val="Compact"/>
            </w:pPr>
            <w:r>
              <w:t xml:space="preserve">Dated web and news findings inside the requested time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trust this?</w:t>
            </w:r>
          </w:p>
        </w:tc>
        <w:tc>
          <w:tcPr/>
          <w:p>
            <w:pPr>
              <w:pStyle w:val="Compact"/>
            </w:pPr>
            <w:r>
              <w:t xml:space="preserve">Source links, confidence, conflicts, and unknown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share it?</w:t>
            </w:r>
          </w:p>
        </w:tc>
        <w:tc>
          <w:tcPr/>
          <w:p>
            <w:pPr>
              <w:pStyle w:val="Compact"/>
            </w:pPr>
            <w:r>
              <w:t xml:space="preserve">A cited Markdown, CSV, or PDF briefing</w:t>
            </w:r>
          </w:p>
        </w:tc>
      </w:tr>
    </w:tbl>
    <w:p>
      <w:pPr>
        <w:pStyle w:val="BodyText"/>
      </w:pPr>
      <w:r>
        <w:t xml:space="preserve">In a live RunPod research run, for example, the company-description claim in</w:t>
      </w:r>
      <w:r>
        <w:t xml:space="preserve"> </w:t>
      </w:r>
      <w:r>
        <w:t xml:space="preserve">the exported briefing resolved to the actual source title and URL rather than</w:t>
      </w:r>
      <w:r>
        <w:t xml:space="preserve"> </w:t>
      </w:r>
      <w:r>
        <w:t xml:space="preserve">showing an internal evidence UUID. That small detail matters: citations are</w:t>
      </w:r>
      <w:r>
        <w:t xml:space="preserve"> </w:t>
      </w:r>
      <w:r>
        <w:t xml:space="preserve">only useful when a reader can follow them.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ere-automation-stops"/>
    <w:p>
      <w:pPr>
        <w:pStyle w:val="Heading2"/>
      </w:pPr>
      <w:r>
        <w:t xml:space="preserve">5. Where automation stops</w:t>
      </w:r>
    </w:p>
    <w:p>
      <w:pPr>
        <w:pStyle w:val="FirstParagraph"/>
      </w:pPr>
      <w:r>
        <w:t xml:space="preserve">We wanted the agents to handle repetitive research work without quietly</w:t>
      </w:r>
      <w:r>
        <w:t xml:space="preserve"> </w:t>
      </w:r>
      <w:r>
        <w:t xml:space="preserve">crossing into business decisions. The split below is enforced by workflow and</w:t>
      </w:r>
      <w:r>
        <w:t xml:space="preserve"> </w:t>
      </w:r>
      <w:r>
        <w:t xml:space="preserve">API rules, not just described in prompts.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system can do on its own</w:t>
            </w:r>
          </w:p>
        </w:tc>
        <w:tc>
          <w:tcPr/>
          <w:p>
            <w:pPr>
              <w:pStyle w:val="Compact"/>
            </w:pPr>
            <w:r>
              <w:t xml:space="preserve">A person must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and refine search queries</w:t>
            </w:r>
          </w:p>
        </w:tc>
        <w:tc>
          <w:tcPr/>
          <w:p>
            <w:pPr>
              <w:pStyle w:val="Compact"/>
            </w:pPr>
            <w:r>
              <w:t xml:space="preserve">Which three competitors receive full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transient provider failures</w:t>
            </w:r>
          </w:p>
        </w:tc>
        <w:tc>
          <w:tcPr/>
          <w:p>
            <w:pPr>
              <w:pStyle w:val="Compact"/>
            </w:pPr>
            <w:r>
              <w:t xml:space="preserve">Whether to raise the approved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Deduplicate and categorize evidence</w:t>
            </w:r>
          </w:p>
        </w:tc>
        <w:tc>
          <w:tcPr/>
          <w:p>
            <w:pPr>
              <w:pStyle w:val="Compact"/>
            </w:pPr>
            <w:r>
              <w:t xml:space="preserve">How to resolve a material conflict that cannot be reconciled safely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targeted research for missing categories</w:t>
            </w:r>
          </w:p>
        </w:tc>
        <w:tc>
          <w:tcPr/>
          <w:p>
            <w:pPr>
              <w:pStyle w:val="Compact"/>
            </w:pPr>
            <w:r>
              <w:t xml:space="preserve">Whether a partial or low-confidence report is ready for external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 missing information as unknown</w:t>
            </w:r>
          </w:p>
        </w:tc>
        <w:tc>
          <w:tcPr/>
          <w:p>
            <w:pPr>
              <w:pStyle w:val="Compact"/>
            </w:pPr>
            <w:r>
              <w:t xml:space="preserve">Whether to publish or write results into another business system</w:t>
            </w:r>
          </w:p>
        </w:tc>
      </w:tr>
    </w:tbl>
    <w:p>
      <w:pPr>
        <w:pStyle w:val="BodyText"/>
      </w:pPr>
      <w:r>
        <w:t xml:space="preserve">The current version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5"/>
        </w:numPr>
      </w:pPr>
      <w:r>
        <w:t xml:space="preserve">unrestricted crawling or general-purpose page scraping;</w:t>
      </w:r>
    </w:p>
    <w:p>
      <w:pPr>
        <w:pStyle w:val="Compact"/>
        <w:numPr>
          <w:ilvl w:val="0"/>
          <w:numId w:val="1005"/>
        </w:numPr>
      </w:pPr>
      <w:r>
        <w:t xml:space="preserve">scheduled monitoring and alerts;</w:t>
      </w:r>
    </w:p>
    <w:p>
      <w:pPr>
        <w:pStyle w:val="Compact"/>
        <w:numPr>
          <w:ilvl w:val="0"/>
          <w:numId w:val="1005"/>
        </w:numPr>
      </w:pPr>
      <w:r>
        <w:t xml:space="preserve">enterprise SSO or multi-tenant SaaS administration;</w:t>
      </w:r>
    </w:p>
    <w:p>
      <w:pPr>
        <w:pStyle w:val="Compact"/>
        <w:numPr>
          <w:ilvl w:val="0"/>
          <w:numId w:val="1005"/>
        </w:numPr>
      </w:pPr>
      <w:r>
        <w:t xml:space="preserve">autonomous email, CRM, roadmap, or publishing actions;</w:t>
      </w:r>
    </w:p>
    <w:p>
      <w:pPr>
        <w:pStyle w:val="Compact"/>
        <w:numPr>
          <w:ilvl w:val="0"/>
          <w:numId w:val="1005"/>
        </w:numPr>
      </w:pPr>
      <w:r>
        <w:t xml:space="preserve">remote A2A agent services;</w:t>
      </w:r>
    </w:p>
    <w:p>
      <w:pPr>
        <w:pStyle w:val="Compact"/>
        <w:numPr>
          <w:ilvl w:val="0"/>
          <w:numId w:val="1005"/>
        </w:numPr>
      </w:pPr>
      <w:r>
        <w:t xml:space="preserve">conversational memory through Mem0 or another memory service; or</w:t>
      </w:r>
    </w:p>
    <w:p>
      <w:pPr>
        <w:pStyle w:val="Compact"/>
        <w:numPr>
          <w:ilvl w:val="0"/>
          <w:numId w:val="1005"/>
        </w:numPr>
      </w:pPr>
      <w:r>
        <w:t xml:space="preserve">any claim that the system replaces human strategic judgment.</w:t>
      </w:r>
    </w:p>
    <w:p>
      <w:pPr>
        <w:pStyle w:val="FirstParagraph"/>
      </w:pPr>
      <w:r>
        <w:t xml:space="preserve">Those features may be useful later, but adding them now would make a small</w:t>
      </w:r>
      <w:r>
        <w:t xml:space="preserve"> </w:t>
      </w:r>
      <w:r>
        <w:t xml:space="preserve">deployment harder to operate without improving the core briefing.</w:t>
      </w:r>
    </w:p>
    <w:p>
      <w:r>
        <w:pict>
          <v:rect style="width:0;height:1.5pt" o:hralign="center" o:hrstd="t" o:hr="t"/>
        </w:pict>
      </w:r>
    </w:p>
    <w:bookmarkEnd w:id="26"/>
    <w:bookmarkStart w:id="33" w:name="search-and-evidence-ingestion"/>
    <w:p>
      <w:pPr>
        <w:pStyle w:val="Heading2"/>
      </w:pPr>
      <w:r>
        <w:t xml:space="preserve">6. Search and evidence ingestion</w:t>
      </w:r>
    </w:p>
    <w:p>
      <w:pPr>
        <w:pStyle w:val="FirstParagraph"/>
      </w:pPr>
      <w:r>
        <w:t xml:space="preserve">You.com is the required search provider. It is used for both candidate</w:t>
      </w:r>
      <w:r>
        <w:t xml:space="preserve"> </w:t>
      </w:r>
      <w:r>
        <w:t xml:space="preserve">discovery and full competitor research. Serper.dev is optional and is used</w:t>
      </w:r>
      <w:r>
        <w:t xml:space="preserve"> </w:t>
      </w:r>
      <w:r>
        <w:t xml:space="preserve">only by the Web Research Agent. When enabled, it gives the research branches a</w:t>
      </w:r>
      <w:r>
        <w:t xml:space="preserve"> </w:t>
      </w:r>
      <w:r>
        <w:t xml:space="preserve">second search index without changing the rest of the ingestion pipeline.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Data sources and ingestion: required You.com and optional Serper.dev web and news results merge through a shared search-client interface, then are validated, deduplicated, converted into LangChain documents, embedded into Pinecone, and preserved with PostgreSQL provider provenance" title="" id="28" name="Picture"/>
            <a:graphic>
              <a:graphicData uri="http://schemas.openxmlformats.org/drawingml/2006/picture">
                <pic:pic>
                  <pic:nvPicPr>
                    <pic:cNvPr descr="images/data-sources-ingestion-v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sources and ingestion: required You.com and optional Serper.dev web and news results merge through a shared search-client interface, then are validated, deduplicated, converted into LangChain documents, embedded into Pinecone, and preserved with PostgreSQL provider provenance</w:t>
      </w:r>
    </w:p>
    <w:bookmarkStart w:id="30" w:name="provider-behavior"/>
    <w:p>
      <w:pPr>
        <w:pStyle w:val="Heading3"/>
      </w:pPr>
      <w:r>
        <w:t xml:space="preserve">Provider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Current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You.com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Always queried; also powers competitor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Serper.dev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Used alongside You.com only when</w:t>
            </w:r>
            <w:r>
              <w:t xml:space="preserve"> </w:t>
            </w:r>
            <w:r>
              <w:rPr>
                <w:rStyle w:val="VerbatimChar"/>
              </w:rPr>
              <w:t xml:space="preserve">SERPER_ENABLED=true</w:t>
            </w:r>
            <w:r>
              <w:t xml:space="preserve"> </w:t>
            </w:r>
            <w:r>
              <w:t xml:space="preserve">and an API key is present</w:t>
            </w:r>
          </w:p>
        </w:tc>
      </w:tr>
    </w:tbl>
    <w:p>
      <w:pPr>
        <w:pStyle w:val="BodyText"/>
      </w:pPr>
      <w:r>
        <w:t xml:space="preserve">Both clients implement the</w:t>
      </w:r>
      <w:r>
        <w:t xml:space="preserve"> </w:t>
      </w:r>
      <w:r>
        <w:rPr>
          <w:rStyle w:val="VerbatimChar"/>
        </w:rPr>
        <w:t xml:space="preserve">SearchClient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app/clients/search_client.py</w:t>
      </w:r>
      <w:r>
        <w:t xml:space="preserve">. The Web Research Agent therefore receives the</w:t>
      </w:r>
      <w:r>
        <w:t xml:space="preserve"> </w:t>
      </w:r>
      <w:r>
        <w:t xml:space="preserve">same result shape from either provider. Each accepted evidence record retains</w:t>
      </w:r>
      <w:r>
        <w:t xml:space="preserve"> </w:t>
      </w:r>
      <w:r>
        <w:t xml:space="preserve">its provider name, URL, query, category, and dates.</w:t>
      </w:r>
    </w:p>
    <w:p>
      <w:pPr>
        <w:pStyle w:val="BodyText"/>
      </w:pPr>
      <w:r>
        <w:t xml:space="preserve">Enabling Serper.dev adds one search request per research category and increases</w:t>
      </w:r>
      <w:r>
        <w:t xml:space="preserve"> </w:t>
      </w:r>
      <w:r>
        <w:t xml:space="preserve">the pre-flight estimate accordingly. The implementation and mocked tests are</w:t>
      </w:r>
      <w:r>
        <w:t xml:space="preserve"> </w:t>
      </w:r>
      <w:r>
        <w:t xml:space="preserve">in place, but this provider has not yet been exercised with a live Serper.dev</w:t>
      </w:r>
      <w:r>
        <w:t xml:space="preserve"> </w:t>
      </w:r>
      <w:r>
        <w:t xml:space="preserve">account. Its per-call price in the cost table is also a placeholder and should</w:t>
      </w:r>
      <w:r>
        <w:t xml:space="preserve"> </w:t>
      </w:r>
      <w:r>
        <w:t xml:space="preserve">be replaced before production billing is presented to users.</w:t>
      </w:r>
    </w:p>
    <w:bookmarkEnd w:id="30"/>
    <w:bookmarkStart w:id="31" w:name="research-categories"/>
    <w:p>
      <w:pPr>
        <w:pStyle w:val="Heading3"/>
      </w:pPr>
      <w:r>
        <w:t xml:space="preserve">Research categories</w:t>
      </w:r>
    </w:p>
    <w:p>
      <w:pPr>
        <w:pStyle w:val="FirstParagraph"/>
      </w:pPr>
      <w:r>
        <w:t xml:space="preserve">Each competitor is researched across 11 categories. Company description is</w:t>
      </w:r>
      <w:r>
        <w:t xml:space="preserve"> </w:t>
      </w:r>
      <w:r>
        <w:t xml:space="preserve">kept as context; the other ten contribute to the coverage score.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Included in coverage?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description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customers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Differentiators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news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trial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reviews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Notable customers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1"/>
    <w:bookmarkStart w:id="32" w:name="what-happens-to-a-search-result"/>
    <w:p>
      <w:pPr>
        <w:pStyle w:val="Heading3"/>
      </w:pPr>
      <w:r>
        <w:t xml:space="preserve">What happens to a search result</w:t>
      </w:r>
    </w:p>
    <w:p>
      <w:pPr>
        <w:pStyle w:val="Compact"/>
        <w:numPr>
          <w:ilvl w:val="0"/>
          <w:numId w:val="1006"/>
        </w:numPr>
      </w:pPr>
      <w:r>
        <w:t xml:space="preserve">The pipeline checks company relevance, source quality, and dates.</w:t>
      </w:r>
    </w:p>
    <w:p>
      <w:pPr>
        <w:pStyle w:val="Compact"/>
        <w:numPr>
          <w:ilvl w:val="0"/>
          <w:numId w:val="1006"/>
        </w:numPr>
      </w:pPr>
      <w:r>
        <w:t xml:space="preserve">Canonical URLs and content hashes prevent duplicates from inflating</w:t>
      </w:r>
      <w:r>
        <w:t xml:space="preserve"> </w:t>
      </w:r>
      <w:r>
        <w:t xml:space="preserve">confidence, including duplicates returned by different providers.</w:t>
      </w:r>
    </w:p>
    <w:p>
      <w:pPr>
        <w:pStyle w:val="Compact"/>
        <w:numPr>
          <w:ilvl w:val="0"/>
          <w:numId w:val="1006"/>
        </w:numPr>
      </w:pPr>
      <w:r>
        <w:t xml:space="preserve">Results become LangChain documents and are split when necessary. The current</w:t>
      </w:r>
      <w:r>
        <w:t xml:space="preserve"> </w:t>
      </w:r>
      <w:r>
        <w:t xml:space="preserve">chunk size is 1,000 characters with 150 characters of overlap.</w:t>
      </w:r>
    </w:p>
    <w:p>
      <w:pPr>
        <w:pStyle w:val="Compact"/>
        <w:numPr>
          <w:ilvl w:val="0"/>
          <w:numId w:val="1006"/>
        </w:numPr>
      </w:pPr>
      <w:r>
        <w:t xml:space="preserve">OpenAI embeddings are stored in a Pinecone workspace namespace.</w:t>
      </w:r>
    </w:p>
    <w:p>
      <w:pPr>
        <w:pStyle w:val="Compact"/>
        <w:numPr>
          <w:ilvl w:val="0"/>
          <w:numId w:val="1006"/>
        </w:numPr>
      </w:pPr>
      <w:r>
        <w:t xml:space="preserve">Vector IDs are derived from the evidence ID and chunk index, so retrying an</w:t>
      </w:r>
      <w:r>
        <w:t xml:space="preserve"> </w:t>
      </w:r>
      <w:r>
        <w:t xml:space="preserve">upsert does not create new copies.</w:t>
      </w:r>
    </w:p>
    <w:p>
      <w:pPr>
        <w:pStyle w:val="Compact"/>
        <w:numPr>
          <w:ilvl w:val="0"/>
          <w:numId w:val="1006"/>
        </w:numPr>
      </w:pPr>
      <w:r>
        <w:t xml:space="preserve">Retrieval always filters on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PostgreSQL keeps the source record and its relationship to later claims.</w:t>
      </w:r>
    </w:p>
    <w:p>
      <w:pPr>
        <w:pStyle w:val="FirstParagraph"/>
      </w:pPr>
      <w:r>
        <w:t xml:space="preserve">All retrieved text is treated as untrusted content. It is evidence for the</w:t>
      </w:r>
      <w:r>
        <w:t xml:space="preserve"> </w:t>
      </w:r>
      <w:r>
        <w:t xml:space="preserve">model to inspect, not a new set of instructions for the agent.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rchitecture"/>
    <w:p>
      <w:pPr>
        <w:pStyle w:val="Heading2"/>
      </w:pPr>
      <w:r>
        <w:t xml:space="preserve">7. Architecture</w:t>
      </w:r>
    </w:p>
    <w:p>
      <w:pPr>
        <w:pStyle w:val="FirstParagraph"/>
      </w:pPr>
      <w:r>
        <w:t xml:space="preserve">The MVP runs as one Python application. The agent roles are separate in code,</w:t>
      </w:r>
      <w:r>
        <w:t xml:space="preserve"> </w:t>
      </w:r>
      <w:r>
        <w:t xml:space="preserve">but they are not independently deployed services. This keeps local setup and</w:t>
      </w:r>
      <w:r>
        <w:t xml:space="preserve"> </w:t>
      </w:r>
      <w:r>
        <w:t xml:space="preserve">debugging manageable while leaving client and graph boundaries that could be</w:t>
      </w:r>
      <w:r>
        <w:t xml:space="preserve"> </w:t>
      </w:r>
      <w:r>
        <w:t xml:space="preserve">moved into services later.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Market Research Agent architecture showing the Orchestrator, You.com-only competitor discovery, multi-provider Web Research, Analysis and Verification, human approval, Pinecone evidence, PostgreSQL as system of record, and separate LangSmith and optional Future AGI observability and quality paths" title="" id="35" name="Picture"/>
            <a:graphic>
              <a:graphicData uri="http://schemas.openxmlformats.org/drawingml/2006/picture">
                <pic:pic>
                  <pic:nvPicPr>
                    <pic:cNvPr descr="images/market-research-agent-overview-v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Research Agent architecture showing the Orchestrator, You.com-only competitor discovery, multi-provider Web Research, Analysis and Verification, human approval, Pinecone evidence, PostgreSQL as system of record, and separate LangSmith and optional Future AGI observability and quality paths</w:t>
      </w:r>
    </w:p>
    <w:p>
      <w:pPr>
        <w:pStyle w:val="BodyText"/>
      </w:pPr>
      <w:r>
        <w:rPr>
          <w:i/>
          <w:iCs/>
        </w:rPr>
        <w:t xml:space="preserve">Future AGI and LangSmith receive diagnostic traces through dashed paths; neither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approves competitors, changes budgets, or routes production work.</w:t>
      </w:r>
    </w:p>
    <w:bookmarkStart w:id="37" w:name="main-components"/>
    <w:p>
      <w:pPr>
        <w:pStyle w:val="Heading3"/>
      </w:pPr>
      <w:r>
        <w:t xml:space="preserve">Main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Research form, competitor approval, progress, results, and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Validation and endpoints for runs, approvals, status, and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Workflow state, fan-out, routing, retries, budgets, and coverage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Prompts, structured model output, documents, embeddings, and retrieval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You.com</w:t>
            </w:r>
          </w:p>
        </w:tc>
        <w:tc>
          <w:tcPr/>
          <w:p>
            <w:pPr>
              <w:pStyle w:val="Compact"/>
            </w:pPr>
            <w:r>
              <w:t xml:space="preserve">Required search and news data for discovery and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Serper.dev</w:t>
            </w:r>
          </w:p>
        </w:tc>
        <w:tc>
          <w:tcPr/>
          <w:p>
            <w:pPr>
              <w:pStyle w:val="Compact"/>
            </w:pPr>
            <w:r>
              <w:t xml:space="preserve">Optional second search and news provider for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Scoped semantic retrieval over evidence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Runs, selections, evidence, claims, costs, reports, events, and checkpoints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Development traces, evaluations, latency, and selected production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AGI</w:t>
            </w:r>
          </w:p>
        </w:tc>
        <w:tc>
          <w:tcPr/>
          <w:p>
            <w:pPr>
              <w:pStyle w:val="Compact"/>
            </w:pPr>
            <w:r>
              <w:t xml:space="preserve">Optional tracing through</w:t>
            </w:r>
            <w:r>
              <w:t xml:space="preserve"> </w:t>
            </w:r>
            <w:r>
              <w:rPr>
                <w:rStyle w:val="VerbatimChar"/>
              </w:rPr>
              <w:t xml:space="preserve">LangChainInstrumentor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scoring for dedicated eval scripts and the project-local batch scenario runner</w:t>
            </w:r>
          </w:p>
        </w:tc>
      </w:tr>
    </w:tbl>
    <w:p>
      <w:pPr>
        <w:pStyle w:val="BodyText"/>
      </w:pPr>
      <w:r>
        <w:t xml:space="preserve">The three competitor branches are concurrent instances of the same Web</w:t>
      </w:r>
      <w:r>
        <w:t xml:space="preserve"> </w:t>
      </w:r>
      <w:r>
        <w:t xml:space="preserve">Research and Analysis definitions. We do not maintain six separate agents.</w:t>
      </w:r>
      <w:r>
        <w:t xml:space="preserve"> </w:t>
      </w:r>
      <w:r>
        <w:t xml:space="preserve">That distinction reduces prompt drift and makes fixes apply consistently to</w:t>
      </w:r>
      <w:r>
        <w:t xml:space="preserve"> </w:t>
      </w:r>
      <w:r>
        <w:t xml:space="preserve">every competitor.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gent-responsibilities-and-control-flow"/>
    <w:p>
      <w:pPr>
        <w:pStyle w:val="Heading2"/>
      </w:pPr>
      <w:r>
        <w:t xml:space="preserve">8. Agent responsibilities and control flow</w:t>
      </w:r>
    </w:p>
    <w:p>
      <w:pPr>
        <w:pStyle w:val="FirstParagraph"/>
      </w:pPr>
      <w:r>
        <w:t xml:space="preserve">Each agent has a narrow job and a boundary it is not allowed to cross.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Receives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Does not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Research scope and graph state</w:t>
            </w:r>
          </w:p>
        </w:tc>
        <w:tc>
          <w:tcPr/>
          <w:p>
            <w:pPr>
              <w:pStyle w:val="Compact"/>
            </w:pPr>
            <w:r>
              <w:t xml:space="preserve">Plans, routing decisions, and compiled briefing</w:t>
            </w:r>
          </w:p>
        </w:tc>
        <w:tc>
          <w:tcPr/>
          <w:p>
            <w:pPr>
              <w:pStyle w:val="Compact"/>
            </w:pPr>
            <w:r>
              <w:t xml:space="preserve">Add new facts during report compilation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Discovery</w:t>
            </w:r>
          </w:p>
        </w:tc>
        <w:tc>
          <w:tcPr/>
          <w:p>
            <w:pPr>
              <w:pStyle w:val="Compact"/>
            </w:pPr>
            <w:r>
              <w:t xml:space="preserve">Target company and scope</w:t>
            </w:r>
          </w:p>
        </w:tc>
        <w:tc>
          <w:tcPr/>
          <w:p>
            <w:pPr>
              <w:pStyle w:val="Compact"/>
            </w:pPr>
            <w:r>
              <w:t xml:space="preserve">Five scored candidates</w:t>
            </w:r>
          </w:p>
        </w:tc>
        <w:tc>
          <w:tcPr/>
          <w:p>
            <w:pPr>
              <w:pStyle w:val="Compact"/>
            </w:pPr>
            <w:r>
              <w:t xml:space="preserve">Choose the final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Research</w:t>
            </w:r>
          </w:p>
        </w:tc>
        <w:tc>
          <w:tcPr/>
          <w:p>
            <w:pPr>
              <w:pStyle w:val="Compact"/>
            </w:pPr>
            <w:r>
              <w:t xml:space="preserve">One competitor, categories, and active search clients</w:t>
            </w:r>
          </w:p>
        </w:tc>
        <w:tc>
          <w:tcPr/>
          <w:p>
            <w:pPr>
              <w:pStyle w:val="Compact"/>
            </w:pPr>
            <w:r>
              <w:t xml:space="preserve">Deduplicated evidence IDs and coverage metadata</w:t>
            </w:r>
          </w:p>
        </w:tc>
        <w:tc>
          <w:tcPr/>
          <w:p>
            <w:pPr>
              <w:pStyle w:val="Compact"/>
            </w:pPr>
            <w:r>
              <w:t xml:space="preserve">Write strategic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&amp; Verification</w:t>
            </w:r>
          </w:p>
        </w:tc>
        <w:tc>
          <w:tcPr/>
          <w:p>
            <w:pPr>
              <w:pStyle w:val="Compact"/>
            </w:pPr>
            <w:r>
              <w:t xml:space="preserve">Retrieved evidence for one competitor</w:t>
            </w:r>
          </w:p>
        </w:tc>
        <w:tc>
          <w:tcPr/>
          <w:p>
            <w:pPr>
              <w:pStyle w:val="Compact"/>
            </w:pPr>
            <w:r>
              <w:t xml:space="preserve">Typed claims, confidence, conflicts, and coverage</w:t>
            </w:r>
          </w:p>
        </w:tc>
        <w:tc>
          <w:tcPr/>
          <w:p>
            <w:pPr>
              <w:pStyle w:val="Compact"/>
            </w:pPr>
            <w:r>
              <w:t xml:space="preserve">Cite evidence it did not retrieve</w:t>
            </w:r>
          </w:p>
        </w:tc>
      </w:tr>
    </w:tbl>
    <w:p>
      <w:pPr>
        <w:pStyle w:val="BodyText"/>
      </w:pPr>
      <w:r>
        <w:t xml:space="preserve">The graph applies the following rules:</w:t>
      </w:r>
    </w:p>
    <w:p>
      <w:pPr>
        <w:pStyle w:val="Compact"/>
        <w:numPr>
          <w:ilvl w:val="0"/>
          <w:numId w:val="1007"/>
        </w:numPr>
      </w:pPr>
      <w:r>
        <w:t xml:space="preserve">external requests have timeouts and bounded retries;</w:t>
      </w:r>
    </w:p>
    <w:p>
      <w:pPr>
        <w:pStyle w:val="Compact"/>
        <w:numPr>
          <w:ilvl w:val="0"/>
          <w:numId w:val="1007"/>
        </w:numPr>
      </w:pPr>
      <w:r>
        <w:t xml:space="preserve">authentication and malformed requests are not treated as transient errors;</w:t>
      </w:r>
    </w:p>
    <w:p>
      <w:pPr>
        <w:pStyle w:val="Compact"/>
        <w:numPr>
          <w:ilvl w:val="0"/>
          <w:numId w:val="1007"/>
        </w:numPr>
      </w:pPr>
      <w:r>
        <w:t xml:space="preserve">a task is attempted no more than three times;</w:t>
      </w:r>
    </w:p>
    <w:p>
      <w:pPr>
        <w:pStyle w:val="Compact"/>
        <w:numPr>
          <w:ilvl w:val="0"/>
          <w:numId w:val="1007"/>
        </w:numPr>
      </w:pPr>
      <w:r>
        <w:t xml:space="preserve">projected search and model costs are checked before full research;</w:t>
      </w:r>
    </w:p>
    <w:p>
      <w:pPr>
        <w:pStyle w:val="Compact"/>
        <w:numPr>
          <w:ilvl w:val="0"/>
          <w:numId w:val="1007"/>
        </w:numPr>
      </w:pPr>
      <w:r>
        <w:t xml:space="preserve">missing categories can trigger a targeted research pass while budget remains;</w:t>
      </w:r>
    </w:p>
    <w:p>
      <w:pPr>
        <w:pStyle w:val="Compact"/>
        <w:numPr>
          <w:ilvl w:val="0"/>
          <w:numId w:val="1007"/>
        </w:numPr>
      </w:pPr>
      <w:r>
        <w:t xml:space="preserve">a failed branch stays visible in the report status; and</w:t>
      </w:r>
    </w:p>
    <w:p>
      <w:pPr>
        <w:pStyle w:val="Compact"/>
        <w:numPr>
          <w:ilvl w:val="0"/>
          <w:numId w:val="1007"/>
        </w:numPr>
      </w:pPr>
      <w:r>
        <w:t xml:space="preserve">only verified structured records reach the report compiler.</w:t>
      </w:r>
    </w:p>
    <w:p>
      <w:pPr>
        <w:pStyle w:val="FirstParagraph"/>
      </w:pPr>
      <w:r>
        <w:t xml:space="preserve">Provider-specific HTTP code lives in</w:t>
      </w:r>
      <w:r>
        <w:t xml:space="preserve"> </w:t>
      </w:r>
      <w:r>
        <w:rPr>
          <w:rStyle w:val="VerbatimChar"/>
        </w:rPr>
        <w:t xml:space="preserve">app/clients/</w:t>
      </w:r>
      <w:r>
        <w:t xml:space="preserve">.</w:t>
      </w:r>
      <w:r>
        <w:t xml:space="preserve"> </w:t>
      </w:r>
      <w:r>
        <w:rPr>
          <w:rStyle w:val="VerbatimChar"/>
        </w:rPr>
        <w:t xml:space="preserve">YouComClient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SerperClient</w:t>
      </w:r>
      <w:r>
        <w:t xml:space="preserve"> </w:t>
      </w:r>
      <w:r>
        <w:t xml:space="preserve">implement the same search contract;</w:t>
      </w:r>
      <w:r>
        <w:t xml:space="preserve"> </w:t>
      </w:r>
      <w:r>
        <w:rPr>
          <w:rStyle w:val="VerbatimChar"/>
        </w:rPr>
        <w:t xml:space="preserve">PineconeClient</w:t>
      </w:r>
      <w:r>
        <w:t xml:space="preserve"> </w:t>
      </w:r>
      <w:r>
        <w:t xml:space="preserve">owns</w:t>
      </w:r>
      <w:r>
        <w:t xml:space="preserve"> </w:t>
      </w:r>
      <w:r>
        <w:t xml:space="preserve">vector operations; and the OpenAI, LangSmith, and Future AGI setup functions</w:t>
      </w:r>
      <w:r>
        <w:t xml:space="preserve"> </w:t>
      </w:r>
      <w:r>
        <w:t xml:space="preserve">are isolated from agent logic. Future AGI imports are deferred, so the normal</w:t>
      </w:r>
      <w:r>
        <w:t xml:space="preserve"> </w:t>
      </w:r>
      <w:r>
        <w:t xml:space="preserve">application still starts when its optional dependency group is absent. Tests</w:t>
      </w:r>
      <w:r>
        <w:t xml:space="preserve"> </w:t>
      </w:r>
      <w:r>
        <w:t xml:space="preserve">can replace external clients with fakes rather than making paid requests.</w:t>
      </w:r>
    </w:p>
    <w:p>
      <w:r>
        <w:pict>
          <v:rect style="width:0;height:1.5pt" o:hralign="center" o:hrstd="t" o:hr="t"/>
        </w:pict>
      </w:r>
    </w:p>
    <w:bookmarkEnd w:id="39"/>
    <w:bookmarkStart w:id="40" w:name="state-and-audit-history"/>
    <w:p>
      <w:pPr>
        <w:pStyle w:val="Heading2"/>
      </w:pPr>
      <w:r>
        <w:t xml:space="preserve">9. State and audit history</w:t>
      </w:r>
    </w:p>
    <w:p>
      <w:pPr>
        <w:pStyle w:val="FirstParagraph"/>
      </w:pPr>
      <w:r>
        <w:t xml:space="preserve">There are four kinds of state in the application, and they are not equally</w:t>
      </w:r>
      <w:r>
        <w:t xml:space="preserve"> </w:t>
      </w:r>
      <w:r>
        <w:t xml:space="preserve">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state</w:t>
            </w:r>
          </w:p>
        </w:tc>
        <w:tc>
          <w:tcPr/>
          <w:p>
            <w:pPr>
              <w:pStyle w:val="Compact"/>
            </w:pPr>
            <w:r>
              <w:t xml:space="preserve">Current branches, errors, coverage, retries, and approvals</w:t>
            </w:r>
          </w:p>
        </w:tc>
        <w:tc>
          <w:tcPr/>
          <w:p>
            <w:pPr>
              <w:pStyle w:val="Compact"/>
            </w:pPr>
            <w:r>
              <w:t xml:space="preserve">Drives the active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Business records and audit events</w:t>
            </w:r>
          </w:p>
        </w:tc>
        <w:tc>
          <w:tcPr/>
          <w:p>
            <w:pPr>
              <w:pStyle w:val="Compact"/>
            </w:pPr>
            <w:r>
              <w:t xml:space="preserve">Formal system of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Embedded evidence chunks and retrieval metadata</w:t>
            </w:r>
          </w:p>
        </w:tc>
        <w:tc>
          <w:tcPr/>
          <w:p>
            <w:pPr>
              <w:pStyle w:val="Compact"/>
            </w:pPr>
            <w:r>
              <w:t xml:space="preserve">Search index, not business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</w:p>
        </w:tc>
        <w:tc>
          <w:tcPr/>
          <w:p>
            <w:pPr>
              <w:pStyle w:val="Compact"/>
            </w:pPr>
            <w:r>
              <w:t xml:space="preserve">Browser selections and navigation</w:t>
            </w:r>
          </w:p>
        </w:tc>
        <w:tc>
          <w:tcPr/>
          <w:p>
            <w:pPr>
              <w:pStyle w:val="Compact"/>
            </w:pPr>
            <w:r>
              <w:t xml:space="preserve">Temporary UI convenience</w:t>
            </w:r>
          </w:p>
        </w:tc>
      </w:tr>
    </w:tbl>
    <w:p>
      <w:pPr>
        <w:pStyle w:val="BodyText"/>
      </w:pPr>
      <w:r>
        <w:t xml:space="preserve">The durable record follows this shape: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└── run</w:t>
      </w:r>
      <w:r>
        <w:br/>
      </w:r>
      <w:r>
        <w:rPr>
          <w:rStyle w:val="VerbatimChar"/>
        </w:rPr>
        <w:t xml:space="preserve">      ├── discovery candidates</w:t>
      </w:r>
      <w:r>
        <w:br/>
      </w:r>
      <w:r>
        <w:rPr>
          <w:rStyle w:val="VerbatimChar"/>
        </w:rPr>
        <w:t xml:space="preserve">      ├── approved competitor selections</w:t>
      </w:r>
      <w:r>
        <w:br/>
      </w:r>
      <w:r>
        <w:rPr>
          <w:rStyle w:val="VerbatimChar"/>
        </w:rPr>
        <w:t xml:space="preserve">      ├── research evidence</w:t>
      </w:r>
      <w:r>
        <w:br/>
      </w:r>
      <w:r>
        <w:rPr>
          <w:rStyle w:val="VerbatimChar"/>
        </w:rPr>
        <w:t xml:space="preserve">      │   └── Pinecone chunks</w:t>
      </w:r>
      <w:r>
        <w:br/>
      </w:r>
      <w:r>
        <w:rPr>
          <w:rStyle w:val="VerbatimChar"/>
        </w:rPr>
        <w:t xml:space="preserve">      ├── competitor profiles</w:t>
      </w:r>
      <w:r>
        <w:br/>
      </w:r>
      <w:r>
        <w:rPr>
          <w:rStyle w:val="VerbatimChar"/>
        </w:rPr>
        <w:t xml:space="preserve">      │   └── claims → evidence IDs</w:t>
      </w:r>
      <w:r>
        <w:br/>
      </w:r>
      <w:r>
        <w:rPr>
          <w:rStyle w:val="VerbatimChar"/>
        </w:rPr>
        <w:t xml:space="preserve">      ├── costs and audit events</w:t>
      </w:r>
      <w:r>
        <w:br/>
      </w:r>
      <w:r>
        <w:rPr>
          <w:rStyle w:val="VerbatimChar"/>
        </w:rPr>
        <w:t xml:space="preserve">      └── briefing and exports</w:t>
      </w:r>
    </w:p>
    <w:p>
      <w:pPr>
        <w:pStyle w:val="FirstParagraph"/>
      </w:pPr>
      <w:r>
        <w:t xml:space="preserve">Pinecone can be rebuilt from the evidence records. PostgreSQL cannot be</w:t>
      </w:r>
      <w:r>
        <w:t xml:space="preserve"> </w:t>
      </w:r>
      <w:r>
        <w:t xml:space="preserve">replaced by Pinecone because it stores the authoritative relationships among</w:t>
      </w:r>
      <w:r>
        <w:t xml:space="preserve"> </w:t>
      </w:r>
      <w:r>
        <w:t xml:space="preserve">runs, approvals, sources, claims, and costs.</w:t>
      </w:r>
    </w:p>
    <w:p>
      <w:pPr>
        <w:pStyle w:val="BodyText"/>
      </w:pPr>
      <w:r>
        <w:t xml:space="preserve">LangSmith and Future AGI hold diagnostic traces and evaluation results, not</w:t>
      </w:r>
      <w:r>
        <w:t xml:space="preserve"> </w:t>
      </w:r>
      <w:r>
        <w:t xml:space="preserve">product state. A trace may be sampled, masked, disabled, or unavailable</w:t>
      </w:r>
      <w:r>
        <w:t xml:space="preserve"> </w:t>
      </w:r>
      <w:r>
        <w:t xml:space="preserve">without changing the authoritative run recorded in PostgreSQL.</w:t>
      </w:r>
    </w:p>
    <w:p>
      <w:r>
        <w:pict>
          <v:rect style="width:0;height:1.5pt" o:hralign="center" o:hrstd="t" o:hr="t"/>
        </w:pict>
      </w:r>
    </w:p>
    <w:bookmarkEnd w:id="40"/>
    <w:bookmarkStart w:id="41" w:name="technology-choices"/>
    <w:p>
      <w:pPr>
        <w:pStyle w:val="Heading2"/>
      </w:pPr>
      <w:r>
        <w:t xml:space="preserve">10. 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Why it is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</w:pPr>
            <w:r>
              <w:t xml:space="preserve">Typed application and data-processing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Conditional routing and concurrent branches with explicit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Agent/RAG utilities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Structured outputs, documents, splitting, embeddings, and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Query generation, candidate scoring, claim extraction, and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You.com and optional Serper.dev</w:t>
            </w:r>
          </w:p>
        </w:tc>
        <w:tc>
          <w:tcPr/>
          <w:p>
            <w:pPr>
              <w:pStyle w:val="Compact"/>
            </w:pPr>
            <w:r>
              <w:t xml:space="preserve">Fresh web and news evidence from one or two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Pinecone Serverless</w:t>
            </w:r>
          </w:p>
        </w:tc>
        <w:tc>
          <w:tcPr/>
          <w:p>
            <w:pPr>
              <w:pStyle w:val="Compact"/>
            </w:pPr>
            <w:r>
              <w:t xml:space="preserve">Namespace and metadata-scoped evidence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Durable workflow records and audit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Typed asynchronous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A small multipage UI without a separate frontend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t xml:space="preserve">Pydantic v2</w:t>
            </w:r>
          </w:p>
        </w:tc>
        <w:tc>
          <w:tcPr/>
          <w:p>
            <w:pPr>
              <w:pStyle w:val="Compact"/>
            </w:pPr>
            <w:r>
              <w:t xml:space="preserve">Validation at agent and API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SQLAlchemy and Alembic</w:t>
            </w:r>
          </w:p>
        </w:tc>
        <w:tc>
          <w:tcPr/>
          <w:p>
            <w:pPr>
              <w:pStyle w:val="Compact"/>
            </w:pPr>
            <w:r>
              <w:t xml:space="preserve">Relational data access and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engineering observability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Trace inspection and the existing development evaluation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quality cross-check</w:t>
            </w:r>
          </w:p>
        </w:tc>
        <w:tc>
          <w:tcPr/>
          <w:p>
            <w:pPr>
              <w:pStyle w:val="Compact"/>
            </w:pPr>
            <w:r>
              <w:t xml:space="preserve">Future AGI</w:t>
            </w:r>
          </w:p>
        </w:tc>
        <w:tc>
          <w:tcPr/>
          <w:p>
            <w:pPr>
              <w:pStyle w:val="Compact"/>
            </w:pPr>
            <w:r>
              <w:t xml:space="preserve">Secondary traces,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scoring, and a project-local batch scenario harness; enabled only by explicit toggle and optional dependency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ReportLab plus Markdown/CSV exporters</w:t>
            </w:r>
          </w:p>
        </w:tc>
        <w:tc>
          <w:tcPr/>
          <w:p>
            <w:pPr>
              <w:pStyle w:val="Compact"/>
            </w:pPr>
            <w:r>
              <w:t xml:space="preserve">Shareable cited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Credential-free behavior and integration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Locked dependencies and repeatable commands</w:t>
            </w:r>
          </w:p>
        </w:tc>
      </w:tr>
    </w:tbl>
    <w:p>
      <w:pPr>
        <w:pStyle w:val="BodyText"/>
      </w:pPr>
      <w:r>
        <w:t xml:space="preserve">We considered Mem0 and LlamaIndex earlier in the design. Neither solves a</w:t>
      </w:r>
      <w:r>
        <w:t xml:space="preserve"> </w:t>
      </w:r>
      <w:r>
        <w:t xml:space="preserve">current gap: fresh evidence is more important than conversational memory, and</w:t>
      </w:r>
      <w:r>
        <w:t xml:space="preserve"> </w:t>
      </w:r>
      <w:r>
        <w:t xml:space="preserve">LangChain already supplies the document and retrieval abstractions used here.</w:t>
      </w:r>
      <w:r>
        <w:t xml:space="preserve"> </w:t>
      </w:r>
      <w:r>
        <w:t xml:space="preserve">Kafka, Kubernetes, remote A2A services, and a second vector database were left</w:t>
      </w:r>
      <w:r>
        <w:t xml:space="preserve"> </w:t>
      </w:r>
      <w:r>
        <w:t xml:space="preserve">out for the same reason. They would raise the operating cost before the MVP</w:t>
      </w:r>
      <w:r>
        <w:t xml:space="preserve"> </w:t>
      </w:r>
      <w:r>
        <w:t xml:space="preserve">has a workload that requires them.</w:t>
      </w:r>
    </w:p>
    <w:p>
      <w:r>
        <w:pict>
          <v:rect style="width:0;height:1.5pt" o:hralign="center" o:hrstd="t" o:hr="t"/>
        </w:pict>
      </w:r>
    </w:p>
    <w:bookmarkEnd w:id="41"/>
    <w:bookmarkStart w:id="46" w:name="quality-and-safety-controls"/>
    <w:p>
      <w:pPr>
        <w:pStyle w:val="Heading2"/>
      </w:pPr>
      <w:r>
        <w:t xml:space="preserve">11. Quality and safety controls</w:t>
      </w:r>
    </w:p>
    <w:p>
      <w:pPr>
        <w:pStyle w:val="FirstParagraph"/>
      </w:pPr>
      <w:r>
        <w:t xml:space="preserve">Several controls are structural rather than prompt-based:</w:t>
      </w:r>
    </w:p>
    <w:p>
      <w:pPr>
        <w:pStyle w:val="Compact"/>
        <w:numPr>
          <w:ilvl w:val="0"/>
          <w:numId w:val="1008"/>
        </w:numPr>
      </w:pPr>
      <w:r>
        <w:t xml:space="preserve">A supported claim without evidence IDs fails Pydantic validation.</w:t>
      </w:r>
    </w:p>
    <w:p>
      <w:pPr>
        <w:pStyle w:val="Compact"/>
        <w:numPr>
          <w:ilvl w:val="0"/>
          <w:numId w:val="1008"/>
        </w:numPr>
      </w:pPr>
      <w:r>
        <w:t xml:space="preserve">A single source cannot produce high confidence.</w:t>
      </w:r>
    </w:p>
    <w:p>
      <w:pPr>
        <w:pStyle w:val="Compact"/>
        <w:numPr>
          <w:ilvl w:val="0"/>
          <w:numId w:val="1008"/>
        </w:numPr>
      </w:pPr>
      <w:r>
        <w:t xml:space="preserve">Unknown information stays unknown instead of being filled with a guess.</w:t>
      </w:r>
    </w:p>
    <w:p>
      <w:pPr>
        <w:pStyle w:val="Compact"/>
        <w:numPr>
          <w:ilvl w:val="0"/>
          <w:numId w:val="1008"/>
        </w:numPr>
      </w:pPr>
      <w:r>
        <w:t xml:space="preserve">Conflicting values remain separate and retain their sources.</w:t>
      </w:r>
    </w:p>
    <w:p>
      <w:pPr>
        <w:pStyle w:val="Compact"/>
        <w:numPr>
          <w:ilvl w:val="0"/>
          <w:numId w:val="1008"/>
        </w:numPr>
      </w:pPr>
      <w:r>
        <w:t xml:space="preserve">Workspace namespaces and metadata filters prevent cross-run retrieval.</w:t>
      </w:r>
    </w:p>
    <w:p>
      <w:pPr>
        <w:pStyle w:val="Compact"/>
        <w:numPr>
          <w:ilvl w:val="0"/>
          <w:numId w:val="1008"/>
        </w:numPr>
      </w:pPr>
      <w:r>
        <w:t xml:space="preserve">Budget, retry, and coverage decisions are regular Python logic.</w:t>
      </w:r>
    </w:p>
    <w:p>
      <w:pPr>
        <w:pStyle w:val="Compact"/>
        <w:numPr>
          <w:ilvl w:val="0"/>
          <w:numId w:val="1008"/>
        </w:numPr>
      </w:pPr>
      <w:r>
        <w:t xml:space="preserve">Retrieved pages are delimited as untrusted content before model use.</w:t>
      </w:r>
    </w:p>
    <w:p>
      <w:pPr>
        <w:pStyle w:val="FirstParagraph"/>
      </w:pPr>
      <w:r>
        <w:t xml:space="preserve">The automated tests cover discovery scoring, deduplication, chunking,</w:t>
      </w:r>
      <w:r>
        <w:t xml:space="preserve"> </w:t>
      </w:r>
      <w:r>
        <w:t xml:space="preserve">embedding failures, retrieval isolation, evidence-required claims, confidence</w:t>
      </w:r>
      <w:r>
        <w:t xml:space="preserve"> </w:t>
      </w:r>
      <w:r>
        <w:t xml:space="preserve">downgrades, coverage, conflicts, retries, budgets, partial branches, exports,</w:t>
      </w:r>
      <w:r>
        <w:t xml:space="preserve"> </w:t>
      </w:r>
      <w:r>
        <w:t xml:space="preserve">citations, audit events, migrations, prompt-injection boundaries, both search</w:t>
      </w:r>
      <w:r>
        <w:t xml:space="preserve"> </w:t>
      </w:r>
      <w:r>
        <w:t xml:space="preserve">clients, and multi-provider provenance.</w:t>
      </w:r>
    </w:p>
    <w:p>
      <w:pPr>
        <w:pStyle w:val="BodyText"/>
      </w:pPr>
      <w:r>
        <w:t xml:space="preserve">LangSmith is used to debug model calls, retrieval, node timing, token usage,</w:t>
      </w:r>
      <w:r>
        <w:t xml:space="preserve"> </w:t>
      </w:r>
      <w:r>
        <w:t xml:space="preserve">and failures. It is not the customer-facing audit database. Production traces</w:t>
      </w:r>
      <w:r>
        <w:t xml:space="preserve"> </w:t>
      </w:r>
      <w:r>
        <w:t xml:space="preserve">can be sampled, masked, or disabled for a privacy-sensitive workspace, while</w:t>
      </w:r>
      <w:r>
        <w:t xml:space="preserve"> </w:t>
      </w:r>
      <w:r>
        <w:t xml:space="preserve">the required business events remain in PostgreSQL.</w:t>
      </w:r>
    </w:p>
    <w:bookmarkStart w:id="45" w:name="future-agi-quality-loop"/>
    <w:p>
      <w:pPr>
        <w:pStyle w:val="Heading3"/>
      </w:pPr>
      <w:r>
        <w:t xml:space="preserve">Future AGI quality loop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Future AGI quality loop showing golden datasets and four project-local batch scenarios running through the real agents, structural Python checks and Future AGI evaluate scoring, optional Future AGI Observe tracing, human review, and a feedback loop into prompts, retrieval, and deterministic rules" title="" id="43" name="Picture"/>
            <a:graphic>
              <a:graphicData uri="http://schemas.openxmlformats.org/drawingml/2006/picture">
                <pic:pic>
                  <pic:nvPicPr>
                    <pic:cNvPr descr="images/futureagi-quality-loop-v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Future AGI quality loop showing golden datasets and four project-local batch scenarios running through the real agents, structural Python checks and Future AGI evaluate scoring, optional Future AGI Observe tracing, human review, and a feedback loop into prompts, retrieval, and deterministic rules</w:t>
      </w:r>
    </w:p>
    <w:p>
      <w:pPr>
        <w:pStyle w:val="BodyText"/>
      </w:pPr>
      <w:r>
        <w:t xml:space="preserve">Future AGI is deliberately opt-in.</w:t>
      </w:r>
      <w:r>
        <w:t xml:space="preserve"> </w:t>
      </w:r>
      <w:r>
        <w:rPr>
          <w:rStyle w:val="VerbatimChar"/>
        </w:rPr>
        <w:t xml:space="preserve">FUTUREAGI_ENABLED=false</w:t>
      </w:r>
      <w:r>
        <w:t xml:space="preserve"> </w:t>
      </w:r>
      <w:r>
        <w:t xml:space="preserve">is the default,</w:t>
      </w:r>
      <w:r>
        <w:t xml:space="preserve"> </w:t>
      </w:r>
      <w:r>
        <w:t xml:space="preserve">and tracing starts only when both</w:t>
      </w:r>
      <w:r>
        <w:t xml:space="preserve"> </w:t>
      </w:r>
      <w:r>
        <w:rPr>
          <w:rStyle w:val="VerbatimChar"/>
        </w:rPr>
        <w:t xml:space="preserve">FI_API_KEY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FI_SECRET_KEY</w:t>
      </w:r>
      <w:r>
        <w:t xml:space="preserve"> </w:t>
      </w:r>
      <w:r>
        <w:t xml:space="preserve">are present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futureagi</w:t>
      </w:r>
      <w:r>
        <w:t xml:space="preserve"> </w:t>
      </w:r>
      <w:r>
        <w:t xml:space="preserve">dependency group has been installed. FastAPI initializes</w:t>
      </w:r>
      <w:r>
        <w:t xml:space="preserve"> </w:t>
      </w:r>
      <w:r>
        <w:t xml:space="preserve">the integration during application startup; a missing package, missing key,</w:t>
      </w:r>
      <w:r>
        <w:t xml:space="preserve"> </w:t>
      </w:r>
      <w:r>
        <w:t xml:space="preserve">or setup failure degrades to no Future AGI tracing rather than preventing the</w:t>
      </w:r>
      <w:r>
        <w:t xml:space="preserve"> </w:t>
      </w:r>
      <w:r>
        <w:t xml:space="preserve">application from starting.</w:t>
      </w:r>
    </w:p>
    <w:p>
      <w:pPr>
        <w:pStyle w:val="BodyText"/>
      </w:pPr>
      <w:r>
        <w:t xml:space="preserve">Enable the optional integration with: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futureagi</w:t>
      </w:r>
    </w:p>
    <w:p>
      <w:pPr>
        <w:pStyle w:val="SourceCode"/>
      </w:pPr>
      <w:r>
        <w:rPr>
          <w:rStyle w:val="VerbatimChar"/>
        </w:rPr>
        <w:t xml:space="preserve">FUTUREAGI_ENABLED=true</w:t>
      </w:r>
      <w:r>
        <w:br/>
      </w:r>
      <w:r>
        <w:rPr>
          <w:rStyle w:val="VerbatimChar"/>
        </w:rPr>
        <w:t xml:space="preserve">FI_API_KEY=...</w:t>
      </w:r>
      <w:r>
        <w:br/>
      </w:r>
      <w:r>
        <w:rPr>
          <w:rStyle w:val="VerbatimChar"/>
        </w:rPr>
        <w:t xml:space="preserve">FI_SECRET_KEY=...</w:t>
      </w:r>
      <w:r>
        <w:br/>
      </w:r>
      <w:r>
        <w:rPr>
          <w:rStyle w:val="VerbatimChar"/>
        </w:rPr>
        <w:t xml:space="preserve">FI_PROJECT_NAME=market-research-agent</w:t>
      </w:r>
    </w:p>
    <w:p>
      <w:pPr>
        <w:pStyle w:val="FirstParagraph"/>
      </w:pPr>
      <w:r>
        <w:t xml:space="preserve">Keep the toggle off when external tracing is not appropriate for the</w:t>
      </w:r>
      <w:r>
        <w:t xml:space="preserve"> </w:t>
      </w:r>
      <w:r>
        <w:t xml:space="preserve">workspace. The evaluation scripts still require their own live provider</w:t>
      </w:r>
      <w:r>
        <w:t xml:space="preserve"> </w:t>
      </w:r>
      <w:r>
        <w:t xml:space="preserve">credentials because they execute the underlying agents rather than evaluating</w:t>
      </w:r>
      <w:r>
        <w:t xml:space="preserve"> </w:t>
      </w:r>
      <w:r>
        <w:t xml:space="preserve">static report text alone.</w:t>
      </w:r>
    </w:p>
    <w:p>
      <w:pPr>
        <w:pStyle w:val="BodyText"/>
      </w:pPr>
      <w:r>
        <w:t xml:space="preserve">The delivered integration has three separate parts: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 tracing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app/clients/futureagi_client.py</w:t>
            </w:r>
            <w:r>
              <w:t xml:space="preserve"> </w:t>
            </w: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ProjectType.OBSERVE</w:t>
            </w:r>
            <w:r>
              <w:t xml:space="preserve"> </w:t>
            </w:r>
            <w:r>
              <w:t xml:space="preserve">and instruments LangChain/LangGraph through</w:t>
            </w:r>
            <w:r>
              <w:t xml:space="preserve"> </w:t>
            </w:r>
            <w:r>
              <w:rPr>
                <w:rStyle w:val="VerbatimChar"/>
              </w:rPr>
              <w:t xml:space="preserve">LangChainInstrumentor</w:t>
            </w:r>
          </w:p>
        </w:tc>
        <w:tc>
          <w:tcPr/>
          <w:p>
            <w:pPr>
              <w:pStyle w:val="Compact"/>
            </w:pPr>
            <w:r>
              <w:t xml:space="preserve">Live-verified against a real Future AGI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eval/run_discovery_eval_futureagi.py</w:t>
            </w:r>
            <w:r>
              <w:t xml:space="preserve"> </w:t>
            </w:r>
            <w:r>
              <w:t xml:space="preserve">scores answer relevancy;</w:t>
            </w:r>
            <w:r>
              <w:t xml:space="preserve"> </w:t>
            </w:r>
            <w:r>
              <w:rPr>
                <w:rStyle w:val="VerbatimChar"/>
              </w:rPr>
              <w:t xml:space="preserve">eval/run_analysis_eval_futureagi.py</w:t>
            </w:r>
            <w:r>
              <w:t xml:space="preserve"> </w:t>
            </w:r>
            <w:r>
              <w:t xml:space="preserve">scores claim faithfulness</w:t>
            </w:r>
          </w:p>
        </w:tc>
        <w:tc>
          <w:tcPr/>
          <w:p>
            <w:pPr>
              <w:pStyle w:val="Compact"/>
            </w:pPr>
            <w:r>
              <w:t xml:space="preserve">Implemented, but not yet run end-to-end with live Future AGI evaluation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edge-case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eval/simulation/run_simulation.py</w:t>
            </w:r>
            <w:r>
              <w:t xml:space="preserve"> </w:t>
            </w:r>
            <w:r>
              <w:t xml:space="preserve">drives four synthetic requests through the real agents, performs structural Python checks, and calls Future AGI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</w:p>
        </w:tc>
        <w:tc>
          <w:tcPr/>
          <w:p>
            <w:pPr>
              <w:pStyle w:val="Compact"/>
            </w:pPr>
            <w:r>
              <w:t xml:space="preserve">Project-local harness; not Future AGI’s native multi-turn</w:t>
            </w:r>
            <w:r>
              <w:t xml:space="preserve"> </w:t>
            </w:r>
            <w:r>
              <w:rPr>
                <w:rStyle w:val="VerbatimChar"/>
              </w:rPr>
              <w:t xml:space="preserve">TestRunner</w:t>
            </w:r>
          </w:p>
        </w:tc>
      </w:tr>
    </w:tbl>
    <w:p>
      <w:pPr>
        <w:pStyle w:val="BodyText"/>
      </w:pPr>
      <w:r>
        <w:t xml:space="preserve">The distinction in the last row matters. This application is a bounded</w:t>
      </w:r>
      <w:r>
        <w:t xml:space="preserve"> </w:t>
      </w:r>
      <w:r>
        <w:t xml:space="preserve">research workflow rather than a conversational or voice agent. Its scenario</w:t>
      </w:r>
      <w:r>
        <w:t xml:space="preserve"> </w:t>
      </w:r>
      <w:r>
        <w:t xml:space="preserve">runner therefore tests the real Discovery, Web Research, and Analysis agents</w:t>
      </w:r>
      <w:r>
        <w:t xml:space="preserve"> </w:t>
      </w:r>
      <w:r>
        <w:t xml:space="preserve">directly instead of forcing them behind a chat-persona callback. The runner</w:t>
      </w:r>
      <w:r>
        <w:t xml:space="preserve"> </w:t>
      </w:r>
      <w:r>
        <w:t xml:space="preserve">writes real records and must point at a scratch database.</w:t>
      </w:r>
    </w:p>
    <w:p>
      <w:pPr>
        <w:pStyle w:val="BodyText"/>
      </w:pPr>
      <w:r>
        <w:t xml:space="preserve">Future AGI does not approve competitors, raise budgets, modify graph state, or</w:t>
      </w:r>
      <w:r>
        <w:t xml:space="preserve"> </w:t>
      </w:r>
      <w:r>
        <w:t xml:space="preserve">compile the briefing. It provides traces and quality signals for a person to</w:t>
      </w:r>
      <w:r>
        <w:t xml:space="preserve"> </w:t>
      </w:r>
      <w:r>
        <w:t xml:space="preserve">review. Standalone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results currently print to the terminal; they</w:t>
      </w:r>
      <w:r>
        <w:t xml:space="preserve"> </w:t>
      </w:r>
      <w:r>
        <w:t xml:space="preserve">are not yet attached to trace spans for display as dashboard evaluation scores.</w:t>
      </w:r>
    </w:p>
    <w:p>
      <w:pPr>
        <w:pStyle w:val="BodyText"/>
      </w:pPr>
      <w:r>
        <w:t xml:space="preserve">Because enabling both observability platforms can send the same prompt,</w:t>
      </w:r>
      <w:r>
        <w:t xml:space="preserve"> </w:t>
      </w:r>
      <w:r>
        <w:t xml:space="preserve">retrieval, and model content to two external services, production use should</w:t>
      </w:r>
      <w:r>
        <w:t xml:space="preserve"> </w:t>
      </w:r>
      <w:r>
        <w:t xml:space="preserve">apply the same sampling, masking, retention, and workspace-privacy decisions</w:t>
      </w:r>
      <w:r>
        <w:t xml:space="preserve"> </w:t>
      </w:r>
      <w:r>
        <w:t xml:space="preserve">to both. Neither integration changes the credential-free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suite.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what-has-been-delivered-and-tested"/>
    <w:p>
      <w:pPr>
        <w:pStyle w:val="Heading2"/>
      </w:pPr>
      <w:r>
        <w:t xml:space="preserve">12. What has been delivered and tested</w:t>
      </w:r>
    </w:p>
    <w:p>
      <w:pPr>
        <w:pStyle w:val="FirstParagraph"/>
      </w:pPr>
      <w:r>
        <w:t xml:space="preserve">The repository includes:</w:t>
      </w:r>
    </w:p>
    <w:p>
      <w:pPr>
        <w:pStyle w:val="Compact"/>
        <w:numPr>
          <w:ilvl w:val="0"/>
          <w:numId w:val="1009"/>
        </w:numPr>
      </w:pPr>
      <w:r>
        <w:t xml:space="preserve">application configuration, logging, and locked dependencies;</w:t>
      </w:r>
    </w:p>
    <w:p>
      <w:pPr>
        <w:pStyle w:val="Compact"/>
        <w:numPr>
          <w:ilvl w:val="0"/>
          <w:numId w:val="1009"/>
        </w:numPr>
      </w:pPr>
      <w:r>
        <w:t xml:space="preserve">SQLAlchemy models and reversible Alembic migrations;</w:t>
      </w:r>
    </w:p>
    <w:p>
      <w:pPr>
        <w:pStyle w:val="Compact"/>
        <w:numPr>
          <w:ilvl w:val="0"/>
          <w:numId w:val="1009"/>
        </w:numPr>
      </w:pPr>
      <w:r>
        <w:t xml:space="preserve">Pydantic schemas for evidence, claims, confidence, and graph state;</w:t>
      </w:r>
    </w:p>
    <w:p>
      <w:pPr>
        <w:pStyle w:val="Compact"/>
        <w:numPr>
          <w:ilvl w:val="0"/>
          <w:numId w:val="1009"/>
        </w:numPr>
      </w:pPr>
      <w:r>
        <w:t xml:space="preserve">You.com, Serper.dev, OpenAI, Pinecone, LangSmith, and Future AGI client</w:t>
      </w:r>
      <w:r>
        <w:t xml:space="preserve"> </w:t>
      </w:r>
      <w:r>
        <w:t xml:space="preserve">boundaries;</w:t>
      </w:r>
    </w:p>
    <w:p>
      <w:pPr>
        <w:pStyle w:val="Compact"/>
        <w:numPr>
          <w:ilvl w:val="0"/>
          <w:numId w:val="1009"/>
        </w:numPr>
      </w:pPr>
      <w:r>
        <w:t xml:space="preserve">the four agent roles and two LangGraph workflows;</w:t>
      </w:r>
    </w:p>
    <w:p>
      <w:pPr>
        <w:pStyle w:val="Compact"/>
        <w:numPr>
          <w:ilvl w:val="0"/>
          <w:numId w:val="1009"/>
        </w:numPr>
      </w:pPr>
      <w:r>
        <w:t xml:space="preserve">PostgreSQL-backed services and FastAPI endpoints;</w:t>
      </w:r>
    </w:p>
    <w:p>
      <w:pPr>
        <w:pStyle w:val="Compact"/>
        <w:numPr>
          <w:ilvl w:val="0"/>
          <w:numId w:val="1009"/>
        </w:numPr>
      </w:pPr>
      <w:r>
        <w:t xml:space="preserve">a multipage Streamlit interface;</w:t>
      </w:r>
    </w:p>
    <w:p>
      <w:pPr>
        <w:pStyle w:val="Compact"/>
        <w:numPr>
          <w:ilvl w:val="0"/>
          <w:numId w:val="1009"/>
        </w:numPr>
      </w:pPr>
      <w:r>
        <w:t xml:space="preserve">Markdown, CSV, and PDF exporters;</w:t>
      </w:r>
    </w:p>
    <w:p>
      <w:pPr>
        <w:pStyle w:val="Compact"/>
        <w:numPr>
          <w:ilvl w:val="0"/>
          <w:numId w:val="1009"/>
        </w:numPr>
      </w:pPr>
      <w:r>
        <w:t xml:space="preserve">automated tests plus a separate optional LLM evaluation suite; and</w:t>
      </w:r>
    </w:p>
    <w:p>
      <w:pPr>
        <w:pStyle w:val="Compact"/>
        <w:numPr>
          <w:ilvl w:val="0"/>
          <w:numId w:val="1009"/>
        </w:numPr>
      </w:pPr>
      <w:r>
        <w:t xml:space="preserve">an optional Future AGI tracing layer, two Future AGI evaluation scripts,</w:t>
      </w:r>
      <w:r>
        <w:t xml:space="preserve"> </w:t>
      </w:r>
      <w:r>
        <w:t xml:space="preserve">and a project-local batch scenario runner that uses Future AGI scoring.</w:t>
      </w:r>
    </w:p>
    <w:bookmarkStart w:id="47" w:name="validation-record"/>
    <w:p>
      <w:pPr>
        <w:pStyle w:val="Heading3"/>
      </w:pPr>
      <w:r>
        <w:t xml:space="preserve">Validation record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49/49 test functions passed</w:t>
            </w:r>
            <w:r>
              <w:t xml:space="preserve"> </w:t>
            </w:r>
            <w:r>
              <w:t xml:space="preserve">without live provider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lifecycle</w:t>
            </w:r>
          </w:p>
        </w:tc>
        <w:tc>
          <w:tcPr/>
          <w:p>
            <w:pPr>
              <w:pStyle w:val="Compact"/>
            </w:pPr>
            <w:r>
              <w:t xml:space="preserve">Alembic upgrade → downgrade → upgrade completed against local PostgreSQL, including the</w:t>
            </w:r>
            <w:r>
              <w:t xml:space="preserve"> </w:t>
            </w:r>
            <w:r>
              <w:rPr>
                <w:rStyle w:val="VerbatimChar"/>
              </w:rPr>
              <w:t xml:space="preserve">serper</w:t>
            </w:r>
            <w:r>
              <w:t xml:space="preserve"> </w:t>
            </w:r>
            <w:r>
              <w:t xml:space="preserve">provider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A live OpenAI + You.com run produced five classified Oracle competitors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and analysis</w:t>
            </w:r>
          </w:p>
        </w:tc>
        <w:tc>
          <w:tcPr/>
          <w:p>
            <w:pPr>
              <w:pStyle w:val="Compact"/>
            </w:pPr>
            <w:r>
              <w:t xml:space="preserve">Live OpenAI + You.com + Pinecone runs produced evidence-backed RunPod and Salesforce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Stored evidence IDs resolved to real source titles and URLs in exported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Per-node timing and per-model token usage were visible in live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Serper.dev</w:t>
            </w:r>
          </w:p>
        </w:tc>
        <w:tc>
          <w:tcPr/>
          <w:p>
            <w:pPr>
              <w:pStyle w:val="Compact"/>
            </w:pPr>
            <w:r>
              <w:t xml:space="preserve">Mock-tested and migration-verified, but not yet called with a live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AGI tracing</w:t>
            </w:r>
          </w:p>
        </w:tc>
        <w:tc>
          <w:tcPr/>
          <w:p>
            <w:pPr>
              <w:pStyle w:val="Compact"/>
            </w:pPr>
            <w:r>
              <w:t xml:space="preserve">Live-verified: a real LangChain call was traced with a real</w:t>
            </w:r>
            <w:r>
              <w:t xml:space="preserve"> </w:t>
            </w:r>
            <w:r>
              <w:rPr>
                <w:rStyle w:val="VerbatimChar"/>
              </w:rPr>
              <w:t xml:space="preserve">FI_API_KEY</w:t>
            </w:r>
            <w:r>
              <w:t xml:space="preserve">/</w:t>
            </w:r>
            <w:r>
              <w:rPr>
                <w:rStyle w:val="VerbatimChar"/>
              </w:rPr>
              <w:t xml:space="preserve">FI_SECRET_KEY</w:t>
            </w:r>
            <w:r>
              <w:t xml:space="preserve"> </w:t>
            </w:r>
            <w:r>
              <w:t xml:space="preserve">and force-flushed to Future AGI’s collector, and confirmed visible in the Future AGI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AGI evaluation and batch scenarios</w:t>
            </w:r>
          </w:p>
        </w:tc>
        <w:tc>
          <w:tcPr/>
          <w:p>
            <w:pPr>
              <w:pStyle w:val="Compact"/>
            </w:pPr>
            <w:r>
              <w:t xml:space="preserve">Structurally implemented; the tracing no-op path is unit-tested, but</w:t>
            </w:r>
            <w:r>
              <w:t xml:space="preserve"> </w:t>
            </w:r>
            <w:r>
              <w:rPr>
                <w:rStyle w:val="VerbatimChar"/>
              </w:rPr>
              <w:t xml:space="preserve">eval/run_*_futureagi.py</w:t>
            </w:r>
            <w:r>
              <w:t xml:space="preserve"> </w:t>
            </w:r>
            <w:r>
              <w:t xml:space="preserve">and the project-local</w:t>
            </w:r>
            <w:r>
              <w:t xml:space="preserve"> </w:t>
            </w:r>
            <w:r>
              <w:rPr>
                <w:rStyle w:val="VerbatimChar"/>
              </w:rPr>
              <w:t xml:space="preserve">eval/simulation/</w:t>
            </w:r>
            <w:r>
              <w:t xml:space="preserve"> </w:t>
            </w:r>
            <w:r>
              <w:t xml:space="preserve">runner have not yet been executed end-to-end against a live Future AGI evaluation account</w:t>
            </w:r>
          </w:p>
        </w:tc>
      </w:tr>
    </w:tbl>
    <w:p>
      <w:pPr>
        <w:pStyle w:val="BodyText"/>
      </w:pPr>
      <w:r>
        <w:t xml:space="preserve">The core workflow is therefore live-validated with You.com. Serper.dev should</w:t>
      </w:r>
      <w:r>
        <w:t xml:space="preserve"> </w:t>
      </w:r>
      <w:r>
        <w:t xml:space="preserve">still be treated as a tested integration candidate until its request shape,</w:t>
      </w:r>
      <w:r>
        <w:t xml:space="preserve"> </w:t>
      </w:r>
      <w:r>
        <w:t xml:space="preserve">freshness behavior, quotas, and real cost have been checked with an account.</w:t>
      </w:r>
      <w:r>
        <w:t xml:space="preserve"> </w:t>
      </w:r>
      <w:r>
        <w:t xml:space="preserve">Future AGI’s tracing path has cleared that same bar. Its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metric</w:t>
      </w:r>
      <w:r>
        <w:t xml:space="preserve"> </w:t>
      </w:r>
      <w:r>
        <w:t xml:space="preserve">identifiers and batch scenarios have not, and should be treated as integration</w:t>
      </w:r>
      <w:r>
        <w:t xml:space="preserve"> </w:t>
      </w:r>
      <w:r>
        <w:t xml:space="preserve">candidates until they have been exercised against a live evaluation account.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hat-we-learned-and-what-comes-next"/>
    <w:p>
      <w:pPr>
        <w:pStyle w:val="Heading2"/>
      </w:pPr>
      <w:r>
        <w:t xml:space="preserve">13. What we learned and what comes next</w:t>
      </w:r>
    </w:p>
    <w:p>
      <w:pPr>
        <w:pStyle w:val="FirstParagraph"/>
      </w:pPr>
      <w:r>
        <w:t xml:space="preserve">The main lesson from the build is that the useful part of a multi-agent system</w:t>
      </w:r>
      <w:r>
        <w:t xml:space="preserve"> </w:t>
      </w:r>
      <w:r>
        <w:t xml:space="preserve">is not the number of agents. It is the handoff contract between them. Evidence</w:t>
      </w:r>
      <w:r>
        <w:t xml:space="preserve"> </w:t>
      </w:r>
      <w:r>
        <w:t xml:space="preserve">IDs, typed outputs, deterministic routing, and clear failure states did more</w:t>
      </w:r>
      <w:r>
        <w:t xml:space="preserve"> </w:t>
      </w:r>
      <w:r>
        <w:t xml:space="preserve">for reliability than adding another autonomous role would have done.</w:t>
      </w:r>
    </w:p>
    <w:p>
      <w:pPr>
        <w:pStyle w:val="BodyText"/>
      </w:pPr>
      <w:r>
        <w:t xml:space="preserve">A few choices became clearer during implementation:</w:t>
      </w:r>
    </w:p>
    <w:p>
      <w:pPr>
        <w:pStyle w:val="Compact"/>
        <w:numPr>
          <w:ilvl w:val="0"/>
          <w:numId w:val="1010"/>
        </w:numPr>
      </w:pPr>
      <w:r>
        <w:t xml:space="preserve">Keeping discovery separate from full research creates a natural approval</w:t>
      </w:r>
      <w:r>
        <w:t xml:space="preserve"> </w:t>
      </w:r>
      <w:r>
        <w:t xml:space="preserve">and cost boundary.</w:t>
      </w:r>
    </w:p>
    <w:p>
      <w:pPr>
        <w:pStyle w:val="Compact"/>
        <w:numPr>
          <w:ilvl w:val="0"/>
          <w:numId w:val="1010"/>
        </w:numPr>
      </w:pPr>
      <w:r>
        <w:t xml:space="preserve">A final LLM rewriting pass is unnecessary when the structured profile is</w:t>
      </w:r>
      <w:r>
        <w:t xml:space="preserve"> </w:t>
      </w:r>
      <w:r>
        <w:t xml:space="preserve">already good enough to export.</w:t>
      </w:r>
    </w:p>
    <w:p>
      <w:pPr>
        <w:pStyle w:val="Compact"/>
        <w:numPr>
          <w:ilvl w:val="0"/>
          <w:numId w:val="1010"/>
        </w:numPr>
      </w:pPr>
      <w:r>
        <w:t xml:space="preserve">Search snippets are often shorter than the configured chunk size, but the</w:t>
      </w:r>
      <w:r>
        <w:t xml:space="preserve"> </w:t>
      </w:r>
      <w:r>
        <w:t xml:space="preserve">splitter is still needed for occasional longer results.</w:t>
      </w:r>
    </w:p>
    <w:p>
      <w:pPr>
        <w:pStyle w:val="Compact"/>
        <w:numPr>
          <w:ilvl w:val="0"/>
          <w:numId w:val="1010"/>
        </w:numPr>
      </w:pPr>
      <w:r>
        <w:t xml:space="preserve">Pinecone is useful for retrieval, but source relationships and audit events</w:t>
      </w:r>
      <w:r>
        <w:t xml:space="preserve"> </w:t>
      </w:r>
      <w:r>
        <w:t xml:space="preserve">belong in PostgreSQL.</w:t>
      </w:r>
    </w:p>
    <w:p>
      <w:pPr>
        <w:pStyle w:val="Compact"/>
        <w:numPr>
          <w:ilvl w:val="0"/>
          <w:numId w:val="1010"/>
        </w:numPr>
      </w:pPr>
      <w:r>
        <w:t xml:space="preserve">A second search provider may improve coverage, but it also makes provider</w:t>
      </w:r>
      <w:r>
        <w:t xml:space="preserve"> </w:t>
      </w:r>
      <w:r>
        <w:t xml:space="preserve">provenance, deduplication, and cost accounting more important.</w:t>
      </w:r>
    </w:p>
    <w:bookmarkStart w:id="49" w:name="known-gaps"/>
    <w:p>
      <w:pPr>
        <w:pStyle w:val="Heading3"/>
      </w:pPr>
      <w:r>
        <w:t xml:space="preserve">Known gaps</w:t>
      </w:r>
    </w:p>
    <w:p>
      <w:pPr>
        <w:pStyle w:val="Compact"/>
        <w:numPr>
          <w:ilvl w:val="0"/>
          <w:numId w:val="1011"/>
        </w:numPr>
      </w:pPr>
      <w:r>
        <w:t xml:space="preserve">Serper.dev needs a live integration run and verified pricing.</w:t>
      </w:r>
    </w:p>
    <w:p>
      <w:pPr>
        <w:pStyle w:val="Compact"/>
        <w:numPr>
          <w:ilvl w:val="0"/>
          <w:numId w:val="1011"/>
        </w:numPr>
      </w:pPr>
      <w:r>
        <w:t xml:space="preserve">Future AGI’s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metric identifiers and the project-local batch</w:t>
      </w:r>
      <w:r>
        <w:t xml:space="preserve"> </w:t>
      </w:r>
      <w:r>
        <w:t xml:space="preserve">scenarios are implemented but not yet run end-to-end against a live</w:t>
      </w:r>
      <w:r>
        <w:t xml:space="preserve"> </w:t>
      </w:r>
      <w:r>
        <w:t xml:space="preserve">account (tracing alone has been).</w:t>
      </w:r>
    </w:p>
    <w:p>
      <w:pPr>
        <w:pStyle w:val="Compact"/>
        <w:numPr>
          <w:ilvl w:val="0"/>
          <w:numId w:val="1011"/>
        </w:numPr>
      </w:pPr>
      <w:r>
        <w:t xml:space="preserve">Future AGI eval scores from</w:t>
      </w:r>
      <w:r>
        <w:t xml:space="preserve"> </w:t>
      </w:r>
      <w:r>
        <w:rPr>
          <w:rStyle w:val="VerbatimChar"/>
        </w:rPr>
        <w:t xml:space="preserve">eval/run_*_futureagi.py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eval/simulation/</w:t>
      </w:r>
      <w:r>
        <w:t xml:space="preserve"> </w:t>
      </w:r>
      <w:r>
        <w:t xml:space="preserve">are currently local-only: standalone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calls</w:t>
      </w:r>
      <w:r>
        <w:t xml:space="preserve"> </w:t>
      </w:r>
      <w:r>
        <w:t xml:space="preserve">are not attached to a trace/span, so they print to the terminal but do not</w:t>
      </w:r>
      <w:r>
        <w:t xml:space="preserve"> </w:t>
      </w:r>
      <w:r>
        <w:t xml:space="preserve">yet appear in the Future AGI dashboard.</w:t>
      </w:r>
    </w:p>
    <w:p>
      <w:pPr>
        <w:pStyle w:val="Compact"/>
        <w:numPr>
          <w:ilvl w:val="0"/>
          <w:numId w:val="1011"/>
        </w:numPr>
      </w:pPr>
      <w:r>
        <w:t xml:space="preserve">Cost projection still uses estimates rather than actual model usage</w:t>
      </w:r>
      <w:r>
        <w:t xml:space="preserve"> </w:t>
      </w:r>
      <w:r>
        <w:t xml:space="preserve">metadata.</w:t>
      </w:r>
    </w:p>
    <w:p>
      <w:pPr>
        <w:pStyle w:val="Compact"/>
        <w:numPr>
          <w:ilvl w:val="0"/>
          <w:numId w:val="1011"/>
        </w:numPr>
      </w:pPr>
      <w:r>
        <w:t xml:space="preserve">Per-competitor progress could be clearer in the interface.</w:t>
      </w:r>
    </w:p>
    <w:p>
      <w:pPr>
        <w:pStyle w:val="Compact"/>
        <w:numPr>
          <w:ilvl w:val="0"/>
          <w:numId w:val="1011"/>
        </w:numPr>
      </w:pPr>
      <w:r>
        <w:t xml:space="preserve">The product has been exercised on a small number of companies and needs</w:t>
      </w:r>
      <w:r>
        <w:t xml:space="preserve"> </w:t>
      </w:r>
      <w:r>
        <w:t xml:space="preserve">repeated use across industries before its confidence rules can be tuned.</w:t>
      </w:r>
    </w:p>
    <w:p>
      <w:pPr>
        <w:pStyle w:val="Compact"/>
        <w:numPr>
          <w:ilvl w:val="0"/>
          <w:numId w:val="1011"/>
        </w:numPr>
      </w:pPr>
      <w:r>
        <w:t xml:space="preserve">Authentication, container deployment, and background workers are not part</w:t>
      </w:r>
      <w:r>
        <w:t xml:space="preserve"> </w:t>
      </w:r>
      <w:r>
        <w:t xml:space="preserve">of the current local MVP.</w:t>
      </w:r>
    </w:p>
    <w:bookmarkEnd w:id="49"/>
    <w:bookmarkStart w:id="50" w:name="recommended-next-steps"/>
    <w:p>
      <w:pPr>
        <w:pStyle w:val="Heading3"/>
      </w:pPr>
      <w:r>
        <w:t xml:space="preserve">Recommended next steps</w:t>
      </w:r>
    </w:p>
    <w:p>
      <w:pPr>
        <w:pStyle w:val="Compact"/>
        <w:numPr>
          <w:ilvl w:val="0"/>
          <w:numId w:val="1012"/>
        </w:numPr>
      </w:pPr>
      <w:r>
        <w:t xml:space="preserve">Live-test Serper.dev and replace its placeholder price.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eval/run_discovery_eval_futureagi.py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eval/run_analysis_eval_futureagi.py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eval/simulation/run_simulation.py</w:t>
      </w:r>
      <w:r>
        <w:t xml:space="preserve"> </w:t>
      </w:r>
      <w:r>
        <w:t xml:space="preserve">against a live Future AGI evaluation</w:t>
      </w:r>
      <w:r>
        <w:t xml:space="preserve"> </w:t>
      </w:r>
      <w:r>
        <w:t xml:space="preserve">account. Confirm that</w:t>
      </w:r>
      <w:r>
        <w:t xml:space="preserve"> </w:t>
      </w:r>
      <w:r>
        <w:rPr>
          <w:rStyle w:val="VerbatimChar"/>
        </w:rPr>
        <w:t xml:space="preserve">faithfulness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answer_relevancy</w:t>
      </w:r>
      <w:r>
        <w:t xml:space="preserve"> </w:t>
      </w:r>
      <w:r>
        <w:t xml:space="preserve">remain the best</w:t>
      </w:r>
      <w:r>
        <w:t xml:space="preserve"> </w:t>
      </w:r>
      <w:r>
        <w:t xml:space="preserve">metric identifiers for the installed SDK version.</w:t>
      </w:r>
    </w:p>
    <w:p>
      <w:pPr>
        <w:pStyle w:val="Compact"/>
        <w:numPr>
          <w:ilvl w:val="0"/>
          <w:numId w:val="1012"/>
        </w:numPr>
      </w:pPr>
      <w:r>
        <w:t xml:space="preserve">If dashboard-visible eval scores are wanted (not just terminal output),</w:t>
      </w:r>
      <w:r>
        <w:t xml:space="preserve"> </w:t>
      </w:r>
      <w:r>
        <w:t xml:space="preserve">attach Future AGI eval calls to the run’s trace/span instead of calling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standalone.</w:t>
      </w:r>
    </w:p>
    <w:p>
      <w:pPr>
        <w:pStyle w:val="Compact"/>
        <w:numPr>
          <w:ilvl w:val="0"/>
          <w:numId w:val="1012"/>
        </w:numPr>
      </w:pPr>
      <w:r>
        <w:t xml:space="preserve">Record actual model usage and exact provider requests in the cost ledger.</w:t>
      </w:r>
    </w:p>
    <w:p>
      <w:pPr>
        <w:pStyle w:val="Compact"/>
        <w:numPr>
          <w:ilvl w:val="0"/>
          <w:numId w:val="1012"/>
        </w:numPr>
      </w:pPr>
      <w:r>
        <w:t xml:space="preserve">Add first-class progress events for each competitor branch.</w:t>
      </w:r>
    </w:p>
    <w:p>
      <w:pPr>
        <w:pStyle w:val="Compact"/>
        <w:numPr>
          <w:ilvl w:val="0"/>
          <w:numId w:val="1012"/>
        </w:numPr>
      </w:pPr>
      <w:r>
        <w:t xml:space="preserve">Run the LangSmith and Future AGI evaluation suites regularly, compare their</w:t>
      </w:r>
      <w:r>
        <w:t xml:space="preserve"> </w:t>
      </w:r>
      <w:r>
        <w:t xml:space="preserve">results over time, and require human review when the two judges disagree.</w:t>
      </w:r>
    </w:p>
    <w:p>
      <w:pPr>
        <w:pStyle w:val="Compact"/>
        <w:numPr>
          <w:ilvl w:val="0"/>
          <w:numId w:val="1012"/>
        </w:numPr>
      </w:pPr>
      <w:r>
        <w:t xml:space="preserve">Pilot the workflow in several industries and review where coverage and</w:t>
      </w:r>
      <w:r>
        <w:t xml:space="preserve"> </w:t>
      </w:r>
      <w:r>
        <w:t xml:space="preserve">confidence disagree with a human analyst.</w:t>
      </w:r>
    </w:p>
    <w:p>
      <w:pPr>
        <w:pStyle w:val="Compact"/>
        <w:numPr>
          <w:ilvl w:val="0"/>
          <w:numId w:val="1012"/>
        </w:numPr>
      </w:pPr>
      <w:r>
        <w:t xml:space="preserve">Add authentication or deployment infrastructure only when a real hosting</w:t>
      </w:r>
      <w:r>
        <w:t xml:space="preserve"> </w:t>
      </w:r>
      <w:r>
        <w:t xml:space="preserve">requirement justifies it.</w:t>
      </w:r>
    </w:p>
    <w:p>
      <w:pPr>
        <w:pStyle w:val="Compact"/>
        <w:numPr>
          <w:ilvl w:val="0"/>
          <w:numId w:val="1012"/>
        </w:numPr>
      </w:pPr>
      <w:r>
        <w:t xml:space="preserve">Revisit A2A if an agent eventually becomes a separately deployed service or</w:t>
      </w:r>
      <w:r>
        <w:t xml:space="preserve"> </w:t>
      </w:r>
      <w:r>
        <w:t xml:space="preserve">a customer-controlled integration boundary.</w:t>
      </w:r>
    </w:p>
    <w:p>
      <w:pPr>
        <w:pStyle w:val="FirstParagraph"/>
      </w:pPr>
      <w:r>
        <w:t xml:space="preserve">The MVP now completes the intended path from discovery to a cited briefing.</w:t>
      </w:r>
      <w:r>
        <w:t xml:space="preserve"> </w:t>
      </w:r>
      <w:r>
        <w:t xml:space="preserve">The next useful work is operational learning: run it repeatedly, note where a</w:t>
      </w:r>
      <w:r>
        <w:t xml:space="preserve"> </w:t>
      </w:r>
      <w:r>
        <w:t xml:space="preserve">person has to correct it, and improve those parts before expanding the stack.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9" w:name="technology-references"/>
    <w:p>
      <w:pPr>
        <w:pStyle w:val="Heading2"/>
      </w:pPr>
      <w:r>
        <w:t xml:space="preserve">Technology references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FastAPI documentation</w:t>
        </w:r>
      </w:hyperlink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Streamlit documentation</w:t>
        </w:r>
      </w:hyperlink>
    </w:p>
    <w:p>
      <w:pPr>
        <w:pStyle w:val="Compact"/>
        <w:numPr>
          <w:ilvl w:val="0"/>
          <w:numId w:val="1013"/>
        </w:numPr>
      </w:pPr>
      <w:hyperlink r:id="rId54">
        <w:r>
          <w:rPr>
            <w:rStyle w:val="Hyperlink"/>
          </w:rPr>
          <w:t xml:space="preserve">LangGraph documentation</w:t>
        </w:r>
      </w:hyperlink>
    </w:p>
    <w:p>
      <w:pPr>
        <w:pStyle w:val="Compact"/>
        <w:numPr>
          <w:ilvl w:val="0"/>
          <w:numId w:val="1013"/>
        </w:numPr>
      </w:pPr>
      <w:hyperlink r:id="rId55">
        <w:r>
          <w:rPr>
            <w:rStyle w:val="Hyperlink"/>
          </w:rPr>
          <w:t xml:space="preserve">LangChain documentation</w:t>
        </w:r>
      </w:hyperlink>
    </w:p>
    <w:p>
      <w:pPr>
        <w:pStyle w:val="Compact"/>
        <w:numPr>
          <w:ilvl w:val="0"/>
          <w:numId w:val="1013"/>
        </w:numPr>
      </w:pPr>
      <w:hyperlink r:id="rId56">
        <w:r>
          <w:rPr>
            <w:rStyle w:val="Hyperlink"/>
          </w:rPr>
          <w:t xml:space="preserve">OpenAI API reference</w:t>
        </w:r>
      </w:hyperlink>
    </w:p>
    <w:p>
      <w:pPr>
        <w:pStyle w:val="Compact"/>
        <w:numPr>
          <w:ilvl w:val="0"/>
          <w:numId w:val="1013"/>
        </w:numPr>
      </w:pPr>
      <w:hyperlink r:id="rId57">
        <w:r>
          <w:rPr>
            <w:rStyle w:val="Hyperlink"/>
          </w:rPr>
          <w:t xml:space="preserve">You.com API documentation</w:t>
        </w:r>
      </w:hyperlink>
    </w:p>
    <w:p>
      <w:pPr>
        <w:pStyle w:val="Compact"/>
        <w:numPr>
          <w:ilvl w:val="0"/>
          <w:numId w:val="1013"/>
        </w:numPr>
      </w:pPr>
      <w:hyperlink r:id="rId58">
        <w:r>
          <w:rPr>
            <w:rStyle w:val="Hyperlink"/>
          </w:rPr>
          <w:t xml:space="preserve">Serper.dev documentation</w:t>
        </w:r>
      </w:hyperlink>
    </w:p>
    <w:p>
      <w:pPr>
        <w:pStyle w:val="Compact"/>
        <w:numPr>
          <w:ilvl w:val="0"/>
          <w:numId w:val="1013"/>
        </w:numPr>
      </w:pPr>
      <w:hyperlink r:id="rId59">
        <w:r>
          <w:rPr>
            <w:rStyle w:val="Hyperlink"/>
          </w:rPr>
          <w:t xml:space="preserve">Pinecone documentation</w:t>
        </w:r>
      </w:hyperlink>
    </w:p>
    <w:p>
      <w:pPr>
        <w:pStyle w:val="Compact"/>
        <w:numPr>
          <w:ilvl w:val="0"/>
          <w:numId w:val="1013"/>
        </w:numPr>
      </w:pPr>
      <w:hyperlink r:id="rId60">
        <w:r>
          <w:rPr>
            <w:rStyle w:val="Hyperlink"/>
          </w:rPr>
          <w:t xml:space="preserve">PostgreSQL documentation</w:t>
        </w:r>
      </w:hyperlink>
    </w:p>
    <w:p>
      <w:pPr>
        <w:pStyle w:val="Compact"/>
        <w:numPr>
          <w:ilvl w:val="0"/>
          <w:numId w:val="1013"/>
        </w:numPr>
      </w:pPr>
      <w:hyperlink r:id="rId61">
        <w:r>
          <w:rPr>
            <w:rStyle w:val="Hyperlink"/>
          </w:rPr>
          <w:t xml:space="preserve">SQLAlchemy documentation</w:t>
        </w:r>
      </w:hyperlink>
    </w:p>
    <w:p>
      <w:pPr>
        <w:pStyle w:val="Compact"/>
        <w:numPr>
          <w:ilvl w:val="0"/>
          <w:numId w:val="1013"/>
        </w:numPr>
      </w:pPr>
      <w:hyperlink r:id="rId62">
        <w:r>
          <w:rPr>
            <w:rStyle w:val="Hyperlink"/>
          </w:rPr>
          <w:t xml:space="preserve">Alembic documentation</w:t>
        </w:r>
      </w:hyperlink>
    </w:p>
    <w:p>
      <w:pPr>
        <w:pStyle w:val="Compact"/>
        <w:numPr>
          <w:ilvl w:val="0"/>
          <w:numId w:val="1013"/>
        </w:numPr>
      </w:pPr>
      <w:hyperlink r:id="rId63">
        <w:r>
          <w:rPr>
            <w:rStyle w:val="Hyperlink"/>
          </w:rPr>
          <w:t xml:space="preserve">Pydantic documentation</w:t>
        </w:r>
      </w:hyperlink>
    </w:p>
    <w:p>
      <w:pPr>
        <w:pStyle w:val="Compact"/>
        <w:numPr>
          <w:ilvl w:val="0"/>
          <w:numId w:val="1013"/>
        </w:numPr>
      </w:pPr>
      <w:hyperlink r:id="rId64">
        <w:r>
          <w:rPr>
            <w:rStyle w:val="Hyperlink"/>
          </w:rPr>
          <w:t xml:space="preserve">LangSmith documentation</w:t>
        </w:r>
      </w:hyperlink>
    </w:p>
    <w:p>
      <w:pPr>
        <w:pStyle w:val="Compact"/>
        <w:numPr>
          <w:ilvl w:val="0"/>
          <w:numId w:val="1013"/>
        </w:numPr>
      </w:pPr>
      <w:hyperlink r:id="rId65">
        <w:r>
          <w:rPr>
            <w:rStyle w:val="Hyperlink"/>
          </w:rPr>
          <w:t xml:space="preserve">Future AGI documentation</w:t>
        </w:r>
      </w:hyperlink>
    </w:p>
    <w:p>
      <w:pPr>
        <w:pStyle w:val="Compact"/>
        <w:numPr>
          <w:ilvl w:val="0"/>
          <w:numId w:val="1013"/>
        </w:numPr>
      </w:pPr>
      <w:hyperlink r:id="rId66">
        <w:r>
          <w:rPr>
            <w:rStyle w:val="Hyperlink"/>
          </w:rPr>
          <w:t xml:space="preserve">ReportLab user guide</w:t>
        </w:r>
      </w:hyperlink>
    </w:p>
    <w:p>
      <w:pPr>
        <w:pStyle w:val="Compact"/>
        <w:numPr>
          <w:ilvl w:val="0"/>
          <w:numId w:val="1013"/>
        </w:numPr>
      </w:pPr>
      <w:hyperlink r:id="rId67">
        <w:r>
          <w:rPr>
            <w:rStyle w:val="Hyperlink"/>
          </w:rPr>
          <w:t xml:space="preserve">pytest documentation</w:t>
        </w:r>
      </w:hyperlink>
    </w:p>
    <w:p>
      <w:pPr>
        <w:pStyle w:val="Compact"/>
        <w:numPr>
          <w:ilvl w:val="0"/>
          <w:numId w:val="1013"/>
        </w:numPr>
      </w:pPr>
      <w:hyperlink r:id="rId68">
        <w:r>
          <w:rPr>
            <w:rStyle w:val="VerbatimChar"/>
          </w:rPr>
          <w:t xml:space="preserve">uv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16" Target="media/rId16.png" /><Relationship Type="http://schemas.openxmlformats.org/officeDocument/2006/relationships/hyperlink" Id="rId10" Target="ARCHITECTURE.md" TargetMode="External" /><Relationship Type="http://schemas.openxmlformats.org/officeDocument/2006/relationships/hyperlink" Id="rId9" Target="SETUP.md" TargetMode="External" /><Relationship Type="http://schemas.openxmlformats.org/officeDocument/2006/relationships/hyperlink" Id="rId62" Target="https://alembic.sqlalchemy.org/" TargetMode="External" /><Relationship Type="http://schemas.openxmlformats.org/officeDocument/2006/relationships/hyperlink" Id="rId68" Target="https://docs.astral.sh/uv/" TargetMode="External" /><Relationship Type="http://schemas.openxmlformats.org/officeDocument/2006/relationships/hyperlink" Id="rId65" Target="https://docs.futureagi.com/" TargetMode="External" /><Relationship Type="http://schemas.openxmlformats.org/officeDocument/2006/relationships/hyperlink" Id="rId55" Target="https://docs.langchain.com/" TargetMode="External" /><Relationship Type="http://schemas.openxmlformats.org/officeDocument/2006/relationships/hyperlink" Id="rId54" Target="https://docs.langchain.com/langgraph" TargetMode="External" /><Relationship Type="http://schemas.openxmlformats.org/officeDocument/2006/relationships/hyperlink" Id="rId59" Target="https://docs.pinecone.io/" TargetMode="External" /><Relationship Type="http://schemas.openxmlformats.org/officeDocument/2006/relationships/hyperlink" Id="rId63" Target="https://docs.pydantic.dev/" TargetMode="External" /><Relationship Type="http://schemas.openxmlformats.org/officeDocument/2006/relationships/hyperlink" Id="rId67" Target="https://docs.pytest.org/" TargetMode="External" /><Relationship Type="http://schemas.openxmlformats.org/officeDocument/2006/relationships/hyperlink" Id="rId64" Target="https://docs.smith.langchain.com/" TargetMode="External" /><Relationship Type="http://schemas.openxmlformats.org/officeDocument/2006/relationships/hyperlink" Id="rId61" Target="https://docs.sqlalchemy.org/" TargetMode="External" /><Relationship Type="http://schemas.openxmlformats.org/officeDocument/2006/relationships/hyperlink" Id="rId53" Target="https://docs.streamlit.io/" TargetMode="External" /><Relationship Type="http://schemas.openxmlformats.org/officeDocument/2006/relationships/hyperlink" Id="rId52" Target="https://fastapi.tiangolo.com/" TargetMode="External" /><Relationship Type="http://schemas.openxmlformats.org/officeDocument/2006/relationships/hyperlink" Id="rId56" Target="https://platform.openai.com/docs" TargetMode="External" /><Relationship Type="http://schemas.openxmlformats.org/officeDocument/2006/relationships/hyperlink" Id="rId58" Target="https://serper.dev/" TargetMode="External" /><Relationship Type="http://schemas.openxmlformats.org/officeDocument/2006/relationships/hyperlink" Id="rId60" Target="https://www.postgresql.org/docs/" TargetMode="External" /><Relationship Type="http://schemas.openxmlformats.org/officeDocument/2006/relationships/hyperlink" Id="rId66" Target="https://www.reportlab.com/docs/reportlab-userguide.pdf" TargetMode="External" /><Relationship Type="http://schemas.openxmlformats.org/officeDocument/2006/relationships/hyperlink" Id="rId57" Target="https://you.com/docs/welc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RCHITECTURE.md" TargetMode="External" /><Relationship Type="http://schemas.openxmlformats.org/officeDocument/2006/relationships/hyperlink" Id="rId9" Target="SETUP.md" TargetMode="External" /><Relationship Type="http://schemas.openxmlformats.org/officeDocument/2006/relationships/hyperlink" Id="rId62" Target="https://alembic.sqlalchemy.org/" TargetMode="External" /><Relationship Type="http://schemas.openxmlformats.org/officeDocument/2006/relationships/hyperlink" Id="rId68" Target="https://docs.astral.sh/uv/" TargetMode="External" /><Relationship Type="http://schemas.openxmlformats.org/officeDocument/2006/relationships/hyperlink" Id="rId65" Target="https://docs.futureagi.com/" TargetMode="External" /><Relationship Type="http://schemas.openxmlformats.org/officeDocument/2006/relationships/hyperlink" Id="rId55" Target="https://docs.langchain.com/" TargetMode="External" /><Relationship Type="http://schemas.openxmlformats.org/officeDocument/2006/relationships/hyperlink" Id="rId54" Target="https://docs.langchain.com/langgraph" TargetMode="External" /><Relationship Type="http://schemas.openxmlformats.org/officeDocument/2006/relationships/hyperlink" Id="rId59" Target="https://docs.pinecone.io/" TargetMode="External" /><Relationship Type="http://schemas.openxmlformats.org/officeDocument/2006/relationships/hyperlink" Id="rId63" Target="https://docs.pydantic.dev/" TargetMode="External" /><Relationship Type="http://schemas.openxmlformats.org/officeDocument/2006/relationships/hyperlink" Id="rId67" Target="https://docs.pytest.org/" TargetMode="External" /><Relationship Type="http://schemas.openxmlformats.org/officeDocument/2006/relationships/hyperlink" Id="rId64" Target="https://docs.smith.langchain.com/" TargetMode="External" /><Relationship Type="http://schemas.openxmlformats.org/officeDocument/2006/relationships/hyperlink" Id="rId61" Target="https://docs.sqlalchemy.org/" TargetMode="External" /><Relationship Type="http://schemas.openxmlformats.org/officeDocument/2006/relationships/hyperlink" Id="rId53" Target="https://docs.streamlit.io/" TargetMode="External" /><Relationship Type="http://schemas.openxmlformats.org/officeDocument/2006/relationships/hyperlink" Id="rId52" Target="https://fastapi.tiangolo.com/" TargetMode="External" /><Relationship Type="http://schemas.openxmlformats.org/officeDocument/2006/relationships/hyperlink" Id="rId56" Target="https://platform.openai.com/docs" TargetMode="External" /><Relationship Type="http://schemas.openxmlformats.org/officeDocument/2006/relationships/hyperlink" Id="rId58" Target="https://serper.dev/" TargetMode="External" /><Relationship Type="http://schemas.openxmlformats.org/officeDocument/2006/relationships/hyperlink" Id="rId60" Target="https://www.postgresql.org/docs/" TargetMode="External" /><Relationship Type="http://schemas.openxmlformats.org/officeDocument/2006/relationships/hyperlink" Id="rId66" Target="https://www.reportlab.com/docs/reportlab-userguide.pdf" TargetMode="External" /><Relationship Type="http://schemas.openxmlformats.org/officeDocument/2006/relationships/hyperlink" Id="rId57" Target="https://you.com/docs/welc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2026-09-02T02:11:46Z</dcterms:created>
  <dcterms:modified xsi:type="dcterms:W3CDTF">2026-09-02T02:11:46Z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