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ins w:id="1">
        <w:del w:id="2">
          <w:ins w:id="1">
            <w:del w:id="2">
              <w:ins w:id="1">
                <w:del w:id="2">
                  <w:ins w:id="1">
                    <w:del w:id="2">
                      <w:ins w:id="1">
                        <w:del w:id="2">
                          <w:ins w:id="1">
                            <w:del w:id="2">
                              <w:ins w:id="1">
                                <w:del w:id="2">
                                  <w:ins w:id="1">
                                    <w:del w:id="2">
                                      <w:ins w:id="1">
                                        <w:del w:id="2">
                                          <w:ins w:id="1">
                                            <w:del w:id="2">
                                              <w:ins w:id="1">
                                                <w:del w:id="2">
                                                  <w:ins w:id="1">
                                                    <w:del w:id="2">
                                                      <w:ins w:id="1">
                                                        <w:del w:id="2">
                                                          <w:ins w:id="1">
                                                            <w:del w:id="2">
                                                              <w:ins w:id="1">
                                                                <w:del w:id="2">
                                                                  <w:ins w:id="1">
                                                                    <w:del w:id="2">
                                                                      <w:ins w:id="1">
                                                                        <w:del w:id="2">
                                                                          <w:ins w:id="1">
                                                                            <w:del w:id="2">
                                                                              <w:ins w:id="1">
                                                                                <w:del w:id="2">
                                                                                  <w:ins w:id="1">
                                                                                    <w:del w:id="2">
                                                                                      <w:ins w:id="1">
                                                                                        <w:del w:id="2">
                                                                                          <w:ins w:id="1">
                                                                                            <w:del w:id="2">
                                                                                              <w:ins w:id="1">
                                                                                                <w:del w:id="2">
                                                                                                  <w:ins w:id="1">
                                                                                                    <w:del w:id="2">
                                                                                                      <w:ins w:id="1">
                                                                                                        <w:del w:id="2">
                                                                                                          <w:ins w:id="1">
                                                                                                            <w:del w:id="2">
                                                                                                              <w:ins w:id="1">
                                                                                                                <w:del w:id="2">
                                                                                                                  <w:ins w:id="1">
                                                                                                                    <w:del w:id="2">
                                                                                                                      <w:ins w:id="1">
                                                                                                                        <w:del w:id="2">
                                                                                                                          <w:ins w:id="1">
                                                                                                                            <w:del w:id="2">
                                                                                                                              <w:ins w:id="1">
                                                                                                                                <w:del w:id="2">
                                                                                                                                  <w:ins w:id="1">
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                                    <w:ins w:id="1">
                                                                                                                                                                                                            <w:del w:id="2">
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<w:t>nested</w:t>
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</w:del>
                                                                                                                                      </w:ins>
                                                                                                                                    </w:del>
                                                                                                                                  </w:ins>
                                                                                                                                </w:del>
                                                                                                                              </w:ins>
                                                                                                                            </w:del>
                                                                                                                          </w:ins>
                                                                                                                        </w:del>
                                                                                                                      </w:ins>
                                                                                                                    </w:del>
                                                                                                                  </w:ins>
                                                                                                                </w:del>
                                                                                                              </w:ins>
                                                                                                            </w:del>
                                                                                                          </w:ins>
                                                                                                        </w:del>
                                                                                                      </w:ins>
                                                                                                    </w:del>
                                                                                                  </w:ins>
                                                                                                </w:del>
                                                                                              </w:ins>
                                                                                            </w:del>
                                                                                          </w:ins>
                                                                                        </w:del>
                                                                                      </w:ins>
                                                                                    </w:del>
                                                                                  </w:ins>
                                                                                </w:del>
                                                                              </w:ins>
                                                                            </w:del>
                                                                          </w:ins>
                                                                        </w:del>
                                                                      </w:ins>
                                                                    </w:del>
                                                                  </w:ins>
                                                                </w:del>
                                                              </w:ins>
                                                            </w:del>
                                                          </w:ins>
                                                        </w:del>
                                                      </w:ins>
                                                    </w:del>
                                                  </w:ins>
                                                </w:del>
                                              </w:ins>
                                            </w:del>
                                          </w:ins>
                                        </w:del>
                                      </w:ins>
                                    </w:del>
                                  </w:ins>
                                </w:del>
                              </w:ins>
                            </w:del>
                          </w:ins>
                        </w:del>
                      </w:ins>
                    </w:del>
                  </w:ins>
                </w:del>
              </w:ins>
            </w:del>
          </w:ins>
        </w:del>
      </w:ins>
      <w:r>
        <w:drawing>
          <wp:inline xmlns:wp="http://schemas.openxmlformats.org/drawingml/2006/wordprocessingDrawing">
            <wp:extent cx="999999999999999999999999999999" cy="-5"/>
            <wp:docPr id="1" name="x" descr="__proto__"/>
            <a:blip xmlns:a="http://schemas.openxmlformats.org/drawingml/2006/main" xmlns:r="http://schemas.openxmlformats.org/officeDocument/2006/relationships" r:embed="missing"/>
          </wp:inline>
        </w:drawing>
      </w:r>
      <w:r>
        <w:pict>
          <v:shape xmlns:v="urn:schemas-microsoft-com:vml" style="width:1e309pt;height:-5in;width:3pt" alt="constructor"/>
        </w:pict>
      </w:r>
    </w:p>
  </w:body>
</w:document>
</file>