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Legacy Word fixture</w:t>
      </w:r>
    </w:p>
    <w:p>
      <w:pPr>
        <w:pStyle w:val="Normal"/>
        <w:bidi w:val="0"/>
        <w:rPr/>
      </w:pPr>
      <w:r>
        <w:rPr/>
        <w:t>Paragraph with café, €12, and a visible field result: July 4, 2026.</w:t>
      </w:r>
    </w:p>
    <w:p>
      <w:pPr>
        <w:pStyle w:val="Heading2"/>
        <w:bidi w:val="0"/>
        <w:ind w:hanging="0" w:start="0"/>
        <w:rPr/>
      </w:pPr>
      <w:r>
        <w:rPr/>
        <w:t>Second heading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Item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Count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Paper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rPr/>
            </w:pPr>
            <w:r>
              <w:rPr/>
              <w:t>3</w:t>
            </w:r>
          </w:p>
        </w:tc>
      </w:tr>
    </w:tbl>
    <w:p>
      <w:pPr>
        <w:pStyle w:val="Normal"/>
        <w:bidi w:val="0"/>
        <w:rPr/>
      </w:pPr>
      <w:r>
        <w:rPr/>
        <w:t>Final paragraph for text recall.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