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Field Notes: Tidal Gardens</w:t>
      </w:r>
    </w:p>
    <w:p>
      <w:pPr>
        <w:pStyle w:val="Normal"/>
        <w:bidi w:val="0"/>
        <w:rPr/>
      </w:pPr>
      <w:r>
        <w:rPr/>
        <w:t>A synthetic observation log for parser testing.</w:t>
      </w:r>
    </w:p>
    <w:p>
      <w:pPr>
        <w:pStyle w:val="Heading2"/>
        <w:bidi w:val="0"/>
        <w:ind w:hanging="0" w:start="0"/>
        <w:rPr/>
      </w:pPr>
      <w:r>
        <w:rPr/>
        <w:t>Site Overview</w:t>
      </w:r>
    </w:p>
    <w:p>
      <w:pPr>
        <w:pStyle w:val="Normal"/>
        <w:bidi w:val="0"/>
        <w:rPr/>
      </w:pPr>
      <w:r>
        <w:rPr/>
        <w:t xml:space="preserve">Plot A is a </w:t>
      </w:r>
      <w:hyperlink r:id="rId2">
        <w:r>
          <w:rPr>
            <w:rStyle w:val="Hyperlink"/>
          </w:rPr>
          <w:t>documented shoreline site</w:t>
        </w:r>
      </w:hyperlink>
      <w:r>
        <w:rPr/>
        <w:t>.</w:t>
      </w:r>
    </w:p>
    <w:p>
      <w:pPr>
        <w:pStyle w:val="Normal"/>
        <w:numPr>
          <w:ilvl w:val="0"/>
          <w:numId w:val="0"/>
        </w:numPr>
        <w:bidi w:val="0"/>
        <w:ind w:start="720"/>
        <w:outlineLvl w:val="2"/>
        <w:rPr/>
      </w:pPr>
      <w:r>
        <w:rPr/>
        <w:t>Custom Outline Level Three</w:t>
      </w:r>
    </w:p>
    <w:p>
      <w:pPr>
        <w:pStyle w:val="Normal"/>
        <w:bidi w:val="0"/>
        <w:rPr/>
      </w:pPr>
      <w:r>
        <w:rPr/>
        <w:t>This heading uses a custom style name and an explicit outline level.</w:t>
      </w:r>
    </w:p>
    <w:p>
      <w:pPr>
        <w:pStyle w:val="Heading2"/>
        <w:bidi w:val="0"/>
        <w:ind w:hanging="0" w:start="0"/>
        <w:rPr/>
      </w:pPr>
      <w:r>
        <w:rPr/>
        <w:t>Field Team</w:t>
      </w:r>
    </w:p>
    <w:p>
      <w:pPr>
        <w:pStyle w:val="Normal"/>
        <w:bidi w:val="0"/>
        <w:rPr/>
      </w:pPr>
      <w:r>
        <w:rPr/>
        <w:t>Members record salinity, shade, and plant cover. This synthetic observation explains how notes move from the first column to the second during a long field report.</w:t>
      </w:r>
    </w:p>
    <w:p>
      <w:pPr>
        <w:pStyle w:val="Normal"/>
        <w:bidi w:val="0"/>
        <w:rPr/>
      </w:pPr>
      <w:r>
        <w:rPr/>
        <w:t>Reading-order marker 01: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02: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03: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04: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05: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06: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07: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08: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09: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10: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11: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12: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13: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14: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15: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16: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17: east marsh samples are logged before west marsh samples in this invented field exercise.</w:t>
      </w:r>
    </w:p>
    <w:p>
      <w:pPr>
        <w:pStyle w:val="Normal"/>
        <w:bidi w:val="0"/>
        <w:rPr/>
      </w:pPr>
      <w:r>
        <w:rPr/>
        <w:t>Reading-order marker 18: east marsh samples are logged before west marsh samples in this invented field exercise.</w:t>
      </w:r>
    </w:p>
    <w:sectPr>
      <w:headerReference w:type="default" r:id="rId3"/>
      <w:footerReference w:type="default" r:id="rId4"/>
      <w:type w:val="nextPage"/>
      <w:pgSz w:w="12240" w:h="15840"/>
      <w:pgMar w:left="864" w:right="864" w:gutter="0" w:header="864" w:top="1147" w:footer="864" w:bottom="1147"/>
      <w:pgNumType w:fmt="decimal"/>
      <w:cols w:num="2" w:space="504" w:equalWidth="true" w:sep="false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 xml:space="preserve">Field Notes Footer —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Field Notes Header — Synthetic CC0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pageBreakBefore/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invalid/tidal/plot-a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