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12BA797C" w:rsidR="00D02451" w:rsidRPr="00A2001B" w:rsidRDefault="00857BB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Configure the Incident </w:t>
      </w:r>
      <w:r w:rsidR="005C1F4E">
        <w:rPr>
          <w:rFonts w:cs="Arial"/>
          <w:color w:val="C00000"/>
        </w:rPr>
        <w:t xml:space="preserve">OLA </w:t>
      </w:r>
      <w:r>
        <w:rPr>
          <w:rFonts w:cs="Arial"/>
          <w:color w:val="C00000"/>
        </w:rPr>
        <w:t>Data Source</w:t>
      </w:r>
      <w:r w:rsidR="004443A8">
        <w:rPr>
          <w:rFonts w:cs="Arial"/>
          <w:color w:val="C00000"/>
        </w:rPr>
        <w:t xml:space="preserve">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  <w:bookmarkStart w:id="1" w:name="_GoBack"/>
      <w:bookmarkEnd w:id="1"/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74976B89" w:rsidR="00115FED" w:rsidRPr="004D3E8B" w:rsidRDefault="0086410A" w:rsidP="00157A90">
      <w:pPr>
        <w:rPr>
          <w:rFonts w:cs="Arial"/>
          <w:color w:val="333333"/>
          <w:sz w:val="22"/>
          <w:szCs w:val="22"/>
          <w:shd w:val="clear" w:color="auto" w:fill="FFFFFF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 xml:space="preserve">The </w:t>
      </w:r>
      <w:r w:rsidR="00C21858">
        <w:rPr>
          <w:rFonts w:cs="Arial"/>
          <w:color w:val="333333"/>
          <w:sz w:val="22"/>
          <w:szCs w:val="22"/>
          <w:shd w:val="clear" w:color="auto" w:fill="FFFFFF"/>
        </w:rPr>
        <w:t xml:space="preserve">Incident OLA </w:t>
      </w:r>
      <w:r>
        <w:rPr>
          <w:rFonts w:cs="Arial"/>
          <w:color w:val="333333"/>
          <w:sz w:val="22"/>
          <w:szCs w:val="22"/>
          <w:shd w:val="clear" w:color="auto" w:fill="FFFFFF"/>
        </w:rPr>
        <w:t>Service T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arget processing life cycle logic is built into the </w:t>
      </w:r>
      <w:r w:rsidR="00990F35">
        <w:rPr>
          <w:rFonts w:cs="Arial"/>
          <w:color w:val="333333"/>
          <w:sz w:val="22"/>
          <w:szCs w:val="22"/>
          <w:shd w:val="clear" w:color="auto" w:fill="FFFFFF"/>
        </w:rPr>
        <w:t>Data Source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 filters or rules. If any of the filters are not built, then the rules logic is broken. </w:t>
      </w:r>
      <w:r w:rsidR="00DC4234" w:rsidRPr="004D3E8B">
        <w:rPr>
          <w:rFonts w:cs="Arial"/>
          <w:color w:val="333333"/>
          <w:sz w:val="22"/>
          <w:szCs w:val="22"/>
          <w:shd w:val="clear" w:color="auto" w:fill="FFFFFF"/>
        </w:rPr>
        <w:t>For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 the </w:t>
      </w:r>
      <w:r w:rsidR="00C21858">
        <w:rPr>
          <w:rFonts w:cs="Arial"/>
          <w:color w:val="333333"/>
          <w:sz w:val="22"/>
          <w:szCs w:val="22"/>
          <w:shd w:val="clear" w:color="auto" w:fill="FFFFFF"/>
        </w:rPr>
        <w:t xml:space="preserve">Incident OLA </w:t>
      </w:r>
      <w:r>
        <w:rPr>
          <w:rFonts w:cs="Arial"/>
          <w:color w:val="333333"/>
          <w:sz w:val="22"/>
          <w:szCs w:val="22"/>
          <w:shd w:val="clear" w:color="auto" w:fill="FFFFFF"/>
        </w:rPr>
        <w:t>S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ervice </w:t>
      </w:r>
      <w:r>
        <w:rPr>
          <w:rFonts w:cs="Arial"/>
          <w:color w:val="333333"/>
          <w:sz w:val="22"/>
          <w:szCs w:val="22"/>
          <w:shd w:val="clear" w:color="auto" w:fill="FFFFFF"/>
        </w:rPr>
        <w:t>T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arget to process correctly, 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Data Sources must be configured correctly before </w:t>
      </w:r>
      <w:r w:rsidR="00C21858">
        <w:rPr>
          <w:rFonts w:cs="Arial"/>
          <w:color w:val="333333"/>
          <w:sz w:val="22"/>
          <w:szCs w:val="22"/>
          <w:shd w:val="clear" w:color="auto" w:fill="FFFFFF"/>
        </w:rPr>
        <w:t xml:space="preserve">Incident OLA </w:t>
      </w:r>
      <w:r>
        <w:rPr>
          <w:rFonts w:cs="Arial"/>
          <w:color w:val="333333"/>
          <w:sz w:val="22"/>
          <w:szCs w:val="22"/>
          <w:shd w:val="clear" w:color="auto" w:fill="FFFFFF"/>
        </w:rPr>
        <w:t>Service Targets are created.</w:t>
      </w:r>
      <w:r w:rsidR="004D3E8B" w:rsidRPr="004D3E8B">
        <w:rPr>
          <w:rFonts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5EAD845F" w14:textId="77777777" w:rsidR="004D3E8B" w:rsidRDefault="004D3E8B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36C061A5" w:rsidR="00115FED" w:rsidRPr="00DB405D" w:rsidRDefault="00DB405D" w:rsidP="00AC7746">
      <w:pPr>
        <w:numPr>
          <w:ilvl w:val="0"/>
          <w:numId w:val="27"/>
        </w:num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E94B60" w:rsidRPr="00DB405D">
        <w:rPr>
          <w:rStyle w:val="Hyperlink"/>
          <w:rFonts w:cs="Arial"/>
          <w:sz w:val="22"/>
          <w:szCs w:val="22"/>
        </w:rPr>
        <w:t>IT Service Management</w:t>
      </w:r>
      <w:r w:rsidR="00E94B60" w:rsidRPr="00DB405D">
        <w:rPr>
          <w:rStyle w:val="Hyperlink"/>
          <w:rFonts w:cs="Arial"/>
          <w:sz w:val="22"/>
          <w:szCs w:val="22"/>
        </w:rPr>
        <w:t xml:space="preserve"> </w:t>
      </w:r>
      <w:r w:rsidR="00E94B60" w:rsidRPr="00DB405D">
        <w:rPr>
          <w:rStyle w:val="Hyperlink"/>
          <w:rFonts w:cs="Arial"/>
          <w:sz w:val="22"/>
          <w:szCs w:val="22"/>
        </w:rPr>
        <w:t>Policy</w:t>
      </w:r>
    </w:p>
    <w:p w14:paraId="4A2DDBDC" w14:textId="7DE8D84B" w:rsidR="00157A90" w:rsidRPr="006108A0" w:rsidRDefault="00DB405D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4D3E8B" w:rsidRDefault="00157A90" w:rsidP="00115FED">
      <w:pPr>
        <w:rPr>
          <w:rFonts w:cs="Arial"/>
          <w:sz w:val="22"/>
          <w:szCs w:val="22"/>
        </w:rPr>
      </w:pPr>
      <w:r w:rsidRPr="004D3E8B">
        <w:rPr>
          <w:rFonts w:cs="Arial"/>
          <w:sz w:val="22"/>
          <w:szCs w:val="22"/>
        </w:rPr>
        <w:t>The following groups are responsible</w:t>
      </w:r>
      <w:r w:rsidR="00115FED" w:rsidRPr="004D3E8B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4D3E8B" w:rsidRDefault="00ED5AC8" w:rsidP="00AC7746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4D3E8B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EDFBA" w14:textId="78C38E3C" w:rsidR="00857BB3" w:rsidRPr="00BA134F" w:rsidRDefault="00857BB3" w:rsidP="00857BB3">
            <w:p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Access the </w:t>
            </w:r>
            <w:r>
              <w:rPr>
                <w:rFonts w:cs="Arial"/>
                <w:sz w:val="22"/>
                <w:szCs w:val="22"/>
              </w:rPr>
              <w:t>Data Sources</w:t>
            </w:r>
            <w:r w:rsidRPr="00BA134F">
              <w:rPr>
                <w:rFonts w:cs="Arial"/>
                <w:sz w:val="22"/>
                <w:szCs w:val="22"/>
              </w:rPr>
              <w:t xml:space="preserve"> section of Remedy </w:t>
            </w:r>
            <w:r w:rsidR="00EC2CEA">
              <w:rPr>
                <w:rFonts w:cs="Arial"/>
                <w:sz w:val="22"/>
                <w:szCs w:val="22"/>
              </w:rPr>
              <w:t>in order to verify if the required Data Source exists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7449E7CA" w14:textId="77777777" w:rsidR="00857BB3" w:rsidRPr="00BA134F" w:rsidRDefault="00857BB3" w:rsidP="00857BB3">
            <w:pPr>
              <w:rPr>
                <w:rFonts w:cs="Arial"/>
                <w:sz w:val="22"/>
                <w:szCs w:val="22"/>
              </w:rPr>
            </w:pPr>
          </w:p>
          <w:p w14:paraId="524E2F16" w14:textId="77777777" w:rsidR="00857BB3" w:rsidRPr="00BA134F" w:rsidRDefault="00857BB3" w:rsidP="00857BB3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1C713ED4" w14:textId="77777777" w:rsidR="00857BB3" w:rsidRPr="00BA134F" w:rsidRDefault="00857BB3" w:rsidP="00857BB3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3F840AB4" w14:textId="77777777" w:rsidR="00857BB3" w:rsidRPr="00BA134F" w:rsidRDefault="00857BB3" w:rsidP="00857BB3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3431CFFC" w14:textId="240F7AEE" w:rsidR="00857BB3" w:rsidRPr="004443A8" w:rsidRDefault="00857BB3" w:rsidP="004B6FDA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2DA4E6B6" w14:textId="00EBB5EF" w:rsidR="00857BB3" w:rsidRPr="00BA134F" w:rsidRDefault="00857BB3" w:rsidP="004443A8">
            <w:pPr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67A67854" wp14:editId="0F91635D">
                  <wp:extent cx="2395391" cy="1034035"/>
                  <wp:effectExtent l="0" t="0" r="5080" b="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391" cy="10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3B18E" w14:textId="347A4AE6" w:rsidR="00857BB3" w:rsidRPr="00BA134F" w:rsidRDefault="00857BB3" w:rsidP="00857BB3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Go to the </w:t>
            </w:r>
            <w:r>
              <w:rPr>
                <w:rFonts w:cs="Arial"/>
                <w:sz w:val="22"/>
                <w:szCs w:val="22"/>
              </w:rPr>
              <w:t>“Configure Application Settings”</w:t>
            </w:r>
            <w:r w:rsidRPr="00BA134F">
              <w:rPr>
                <w:rFonts w:cs="Arial"/>
                <w:sz w:val="22"/>
                <w:szCs w:val="22"/>
              </w:rPr>
              <w:t xml:space="preserve"> section.</w:t>
            </w:r>
          </w:p>
          <w:p w14:paraId="1C2F5B78" w14:textId="77777777" w:rsidR="00857BB3" w:rsidRPr="00857BB3" w:rsidRDefault="00857BB3" w:rsidP="00857BB3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5FD4DDFD" w14:textId="77777777" w:rsidR="00857BB3" w:rsidRPr="00857BB3" w:rsidRDefault="00857BB3" w:rsidP="00857BB3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15EF90EA" w14:textId="77777777" w:rsidR="00AC7746" w:rsidRPr="00857BB3" w:rsidRDefault="00857BB3" w:rsidP="00857BB3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857BB3">
              <w:rPr>
                <w:rFonts w:cs="Arial"/>
                <w:sz w:val="22"/>
                <w:szCs w:val="22"/>
              </w:rPr>
              <w:t>Click “Configure Applications Settings”.</w:t>
            </w:r>
          </w:p>
          <w:p w14:paraId="4317F67A" w14:textId="12BA140F" w:rsidR="008A1C99" w:rsidRPr="004443A8" w:rsidRDefault="00857BB3" w:rsidP="00E33E8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cs="Arial"/>
                <w:sz w:val="22"/>
                <w:szCs w:val="22"/>
              </w:rPr>
              <w:t>Click “Data Source”</w:t>
            </w:r>
          </w:p>
          <w:p w14:paraId="7AFC58F4" w14:textId="7DA3E0C0" w:rsidR="008A1C99" w:rsidRDefault="008A1C99" w:rsidP="008A1C9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list of Data Sources will appear.</w:t>
            </w:r>
          </w:p>
          <w:p w14:paraId="12F2219C" w14:textId="3345821C" w:rsidR="008A1C99" w:rsidRDefault="008A1C99" w:rsidP="008A1C9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“Data Source” on the blue bar to put them in alphabetical order.</w:t>
            </w:r>
          </w:p>
          <w:p w14:paraId="0C9D3515" w14:textId="0894586D" w:rsidR="00BC5E4C" w:rsidRPr="00BC5E4C" w:rsidRDefault="00BC5E4C" w:rsidP="00BC5E4C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incident data source is named “</w:t>
            </w:r>
            <w:proofErr w:type="spellStart"/>
            <w:r>
              <w:rPr>
                <w:rFonts w:cs="Arial"/>
                <w:sz w:val="22"/>
                <w:szCs w:val="22"/>
              </w:rPr>
              <w:t>HPD:Help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Desk”.  Continue to Step 2 to configure the data source.</w:t>
            </w:r>
          </w:p>
          <w:p w14:paraId="28FED710" w14:textId="0DB87AA5" w:rsidR="00857BB3" w:rsidRPr="00857BB3" w:rsidRDefault="008A1C99" w:rsidP="004443A8">
            <w:pPr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BB76F23" wp14:editId="508521CC">
                  <wp:extent cx="3053365" cy="125659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65" cy="1256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80E30" w14:textId="734B08C8" w:rsidR="00AC7746" w:rsidRPr="00C21858" w:rsidRDefault="00BC5E4C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C21858">
              <w:rPr>
                <w:rFonts w:ascii="Arial" w:hAnsi="Arial" w:cs="Arial"/>
                <w:b/>
                <w:sz w:val="22"/>
                <w:szCs w:val="22"/>
              </w:rPr>
              <w:t>Configure the</w:t>
            </w:r>
            <w:r w:rsidR="00574BE7" w:rsidRPr="00C21858">
              <w:rPr>
                <w:rFonts w:ascii="Arial" w:hAnsi="Arial" w:cs="Arial"/>
                <w:b/>
                <w:sz w:val="22"/>
                <w:szCs w:val="22"/>
              </w:rPr>
              <w:t xml:space="preserve"> I</w:t>
            </w:r>
            <w:r w:rsidRPr="00C21858">
              <w:rPr>
                <w:rFonts w:ascii="Arial" w:hAnsi="Arial" w:cs="Arial"/>
                <w:b/>
                <w:sz w:val="22"/>
                <w:szCs w:val="22"/>
              </w:rPr>
              <w:t xml:space="preserve">ncident </w:t>
            </w:r>
            <w:r w:rsidR="00C21858">
              <w:rPr>
                <w:rFonts w:ascii="Arial" w:hAnsi="Arial" w:cs="Arial"/>
                <w:b/>
                <w:sz w:val="22"/>
                <w:szCs w:val="22"/>
              </w:rPr>
              <w:t xml:space="preserve">OLA </w:t>
            </w:r>
            <w:r w:rsidR="00574BE7" w:rsidRPr="00C21858">
              <w:rPr>
                <w:rFonts w:ascii="Arial" w:hAnsi="Arial" w:cs="Arial"/>
                <w:b/>
                <w:sz w:val="22"/>
                <w:szCs w:val="22"/>
              </w:rPr>
              <w:t>Data S</w:t>
            </w:r>
            <w:r w:rsidRPr="00C21858">
              <w:rPr>
                <w:rFonts w:ascii="Arial" w:hAnsi="Arial" w:cs="Arial"/>
                <w:b/>
                <w:sz w:val="22"/>
                <w:szCs w:val="22"/>
              </w:rPr>
              <w:t>ource:</w:t>
            </w:r>
          </w:p>
          <w:p w14:paraId="0D04BC74" w14:textId="1DEC20B0" w:rsidR="00BC5E4C" w:rsidRDefault="00BC5E4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6AECA45" w14:textId="379FF99D" w:rsidR="00BC5E4C" w:rsidRDefault="00BC5E4C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the “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HPD:Help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Desk” data source in the “Configure Service Target Data Source” section at the top of the screen.</w:t>
            </w:r>
          </w:p>
          <w:p w14:paraId="0F37D5F4" w14:textId="7149C28B" w:rsidR="00BC5E4C" w:rsidRDefault="00BC5E4C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lower section of the screen is the “Data Source Settings” box.  Click the “Request-Based” tab.</w:t>
            </w:r>
          </w:p>
          <w:p w14:paraId="0AC3AAFF" w14:textId="70BBB592" w:rsidR="00BC5E4C" w:rsidRDefault="00BC5E4C" w:rsidP="004443A8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08F7FB" wp14:editId="5F699666">
                  <wp:extent cx="3545403" cy="15511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880" cy="156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ED075" w14:textId="485562C5" w:rsidR="00BC5E4C" w:rsidRDefault="00BC5E4C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“Start Time for Request-Based SVTs” field will contain “Reported Date+”.</w:t>
            </w:r>
          </w:p>
          <w:p w14:paraId="02905D1C" w14:textId="67CA340D" w:rsidR="00BC5E4C" w:rsidRDefault="00BC5E4C" w:rsidP="00BC5E4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change needs to be made.</w:t>
            </w:r>
          </w:p>
          <w:p w14:paraId="533BD1AE" w14:textId="56FB6924" w:rsidR="00BC5E4C" w:rsidRDefault="00BC5E4C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“Define” button.</w:t>
            </w:r>
          </w:p>
          <w:p w14:paraId="05FD6C9D" w14:textId="6BD060AA" w:rsidR="00BC5E4C" w:rsidRDefault="00BC5E4C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“</w:t>
            </w:r>
            <w:r w:rsidRPr="00BC5E4C">
              <w:rPr>
                <w:rFonts w:ascii="Arial" w:hAnsi="Arial" w:cs="Arial"/>
                <w:sz w:val="22"/>
                <w:szCs w:val="22"/>
              </w:rPr>
              <w:t>'Priority' != '</w:t>
            </w:r>
            <w:proofErr w:type="spellStart"/>
            <w:r w:rsidRPr="00BC5E4C">
              <w:rPr>
                <w:rFonts w:ascii="Arial" w:hAnsi="Arial" w:cs="Arial"/>
                <w:sz w:val="22"/>
                <w:szCs w:val="22"/>
              </w:rPr>
              <w:t>DB.Priority</w:t>
            </w:r>
            <w:proofErr w:type="spellEnd"/>
            <w:r w:rsidRPr="00BC5E4C">
              <w:rPr>
                <w:rFonts w:ascii="Arial" w:hAnsi="Arial" w:cs="Arial"/>
                <w:sz w:val="22"/>
                <w:szCs w:val="22"/>
              </w:rPr>
              <w:t>'</w:t>
            </w:r>
            <w:r>
              <w:rPr>
                <w:rFonts w:ascii="Arial" w:hAnsi="Arial" w:cs="Arial"/>
                <w:sz w:val="22"/>
                <w:szCs w:val="22"/>
              </w:rPr>
              <w:t>” in the “</w:t>
            </w:r>
            <w:r w:rsidR="008C1068">
              <w:rPr>
                <w:rFonts w:ascii="Arial" w:hAnsi="Arial" w:cs="Arial"/>
                <w:sz w:val="22"/>
                <w:szCs w:val="22"/>
              </w:rPr>
              <w:t>Qualifications” field.</w:t>
            </w:r>
          </w:p>
          <w:p w14:paraId="34195A1C" w14:textId="6A2031B5" w:rsidR="008C1068" w:rsidRDefault="008C1068" w:rsidP="00BC5E4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the box for “Use Transaction Field Value”.</w:t>
            </w:r>
          </w:p>
          <w:p w14:paraId="796A22A4" w14:textId="61A232BB" w:rsidR="008C1068" w:rsidRPr="004443A8" w:rsidRDefault="00A8486D" w:rsidP="00C27FF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“OK” button.</w:t>
            </w:r>
          </w:p>
          <w:p w14:paraId="3FCA2F8F" w14:textId="2687A1F0" w:rsidR="00BC5E4C" w:rsidRPr="00BC5E4C" w:rsidRDefault="00FD45B4" w:rsidP="004443A8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5C4722" wp14:editId="5FD7A086">
                  <wp:extent cx="3593206" cy="1673647"/>
                  <wp:effectExtent l="0" t="0" r="762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262" cy="17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574BE7" w:rsidRDefault="00016922" w:rsidP="0006055C">
            <w:pPr>
              <w:pStyle w:val="StepsNumber"/>
              <w:rPr>
                <w:rFonts w:cs="Arial"/>
                <w:b w:val="0"/>
              </w:rPr>
            </w:pPr>
            <w:r w:rsidRPr="00574BE7">
              <w:rPr>
                <w:rFonts w:cs="Arial"/>
                <w:b w:val="0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4C36F3" w14:textId="693A1F58" w:rsidR="00AC7746" w:rsidRPr="00574BE7" w:rsidRDefault="00A8486D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574BE7">
              <w:rPr>
                <w:rFonts w:ascii="Arial" w:hAnsi="Arial" w:cs="Arial"/>
                <w:sz w:val="22"/>
                <w:szCs w:val="22"/>
              </w:rPr>
              <w:t xml:space="preserve">Modify Fields for </w:t>
            </w:r>
            <w:r w:rsidR="00574BE7">
              <w:rPr>
                <w:rFonts w:ascii="Arial" w:hAnsi="Arial" w:cs="Arial"/>
                <w:sz w:val="22"/>
                <w:szCs w:val="22"/>
              </w:rPr>
              <w:t>I</w:t>
            </w:r>
            <w:r w:rsidRPr="00574BE7">
              <w:rPr>
                <w:rFonts w:ascii="Arial" w:hAnsi="Arial" w:cs="Arial"/>
                <w:sz w:val="22"/>
                <w:szCs w:val="22"/>
              </w:rPr>
              <w:t xml:space="preserve">ncident </w:t>
            </w:r>
            <w:r w:rsidR="00574BE7">
              <w:rPr>
                <w:rFonts w:ascii="Arial" w:hAnsi="Arial" w:cs="Arial"/>
                <w:sz w:val="22"/>
                <w:szCs w:val="22"/>
              </w:rPr>
              <w:t>Data S</w:t>
            </w:r>
            <w:r w:rsidRPr="00574BE7">
              <w:rPr>
                <w:rFonts w:ascii="Arial" w:hAnsi="Arial" w:cs="Arial"/>
                <w:sz w:val="22"/>
                <w:szCs w:val="22"/>
              </w:rPr>
              <w:t>ource:</w:t>
            </w:r>
          </w:p>
          <w:p w14:paraId="73D0DC9C" w14:textId="77777777" w:rsidR="00A8486D" w:rsidRPr="00574BE7" w:rsidRDefault="00A8486D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0CF4082" w14:textId="167EC79C" w:rsidR="00F15C54" w:rsidRPr="004443A8" w:rsidRDefault="00A8486D" w:rsidP="007B5B64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 xml:space="preserve">Click the </w:t>
            </w:r>
            <w:r w:rsidR="00F15C54" w:rsidRPr="004443A8">
              <w:rPr>
                <w:rFonts w:ascii="Arial" w:hAnsi="Arial" w:cs="Arial"/>
                <w:sz w:val="22"/>
                <w:szCs w:val="22"/>
              </w:rPr>
              <w:t>“</w:t>
            </w:r>
            <w:r w:rsidRPr="004443A8">
              <w:rPr>
                <w:rFonts w:ascii="Arial" w:hAnsi="Arial" w:cs="Arial"/>
                <w:sz w:val="22"/>
                <w:szCs w:val="22"/>
              </w:rPr>
              <w:t>1. Modify Fields</w:t>
            </w:r>
            <w:r w:rsidR="00F15C54" w:rsidRPr="004443A8">
              <w:rPr>
                <w:rFonts w:ascii="Arial" w:hAnsi="Arial" w:cs="Arial"/>
                <w:sz w:val="22"/>
                <w:szCs w:val="22"/>
              </w:rPr>
              <w:t>”</w:t>
            </w:r>
            <w:r w:rsidRPr="004443A8">
              <w:rPr>
                <w:rFonts w:ascii="Arial" w:hAnsi="Arial" w:cs="Arial"/>
                <w:sz w:val="22"/>
                <w:szCs w:val="22"/>
              </w:rPr>
              <w:t xml:space="preserve"> button under the “Configure </w:t>
            </w:r>
            <w:r w:rsidR="00F15C54" w:rsidRPr="004443A8">
              <w:rPr>
                <w:rFonts w:ascii="Arial" w:hAnsi="Arial" w:cs="Arial"/>
                <w:sz w:val="22"/>
                <w:szCs w:val="22"/>
              </w:rPr>
              <w:t>Service Target Data Source” section of the screen.</w:t>
            </w:r>
          </w:p>
          <w:p w14:paraId="44772186" w14:textId="18BC59C1" w:rsidR="00F15C54" w:rsidRPr="00574BE7" w:rsidRDefault="00F15C54" w:rsidP="004443A8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574BE7">
              <w:rPr>
                <w:noProof/>
              </w:rPr>
              <w:drawing>
                <wp:inline distT="0" distB="0" distL="0" distR="0" wp14:anchorId="0455BDB2" wp14:editId="11885BAE">
                  <wp:extent cx="4352925" cy="8405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081" cy="8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C2252" w14:textId="40E009E1" w:rsidR="00F15C54" w:rsidRPr="004443A8" w:rsidRDefault="00F15C54" w:rsidP="000B46E9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A message will appear at the top of the screen (“The process of creating join forms and fields has started”.  This is normal.</w:t>
            </w:r>
          </w:p>
          <w:p w14:paraId="598A95F4" w14:textId="4BA9B390" w:rsidR="00F15C54" w:rsidRPr="004443A8" w:rsidRDefault="00F15C54" w:rsidP="00EC2600">
            <w:pPr>
              <w:pStyle w:val="BodyText1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“Advanced” tab under “Data Source Settings”.</w:t>
            </w:r>
          </w:p>
          <w:p w14:paraId="6D2141A8" w14:textId="5B8C11C8" w:rsidR="00F15C54" w:rsidRPr="004443A8" w:rsidRDefault="00F15C54" w:rsidP="00983022">
            <w:pPr>
              <w:pStyle w:val="BodyText1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 xml:space="preserve">The “Fields and Join Form Create Status” may be in “Create in Progress” status or may already state “Created Successfully”.  </w:t>
            </w:r>
          </w:p>
          <w:p w14:paraId="69075610" w14:textId="49113393" w:rsidR="00F15C54" w:rsidRPr="00574BE7" w:rsidRDefault="00F15C54" w:rsidP="004443A8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574BE7">
              <w:rPr>
                <w:noProof/>
              </w:rPr>
              <w:lastRenderedPageBreak/>
              <w:drawing>
                <wp:inline distT="0" distB="0" distL="0" distR="0" wp14:anchorId="0F30AA18" wp14:editId="28FB3AF3">
                  <wp:extent cx="3988579" cy="21201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83" cy="213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9F041" w14:textId="2405D663" w:rsidR="00574BE7" w:rsidRPr="004443A8" w:rsidRDefault="00F15C54" w:rsidP="0018743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“Refresh” button under “Configure Service Target Data Source” section of the screen.  If t</w:t>
            </w:r>
            <w:r w:rsidR="00574BE7" w:rsidRPr="004443A8">
              <w:rPr>
                <w:rFonts w:ascii="Arial" w:hAnsi="Arial" w:cs="Arial"/>
                <w:sz w:val="22"/>
                <w:szCs w:val="22"/>
              </w:rPr>
              <w:t xml:space="preserve">he “Fields and Join Form Create Status” field </w:t>
            </w:r>
            <w:r w:rsidRPr="004443A8">
              <w:rPr>
                <w:rFonts w:ascii="Arial" w:hAnsi="Arial" w:cs="Arial"/>
                <w:sz w:val="22"/>
                <w:szCs w:val="22"/>
              </w:rPr>
              <w:t xml:space="preserve">remains in “Created Successfully” </w:t>
            </w:r>
            <w:r w:rsidR="00574BE7" w:rsidRPr="004443A8">
              <w:rPr>
                <w:rFonts w:ascii="Arial" w:hAnsi="Arial" w:cs="Arial"/>
                <w:sz w:val="22"/>
                <w:szCs w:val="22"/>
              </w:rPr>
              <w:t xml:space="preserve">status, continue to Step 4.  </w:t>
            </w:r>
          </w:p>
          <w:p w14:paraId="187A3E89" w14:textId="2A4AF454" w:rsidR="00F15C54" w:rsidRPr="004443A8" w:rsidRDefault="00574BE7" w:rsidP="004177B7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If the status is still “Create in Progress”, continue to click the “Refresh” button until the status changes to “Created Successfully”.</w:t>
            </w:r>
          </w:p>
          <w:p w14:paraId="7CCED594" w14:textId="286C62E3" w:rsidR="00574BE7" w:rsidRPr="00574BE7" w:rsidRDefault="00F15C54" w:rsidP="004443A8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574BE7">
              <w:rPr>
                <w:noProof/>
              </w:rPr>
              <w:drawing>
                <wp:inline distT="0" distB="0" distL="0" distR="0" wp14:anchorId="1F179F33" wp14:editId="1C1D3AFB">
                  <wp:extent cx="4947858" cy="452323"/>
                  <wp:effectExtent l="0" t="0" r="571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088" cy="45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BDFD3" w14:textId="6E5697EF" w:rsidR="00574BE7" w:rsidRPr="00574BE7" w:rsidRDefault="00574BE7" w:rsidP="00F15C54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574BE7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574BE7">
              <w:rPr>
                <w:rFonts w:ascii="Arial" w:hAnsi="Arial" w:cs="Arial"/>
                <w:i/>
                <w:sz w:val="22"/>
                <w:szCs w:val="22"/>
              </w:rPr>
              <w:t xml:space="preserve"> It may take several hours for this step to process.</w:t>
            </w: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708A8A" w14:textId="77777777" w:rsidR="00AC7746" w:rsidRDefault="00574BE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Modify Filter for Incident Data Source:</w:t>
            </w:r>
          </w:p>
          <w:p w14:paraId="1B664ED8" w14:textId="77777777" w:rsidR="00574BE7" w:rsidRDefault="00574BE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5F98F37" w14:textId="5A4B1A1A" w:rsidR="00574BE7" w:rsidRPr="004443A8" w:rsidRDefault="00574BE7" w:rsidP="008E520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“2. Modify Filter” button under the “Configure Service Target Data Source” section of the screen.</w:t>
            </w:r>
          </w:p>
          <w:p w14:paraId="044B682B" w14:textId="0E353EA0" w:rsidR="00574BE7" w:rsidRDefault="00574BE7" w:rsidP="004443A8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4933D1" wp14:editId="1C559685">
                  <wp:extent cx="4629150" cy="561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88215" w14:textId="6783DF85" w:rsidR="00574BE7" w:rsidRPr="004443A8" w:rsidRDefault="00574BE7" w:rsidP="00F2620A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A message will appear at the top of the screen (“The process of creating filters and filter guide has started”.  This is normal.</w:t>
            </w:r>
          </w:p>
          <w:p w14:paraId="5F014264" w14:textId="03B6AF9E" w:rsidR="00574BE7" w:rsidRPr="004443A8" w:rsidRDefault="00574BE7" w:rsidP="00FF6FB3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“Administration” tab.</w:t>
            </w:r>
          </w:p>
          <w:p w14:paraId="7F677626" w14:textId="4D23FEC8" w:rsidR="00574BE7" w:rsidRPr="004443A8" w:rsidRDefault="00574BE7" w:rsidP="00C70C00">
            <w:pPr>
              <w:pStyle w:val="BodyText1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A list of Rule Names will appear.  Look at the “Rule Build Status”.  Each rule will be in “Built Successfully” or “Build in Progress” status.</w:t>
            </w:r>
          </w:p>
          <w:p w14:paraId="63AE3AE6" w14:textId="5AE31603" w:rsidR="00574BE7" w:rsidRPr="004443A8" w:rsidRDefault="00574BE7" w:rsidP="009C3C82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t>Click the “Refresh” button until all of the statuses are “Built Successfully”.</w:t>
            </w:r>
          </w:p>
          <w:p w14:paraId="61A8EA6A" w14:textId="62123DA0" w:rsidR="00574BE7" w:rsidRDefault="00574BE7" w:rsidP="004443A8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A5BC294" wp14:editId="63CAB060">
                  <wp:extent cx="4503714" cy="23280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063" cy="234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A0A52" w14:textId="27C313B8" w:rsidR="00574BE7" w:rsidRPr="004443A8" w:rsidRDefault="00574BE7" w:rsidP="00C76949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4443A8">
              <w:rPr>
                <w:rFonts w:ascii="Arial" w:hAnsi="Arial" w:cs="Arial"/>
                <w:sz w:val="22"/>
                <w:szCs w:val="22"/>
              </w:rPr>
              <w:lastRenderedPageBreak/>
              <w:t>In the event that a Rule Name has a status of “Could Not Built”, highlight the Rule Name and click the “Build” button.</w:t>
            </w:r>
          </w:p>
          <w:p w14:paraId="0FE35EB5" w14:textId="0A65F769" w:rsidR="00574BE7" w:rsidRPr="00BC5E4C" w:rsidRDefault="00574BE7" w:rsidP="00574BE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the Rule Name returns to a status of “Could Not Be Built”, create an Incident ticket for ITSM Suite Administration to investigate.</w:t>
            </w:r>
          </w:p>
        </w:tc>
      </w:tr>
    </w:tbl>
    <w:p w14:paraId="47356575" w14:textId="70D30DE6" w:rsidR="00535AA7" w:rsidRDefault="00535AA7" w:rsidP="00535AA7">
      <w:pPr>
        <w:rPr>
          <w:rFonts w:cs="Arial"/>
        </w:rPr>
      </w:pPr>
    </w:p>
    <w:p w14:paraId="6BC91B2D" w14:textId="1D247979" w:rsidR="004443A8" w:rsidRDefault="004443A8" w:rsidP="00535AA7">
      <w:pPr>
        <w:rPr>
          <w:rFonts w:cs="Arial"/>
        </w:rPr>
      </w:pPr>
    </w:p>
    <w:p w14:paraId="1B54CEA2" w14:textId="1F87CEC2" w:rsidR="004443A8" w:rsidRDefault="004443A8" w:rsidP="00535AA7">
      <w:pPr>
        <w:rPr>
          <w:rFonts w:cs="Arial"/>
        </w:rPr>
      </w:pPr>
    </w:p>
    <w:p w14:paraId="38139AE7" w14:textId="632A731F" w:rsidR="004443A8" w:rsidRDefault="004443A8" w:rsidP="00535AA7">
      <w:pPr>
        <w:rPr>
          <w:rFonts w:cs="Arial"/>
        </w:rPr>
      </w:pPr>
    </w:p>
    <w:p w14:paraId="6E8F58FB" w14:textId="0C558488" w:rsidR="004443A8" w:rsidRDefault="004443A8" w:rsidP="00535AA7">
      <w:pPr>
        <w:rPr>
          <w:rFonts w:cs="Arial"/>
        </w:rPr>
      </w:pPr>
    </w:p>
    <w:p w14:paraId="47CA05E2" w14:textId="2C509CF3" w:rsidR="004443A8" w:rsidRDefault="004443A8" w:rsidP="00535AA7">
      <w:pPr>
        <w:rPr>
          <w:rFonts w:cs="Arial"/>
        </w:rPr>
      </w:pPr>
    </w:p>
    <w:p w14:paraId="2BA1D4B2" w14:textId="7A696FE6" w:rsidR="004443A8" w:rsidRDefault="004443A8" w:rsidP="00535AA7">
      <w:pPr>
        <w:rPr>
          <w:rFonts w:cs="Arial"/>
        </w:rPr>
      </w:pPr>
    </w:p>
    <w:p w14:paraId="39F6D672" w14:textId="4D8DB20C" w:rsidR="004443A8" w:rsidRDefault="004443A8" w:rsidP="00535AA7">
      <w:pPr>
        <w:rPr>
          <w:rFonts w:cs="Arial"/>
        </w:rPr>
      </w:pPr>
    </w:p>
    <w:p w14:paraId="4FF46002" w14:textId="6D140AE9" w:rsidR="004443A8" w:rsidRDefault="004443A8" w:rsidP="00535AA7">
      <w:pPr>
        <w:rPr>
          <w:rFonts w:cs="Arial"/>
        </w:rPr>
      </w:pPr>
    </w:p>
    <w:p w14:paraId="34F372D9" w14:textId="7A89BF60" w:rsidR="004443A8" w:rsidRDefault="004443A8" w:rsidP="00535AA7">
      <w:pPr>
        <w:rPr>
          <w:rFonts w:cs="Arial"/>
        </w:rPr>
      </w:pPr>
    </w:p>
    <w:p w14:paraId="117FD032" w14:textId="6F62CDA0" w:rsidR="004443A8" w:rsidRDefault="004443A8" w:rsidP="00535AA7">
      <w:pPr>
        <w:rPr>
          <w:rFonts w:cs="Arial"/>
        </w:rPr>
      </w:pPr>
    </w:p>
    <w:p w14:paraId="3C776D8F" w14:textId="4CB2D94C" w:rsidR="004443A8" w:rsidRDefault="004443A8" w:rsidP="00535AA7">
      <w:pPr>
        <w:rPr>
          <w:rFonts w:cs="Arial"/>
        </w:rPr>
      </w:pPr>
    </w:p>
    <w:p w14:paraId="044703FE" w14:textId="3370D069" w:rsidR="004443A8" w:rsidRDefault="004443A8" w:rsidP="00535AA7">
      <w:pPr>
        <w:rPr>
          <w:rFonts w:cs="Arial"/>
        </w:rPr>
      </w:pPr>
    </w:p>
    <w:p w14:paraId="09F81B46" w14:textId="0E3AF8B7" w:rsidR="004443A8" w:rsidRDefault="004443A8" w:rsidP="00535AA7">
      <w:pPr>
        <w:rPr>
          <w:rFonts w:cs="Arial"/>
        </w:rPr>
      </w:pPr>
    </w:p>
    <w:p w14:paraId="0764455F" w14:textId="2CC60C87" w:rsidR="004443A8" w:rsidRDefault="004443A8" w:rsidP="00535AA7">
      <w:pPr>
        <w:rPr>
          <w:rFonts w:cs="Arial"/>
        </w:rPr>
      </w:pPr>
    </w:p>
    <w:p w14:paraId="44DB67AA" w14:textId="3024CFAF" w:rsidR="004443A8" w:rsidRDefault="004443A8" w:rsidP="00535AA7">
      <w:pPr>
        <w:rPr>
          <w:rFonts w:cs="Arial"/>
        </w:rPr>
      </w:pPr>
    </w:p>
    <w:p w14:paraId="0F4027C5" w14:textId="2B427713" w:rsidR="004443A8" w:rsidRDefault="004443A8" w:rsidP="00535AA7">
      <w:pPr>
        <w:rPr>
          <w:rFonts w:cs="Arial"/>
        </w:rPr>
      </w:pPr>
    </w:p>
    <w:p w14:paraId="2FDEEAD2" w14:textId="15E348BE" w:rsidR="004443A8" w:rsidRDefault="004443A8" w:rsidP="00535AA7">
      <w:pPr>
        <w:rPr>
          <w:rFonts w:cs="Arial"/>
        </w:rPr>
      </w:pPr>
    </w:p>
    <w:p w14:paraId="4B6A5B51" w14:textId="4A3E1867" w:rsidR="004443A8" w:rsidRDefault="004443A8" w:rsidP="00535AA7">
      <w:pPr>
        <w:rPr>
          <w:rFonts w:cs="Arial"/>
        </w:rPr>
      </w:pPr>
    </w:p>
    <w:p w14:paraId="4B3B096C" w14:textId="32E5648E" w:rsidR="004443A8" w:rsidRDefault="004443A8" w:rsidP="00535AA7">
      <w:pPr>
        <w:rPr>
          <w:rFonts w:cs="Arial"/>
        </w:rPr>
      </w:pPr>
    </w:p>
    <w:p w14:paraId="254F59C7" w14:textId="7033F7FD" w:rsidR="004443A8" w:rsidRDefault="004443A8" w:rsidP="00535AA7">
      <w:pPr>
        <w:rPr>
          <w:rFonts w:cs="Arial"/>
        </w:rPr>
      </w:pPr>
    </w:p>
    <w:p w14:paraId="14BD96CE" w14:textId="484F13E8" w:rsidR="004443A8" w:rsidRDefault="004443A8" w:rsidP="00535AA7">
      <w:pPr>
        <w:rPr>
          <w:rFonts w:cs="Arial"/>
        </w:rPr>
      </w:pPr>
    </w:p>
    <w:p w14:paraId="1CBB9887" w14:textId="63D74670" w:rsidR="004443A8" w:rsidRDefault="004443A8" w:rsidP="00535AA7">
      <w:pPr>
        <w:rPr>
          <w:rFonts w:cs="Arial"/>
        </w:rPr>
      </w:pPr>
    </w:p>
    <w:p w14:paraId="54B616E5" w14:textId="689931B8" w:rsidR="004443A8" w:rsidRDefault="004443A8" w:rsidP="00535AA7">
      <w:pPr>
        <w:rPr>
          <w:rFonts w:cs="Arial"/>
        </w:rPr>
      </w:pPr>
    </w:p>
    <w:p w14:paraId="58155A93" w14:textId="4640A779" w:rsidR="004443A8" w:rsidRDefault="004443A8" w:rsidP="00535AA7">
      <w:pPr>
        <w:rPr>
          <w:rFonts w:cs="Arial"/>
        </w:rPr>
      </w:pPr>
    </w:p>
    <w:p w14:paraId="3965A047" w14:textId="0AC29D09" w:rsidR="004443A8" w:rsidRDefault="004443A8" w:rsidP="00535AA7">
      <w:pPr>
        <w:rPr>
          <w:rFonts w:cs="Arial"/>
        </w:rPr>
      </w:pPr>
    </w:p>
    <w:p w14:paraId="670F228E" w14:textId="77777777" w:rsidR="004443A8" w:rsidRDefault="004443A8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4B2AAF62" w14:textId="77777777" w:rsidR="00DB405D" w:rsidRDefault="00DB405D" w:rsidP="00DB405D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3F9726EE" w14:textId="77777777" w:rsidR="00DB405D" w:rsidRDefault="00DB405D" w:rsidP="00DB405D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4BD5A9E" w14:textId="77777777" w:rsidR="00DB405D" w:rsidRDefault="00DB405D" w:rsidP="00DB405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0F4A374B" w14:textId="77777777" w:rsidR="00DB405D" w:rsidRDefault="00DB405D" w:rsidP="00DB405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D37EE32" w14:textId="77777777" w:rsidR="00DB405D" w:rsidRDefault="00DB405D" w:rsidP="00DB405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55B9C59C" w14:textId="77777777" w:rsidR="00DB405D" w:rsidRDefault="00DB405D" w:rsidP="00DB405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52DEDC85" w14:textId="77777777" w:rsidR="00DB405D" w:rsidRDefault="00DB405D" w:rsidP="00DB405D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DB405D" w14:paraId="112EF2EA" w14:textId="77777777" w:rsidTr="0086617B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ABEB4E8" w14:textId="77777777" w:rsidR="00DB405D" w:rsidRDefault="00DB405D" w:rsidP="0086617B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DB405D" w14:paraId="7BC9E50A" w14:textId="77777777" w:rsidTr="0086617B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AB30" w14:textId="77777777" w:rsidR="00DB405D" w:rsidRDefault="00DB405D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2269" w14:textId="3828436D" w:rsidR="00DB405D" w:rsidRDefault="00DB405D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F15C54" w:rsidRDefault="00F15C54">
      <w:r>
        <w:separator/>
      </w:r>
    </w:p>
  </w:endnote>
  <w:endnote w:type="continuationSeparator" w:id="0">
    <w:p w14:paraId="5C54B699" w14:textId="77777777" w:rsidR="00F15C54" w:rsidRDefault="00F1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F15C54" w:rsidRDefault="00F1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7F876776" w:rsidR="00F15C54" w:rsidRDefault="00315C94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DB405D">
      <w:rPr>
        <w:noProof/>
      </w:rPr>
      <w:t>5/29/2020 11:29 AM</w:t>
    </w:r>
    <w:r>
      <w:fldChar w:fldCharType="end"/>
    </w:r>
    <w:r>
      <w:t xml:space="preserve">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F15C54">
              <w:t xml:space="preserve">Page </w:t>
            </w:r>
            <w:r w:rsidR="00F15C54">
              <w:rPr>
                <w:b/>
                <w:bCs/>
                <w:sz w:val="24"/>
                <w:szCs w:val="24"/>
              </w:rPr>
              <w:fldChar w:fldCharType="begin"/>
            </w:r>
            <w:r w:rsidR="00F15C54">
              <w:rPr>
                <w:b/>
                <w:bCs/>
              </w:rPr>
              <w:instrText xml:space="preserve"> PAGE </w:instrText>
            </w:r>
            <w:r w:rsidR="00F15C5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 w:rsidR="00F15C54">
              <w:rPr>
                <w:b/>
                <w:bCs/>
                <w:sz w:val="24"/>
                <w:szCs w:val="24"/>
              </w:rPr>
              <w:fldChar w:fldCharType="end"/>
            </w:r>
            <w:r w:rsidR="00F15C54">
              <w:t xml:space="preserve"> of </w:t>
            </w:r>
            <w:r w:rsidR="00F15C54">
              <w:rPr>
                <w:b/>
                <w:bCs/>
                <w:sz w:val="24"/>
                <w:szCs w:val="24"/>
              </w:rPr>
              <w:fldChar w:fldCharType="begin"/>
            </w:r>
            <w:r w:rsidR="00F15C54">
              <w:rPr>
                <w:b/>
                <w:bCs/>
              </w:rPr>
              <w:instrText xml:space="preserve"> NUMPAGES  </w:instrText>
            </w:r>
            <w:r w:rsidR="00F15C5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 w:rsidR="00F15C5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F15C54" w:rsidRDefault="00F1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F15C54" w:rsidRDefault="00F1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F15C54" w:rsidRDefault="00F15C54">
      <w:r>
        <w:separator/>
      </w:r>
    </w:p>
  </w:footnote>
  <w:footnote w:type="continuationSeparator" w:id="0">
    <w:p w14:paraId="5435A3AD" w14:textId="77777777" w:rsidR="00F15C54" w:rsidRDefault="00F1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F15C54" w:rsidRDefault="00F1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F15C54" w:rsidRDefault="00F15C54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F15C54" w:rsidRDefault="00F15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1845A7C"/>
    <w:multiLevelType w:val="hybridMultilevel"/>
    <w:tmpl w:val="6CFC9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23482"/>
    <w:multiLevelType w:val="hybridMultilevel"/>
    <w:tmpl w:val="32624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1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8AA3323"/>
    <w:multiLevelType w:val="hybridMultilevel"/>
    <w:tmpl w:val="32624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4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5" w15:restartNumberingAfterBreak="0">
    <w:nsid w:val="563F6BB8"/>
    <w:multiLevelType w:val="hybridMultilevel"/>
    <w:tmpl w:val="32624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7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1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2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34"/>
  </w:num>
  <w:num w:numId="4">
    <w:abstractNumId w:val="33"/>
  </w:num>
  <w:num w:numId="5">
    <w:abstractNumId w:val="27"/>
  </w:num>
  <w:num w:numId="6">
    <w:abstractNumId w:val="12"/>
  </w:num>
  <w:num w:numId="7">
    <w:abstractNumId w:val="21"/>
  </w:num>
  <w:num w:numId="8">
    <w:abstractNumId w:val="3"/>
  </w:num>
  <w:num w:numId="9">
    <w:abstractNumId w:val="14"/>
  </w:num>
  <w:num w:numId="10">
    <w:abstractNumId w:val="20"/>
  </w:num>
  <w:num w:numId="11">
    <w:abstractNumId w:val="24"/>
  </w:num>
  <w:num w:numId="12">
    <w:abstractNumId w:val="0"/>
  </w:num>
  <w:num w:numId="13">
    <w:abstractNumId w:val="29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10"/>
  </w:num>
  <w:num w:numId="19">
    <w:abstractNumId w:val="5"/>
  </w:num>
  <w:num w:numId="20">
    <w:abstractNumId w:val="32"/>
  </w:num>
  <w:num w:numId="21">
    <w:abstractNumId w:val="11"/>
  </w:num>
  <w:num w:numId="22">
    <w:abstractNumId w:val="26"/>
  </w:num>
  <w:num w:numId="23">
    <w:abstractNumId w:val="4"/>
  </w:num>
  <w:num w:numId="24">
    <w:abstractNumId w:val="30"/>
  </w:num>
  <w:num w:numId="25">
    <w:abstractNumId w:val="19"/>
  </w:num>
  <w:num w:numId="26">
    <w:abstractNumId w:val="18"/>
  </w:num>
  <w:num w:numId="27">
    <w:abstractNumId w:val="6"/>
  </w:num>
  <w:num w:numId="28">
    <w:abstractNumId w:val="26"/>
  </w:num>
  <w:num w:numId="29">
    <w:abstractNumId w:val="9"/>
  </w:num>
  <w:num w:numId="30">
    <w:abstractNumId w:val="8"/>
  </w:num>
  <w:num w:numId="31">
    <w:abstractNumId w:val="31"/>
  </w:num>
  <w:num w:numId="32">
    <w:abstractNumId w:val="23"/>
  </w:num>
  <w:num w:numId="33">
    <w:abstractNumId w:val="2"/>
  </w:num>
  <w:num w:numId="34">
    <w:abstractNumId w:val="7"/>
  </w:num>
  <w:num w:numId="35">
    <w:abstractNumId w:val="13"/>
  </w:num>
  <w:num w:numId="36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A0DDC"/>
    <w:rsid w:val="002B2743"/>
    <w:rsid w:val="002E4B80"/>
    <w:rsid w:val="0031456C"/>
    <w:rsid w:val="00314D68"/>
    <w:rsid w:val="00315C94"/>
    <w:rsid w:val="00385E21"/>
    <w:rsid w:val="0038754C"/>
    <w:rsid w:val="00396B5B"/>
    <w:rsid w:val="003B3686"/>
    <w:rsid w:val="003B4B97"/>
    <w:rsid w:val="003B57FA"/>
    <w:rsid w:val="003E140A"/>
    <w:rsid w:val="003E68D2"/>
    <w:rsid w:val="004443A8"/>
    <w:rsid w:val="00461E98"/>
    <w:rsid w:val="0047123C"/>
    <w:rsid w:val="004A140E"/>
    <w:rsid w:val="004B304A"/>
    <w:rsid w:val="004D3E8B"/>
    <w:rsid w:val="004D4088"/>
    <w:rsid w:val="004D4360"/>
    <w:rsid w:val="004E4078"/>
    <w:rsid w:val="004F2DE1"/>
    <w:rsid w:val="005332E6"/>
    <w:rsid w:val="00535AA7"/>
    <w:rsid w:val="00574BE7"/>
    <w:rsid w:val="005C1F4E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E7BEF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52688"/>
    <w:rsid w:val="00857BB3"/>
    <w:rsid w:val="0086410A"/>
    <w:rsid w:val="00896AD4"/>
    <w:rsid w:val="008A03E0"/>
    <w:rsid w:val="008A1C99"/>
    <w:rsid w:val="008C1068"/>
    <w:rsid w:val="008C2ABE"/>
    <w:rsid w:val="008D3A31"/>
    <w:rsid w:val="008F1737"/>
    <w:rsid w:val="008F4526"/>
    <w:rsid w:val="009060E1"/>
    <w:rsid w:val="009249F3"/>
    <w:rsid w:val="009618D1"/>
    <w:rsid w:val="00966150"/>
    <w:rsid w:val="00990F35"/>
    <w:rsid w:val="00A07439"/>
    <w:rsid w:val="00A14DB3"/>
    <w:rsid w:val="00A2001B"/>
    <w:rsid w:val="00A46084"/>
    <w:rsid w:val="00A64533"/>
    <w:rsid w:val="00A7322E"/>
    <w:rsid w:val="00A81FF8"/>
    <w:rsid w:val="00A8486D"/>
    <w:rsid w:val="00A967C8"/>
    <w:rsid w:val="00AC0954"/>
    <w:rsid w:val="00AC46F6"/>
    <w:rsid w:val="00AC7746"/>
    <w:rsid w:val="00AC7BEF"/>
    <w:rsid w:val="00AF2F1F"/>
    <w:rsid w:val="00B16274"/>
    <w:rsid w:val="00BB6713"/>
    <w:rsid w:val="00BB775C"/>
    <w:rsid w:val="00BC5E4C"/>
    <w:rsid w:val="00BF67ED"/>
    <w:rsid w:val="00C037D5"/>
    <w:rsid w:val="00C21858"/>
    <w:rsid w:val="00C33C45"/>
    <w:rsid w:val="00C77ED9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B405D"/>
    <w:rsid w:val="00DC4234"/>
    <w:rsid w:val="00DC4B42"/>
    <w:rsid w:val="00DE0D50"/>
    <w:rsid w:val="00E172F0"/>
    <w:rsid w:val="00E66CE6"/>
    <w:rsid w:val="00E842EF"/>
    <w:rsid w:val="00E94B60"/>
    <w:rsid w:val="00EC2CEA"/>
    <w:rsid w:val="00ED441B"/>
    <w:rsid w:val="00ED5AC8"/>
    <w:rsid w:val="00F15C54"/>
    <w:rsid w:val="00F17820"/>
    <w:rsid w:val="00F345F1"/>
    <w:rsid w:val="00F84556"/>
    <w:rsid w:val="00FD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4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275</TotalTime>
  <Pages>4</Pages>
  <Words>628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36</cp:revision>
  <cp:lastPrinted>2010-10-25T17:14:00Z</cp:lastPrinted>
  <dcterms:created xsi:type="dcterms:W3CDTF">2017-02-14T20:54:00Z</dcterms:created>
  <dcterms:modified xsi:type="dcterms:W3CDTF">2020-05-29T15:30:00Z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