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3EFE6055" w:rsidR="00D02451" w:rsidRPr="00A2001B" w:rsidRDefault="0088547F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Generate </w:t>
      </w:r>
      <w:r w:rsidR="007308C6">
        <w:rPr>
          <w:rFonts w:cs="Arial"/>
          <w:color w:val="C00000"/>
        </w:rPr>
        <w:t>Daily SL</w:t>
      </w:r>
      <w:r w:rsidR="00147BB1">
        <w:rPr>
          <w:rFonts w:cs="Arial"/>
          <w:color w:val="C00000"/>
        </w:rPr>
        <w:t>A</w:t>
      </w:r>
      <w:r w:rsidR="007308C6">
        <w:rPr>
          <w:rFonts w:cs="Arial"/>
          <w:color w:val="C00000"/>
        </w:rPr>
        <w:t xml:space="preserve"> Report</w:t>
      </w:r>
      <w:r w:rsidR="00832278">
        <w:rPr>
          <w:rFonts w:cs="Arial"/>
          <w:color w:val="C00000"/>
        </w:rPr>
        <w:t xml:space="preserve"> Procedure</w:t>
      </w:r>
    </w:p>
    <w:p w14:paraId="664C0E08" w14:textId="66181FE2" w:rsidR="00D02451" w:rsidRPr="006108A0" w:rsidRDefault="00147BB1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70CA9536" w:rsidR="00115FED" w:rsidRDefault="007308C6" w:rsidP="00157A90">
      <w:pPr>
        <w:rPr>
          <w:rFonts w:cs="Arial"/>
          <w:sz w:val="20"/>
        </w:rPr>
      </w:pPr>
      <w:r>
        <w:rPr>
          <w:rFonts w:cs="Arial"/>
          <w:sz w:val="20"/>
        </w:rPr>
        <w:t>The Daily SL</w:t>
      </w:r>
      <w:r w:rsidR="00147BB1">
        <w:rPr>
          <w:rFonts w:cs="Arial"/>
          <w:sz w:val="20"/>
        </w:rPr>
        <w:t>A</w:t>
      </w:r>
      <w:r>
        <w:rPr>
          <w:rFonts w:cs="Arial"/>
          <w:sz w:val="20"/>
        </w:rPr>
        <w:t xml:space="preserve"> Report is created to show application outages and comments that give a brief explanation of what caused the outage.  </w:t>
      </w:r>
      <w:r w:rsidR="00BC656D">
        <w:rPr>
          <w:rFonts w:cs="Arial"/>
          <w:sz w:val="20"/>
        </w:rPr>
        <w:t>This procedure should be followed each day after the</w:t>
      </w:r>
      <w:r w:rsidR="00AB3C99">
        <w:rPr>
          <w:rFonts w:cs="Arial"/>
          <w:sz w:val="20"/>
        </w:rPr>
        <w:t xml:space="preserve"> </w:t>
      </w:r>
      <w:hyperlink r:id="rId11" w:history="1">
        <w:r w:rsidR="00AB3C99" w:rsidRPr="00AB3C99">
          <w:rPr>
            <w:rStyle w:val="Hyperlink"/>
            <w:rFonts w:cs="Arial"/>
            <w:sz w:val="20"/>
          </w:rPr>
          <w:t>Working CI Unavailability Record Tickets Procedure</w:t>
        </w:r>
      </w:hyperlink>
      <w:r w:rsidR="00AB3C99">
        <w:rPr>
          <w:rFonts w:cs="Arial"/>
          <w:sz w:val="20"/>
        </w:rPr>
        <w:t xml:space="preserve"> </w:t>
      </w:r>
      <w:r w:rsidR="00C11D9B">
        <w:rPr>
          <w:rFonts w:cs="Arial"/>
          <w:sz w:val="20"/>
        </w:rPr>
        <w:t xml:space="preserve">and </w:t>
      </w:r>
      <w:bookmarkStart w:id="1" w:name="_GoBack"/>
      <w:bookmarkEnd w:id="1"/>
      <w:r w:rsidR="00BC656D">
        <w:rPr>
          <w:rFonts w:cs="Arial"/>
          <w:sz w:val="20"/>
        </w:rPr>
        <w:t>has been completed.</w:t>
      </w:r>
    </w:p>
    <w:p w14:paraId="30E5B743" w14:textId="77777777" w:rsidR="007308C6" w:rsidRDefault="007308C6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550D5111" w:rsidR="00115FED" w:rsidRPr="00147BB1" w:rsidRDefault="00147BB1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147BB1">
        <w:rPr>
          <w:rStyle w:val="Hyperlink"/>
          <w:rFonts w:cs="Arial"/>
          <w:sz w:val="20"/>
        </w:rPr>
        <w:t>IT Service Management Policy</w:t>
      </w:r>
    </w:p>
    <w:p w14:paraId="4A2DDBDC" w14:textId="5832F87E" w:rsidR="00157A90" w:rsidRPr="006108A0" w:rsidRDefault="00147BB1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06390FA5" w:rsidR="00115FED" w:rsidRPr="00115FED" w:rsidRDefault="00147BB1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95"/>
        <w:gridCol w:w="9015"/>
      </w:tblGrid>
      <w:tr w:rsidR="002009AB" w:rsidRPr="006108A0" w14:paraId="563F284C" w14:textId="77777777" w:rsidTr="002009AB"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3B35A0" w:rsidRPr="006108A0" w14:paraId="538D5901" w14:textId="77777777" w:rsidTr="002009AB"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2D573" w14:textId="60E6A43B" w:rsidR="007308C6" w:rsidRDefault="007308C6" w:rsidP="00DE0D50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Access Remedy at the following location:  </w:t>
            </w:r>
            <w:hyperlink r:id="rId12" w:history="1">
              <w:r w:rsidR="00147BB1">
                <w:rPr>
                  <w:rStyle w:val="Hyperlink"/>
                  <w:rFonts w:cs="Arial"/>
                  <w:sz w:val="20"/>
                </w:rPr>
                <w:t>https://remedy.jacksonnational.com/arsys</w:t>
              </w:r>
            </w:hyperlink>
          </w:p>
          <w:p w14:paraId="07F9D8E1" w14:textId="1701D714" w:rsidR="007308C6" w:rsidRDefault="007308C6" w:rsidP="00DE0D50">
            <w:pPr>
              <w:pStyle w:val="NoSpacing"/>
              <w:rPr>
                <w:rFonts w:cs="Arial"/>
                <w:sz w:val="20"/>
              </w:rPr>
            </w:pPr>
          </w:p>
          <w:p w14:paraId="4A630E37" w14:textId="77777777" w:rsidR="007308C6" w:rsidRDefault="007308C6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Expand the “Applications” tab on the side of the screen.</w:t>
            </w:r>
          </w:p>
          <w:p w14:paraId="1B6F4564" w14:textId="77777777" w:rsidR="007308C6" w:rsidRDefault="007308C6" w:rsidP="007308C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6C5FA07" wp14:editId="68219C26">
                  <wp:extent cx="191068" cy="7526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81" cy="80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A4803" w14:textId="76A5DE89" w:rsidR="007308C6" w:rsidRDefault="007308C6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“Smart Reporting”.</w:t>
            </w:r>
          </w:p>
          <w:p w14:paraId="25322D26" w14:textId="4A91526D" w:rsidR="007308C6" w:rsidRDefault="007308C6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“Smart </w:t>
            </w:r>
            <w:r w:rsidR="007F44AE">
              <w:rPr>
                <w:rFonts w:cs="Arial"/>
                <w:sz w:val="20"/>
              </w:rPr>
              <w:t>Reporting</w:t>
            </w:r>
            <w:r>
              <w:rPr>
                <w:rFonts w:cs="Arial"/>
                <w:sz w:val="20"/>
              </w:rPr>
              <w:t xml:space="preserve"> Console”.</w:t>
            </w:r>
          </w:p>
          <w:p w14:paraId="3026B439" w14:textId="77777777" w:rsidR="007308C6" w:rsidRDefault="007308C6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the “Service Delivery” folder.</w:t>
            </w:r>
          </w:p>
          <w:p w14:paraId="56871A1B" w14:textId="77777777" w:rsidR="007308C6" w:rsidRDefault="007308C6" w:rsidP="007308C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89113C5" wp14:editId="20B0637B">
                  <wp:extent cx="1419225" cy="323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54AED" w14:textId="77777777" w:rsidR="007308C6" w:rsidRDefault="007308C6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the “Service Level Management” folder.</w:t>
            </w:r>
          </w:p>
          <w:p w14:paraId="13C67B84" w14:textId="77777777" w:rsidR="007308C6" w:rsidRDefault="007308C6" w:rsidP="007308C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625CB2" wp14:editId="128AC45A">
                  <wp:extent cx="157162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8F798" w14:textId="63C9CAC8" w:rsidR="007308C6" w:rsidRDefault="00A945D3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 list of reports and dashboards will appear.  Click on “SLA Repo</w:t>
            </w:r>
            <w:r w:rsidR="003B35A0"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t</w:t>
            </w:r>
            <w:r w:rsidR="0044244E">
              <w:rPr>
                <w:rFonts w:cs="Arial"/>
                <w:sz w:val="20"/>
              </w:rPr>
              <w:t xml:space="preserve"> Daily</w:t>
            </w:r>
            <w:r>
              <w:rPr>
                <w:rFonts w:cs="Arial"/>
                <w:sz w:val="20"/>
              </w:rPr>
              <w:t>”.</w:t>
            </w:r>
          </w:p>
          <w:p w14:paraId="2C67D2F9" w14:textId="6EC1B1FA" w:rsidR="00A945D3" w:rsidRDefault="0044244E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8C642C5" wp14:editId="32322EEA">
                  <wp:extent cx="1640206" cy="390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186" cy="39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5C78C" w14:textId="49F59E0D" w:rsidR="00964BDC" w:rsidRDefault="00964BDC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 w:rsidRPr="00964BDC">
              <w:rPr>
                <w:rFonts w:cs="Arial"/>
                <w:b/>
                <w:bCs/>
                <w:i/>
                <w:iCs/>
                <w:sz w:val="20"/>
              </w:rPr>
              <w:t>Note:</w:t>
            </w:r>
            <w:r w:rsidRPr="00964BDC">
              <w:rPr>
                <w:rFonts w:cs="Arial"/>
                <w:i/>
                <w:iCs/>
                <w:sz w:val="20"/>
              </w:rPr>
              <w:t xml:space="preserve"> For the last few days of the month, use the “SLA Report – Daily Platinum &amp; Gold” and “SLA Report – Daily Silver &amp; Bronze” to generate two daily reports.  This is required due to the size of the “SLA Report-Daily” </w:t>
            </w:r>
            <w:r w:rsidR="00C14D06">
              <w:rPr>
                <w:rFonts w:cs="Arial"/>
                <w:i/>
                <w:iCs/>
                <w:sz w:val="20"/>
              </w:rPr>
              <w:t>at</w:t>
            </w:r>
            <w:r w:rsidRPr="00964BDC">
              <w:rPr>
                <w:rFonts w:cs="Arial"/>
                <w:i/>
                <w:iCs/>
                <w:sz w:val="20"/>
              </w:rPr>
              <w:t xml:space="preserve"> the end of the month.  The last few dates of the month drop off for several applications.  Running two separate reports fixes this issue</w:t>
            </w:r>
            <w:r>
              <w:rPr>
                <w:rFonts w:cs="Arial"/>
                <w:sz w:val="20"/>
              </w:rPr>
              <w:t>.</w:t>
            </w:r>
          </w:p>
          <w:p w14:paraId="4F9103B9" w14:textId="223251CD" w:rsidR="00964BDC" w:rsidRDefault="00964BDC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F78D8DF" wp14:editId="4ED08799">
                  <wp:extent cx="1755321" cy="5715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601" cy="5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5DC59" w14:textId="75F2A744" w:rsidR="00A945D3" w:rsidRDefault="00A945D3" w:rsidP="00A945D3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SLA Report will appear on the screen, with tabs separating each </w:t>
            </w:r>
            <w:r w:rsidR="0044244E">
              <w:rPr>
                <w:rFonts w:cs="Arial"/>
                <w:sz w:val="20"/>
              </w:rPr>
              <w:t>Service Level Tier</w:t>
            </w:r>
            <w:r>
              <w:rPr>
                <w:rFonts w:cs="Arial"/>
                <w:sz w:val="20"/>
              </w:rPr>
              <w:t>.</w:t>
            </w:r>
            <w:r w:rsidR="00647B16">
              <w:rPr>
                <w:rFonts w:cs="Arial"/>
                <w:sz w:val="20"/>
              </w:rPr>
              <w:t xml:space="preserve">  </w:t>
            </w:r>
          </w:p>
          <w:p w14:paraId="0F103638" w14:textId="60D95500" w:rsidR="00A945D3" w:rsidRDefault="0044244E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9ED6B7" wp14:editId="242EB847">
                  <wp:extent cx="4299978" cy="200025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563" cy="201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5FA02" w14:textId="76E9DE62" w:rsidR="00647B16" w:rsidRPr="00647B16" w:rsidRDefault="00647B16" w:rsidP="005A7385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647B16">
              <w:rPr>
                <w:rFonts w:cs="Arial"/>
                <w:sz w:val="20"/>
              </w:rPr>
              <w:t>The date range of the report will depend on how the dates were set up in Step 2.</w:t>
            </w:r>
          </w:p>
          <w:p w14:paraId="54735FBA" w14:textId="4FBDD6F7" w:rsidR="00647B16" w:rsidRDefault="00647B16" w:rsidP="00647B16">
            <w:pPr>
              <w:pStyle w:val="NoSpacing"/>
              <w:numPr>
                <w:ilvl w:val="1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If date is not set to the last date of the month, continue to Step 2.</w:t>
            </w:r>
          </w:p>
          <w:p w14:paraId="28FED710" w14:textId="19BD12CE" w:rsidR="00A945D3" w:rsidRPr="007308C6" w:rsidRDefault="00647B16" w:rsidP="00572A43">
            <w:pPr>
              <w:pStyle w:val="NoSpacing"/>
              <w:numPr>
                <w:ilvl w:val="1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If date is set to the last date of the month</w:t>
            </w:r>
            <w:r w:rsidR="00B652EF">
              <w:rPr>
                <w:rFonts w:cs="Arial"/>
                <w:sz w:val="20"/>
              </w:rPr>
              <w:t xml:space="preserve"> (this can be identified if yesterday’s date appears on the report)</w:t>
            </w:r>
            <w:r>
              <w:rPr>
                <w:rFonts w:cs="Arial"/>
                <w:sz w:val="20"/>
              </w:rPr>
              <w:t xml:space="preserve">, continue to Step </w:t>
            </w:r>
            <w:r w:rsidR="00B652EF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.</w:t>
            </w:r>
            <w:r w:rsidR="00B652EF">
              <w:rPr>
                <w:rFonts w:cs="Arial"/>
                <w:sz w:val="20"/>
              </w:rPr>
              <w:t xml:space="preserve">  </w:t>
            </w:r>
          </w:p>
        </w:tc>
      </w:tr>
      <w:tr w:rsidR="002009AB" w:rsidRPr="006108A0" w14:paraId="4A8F5F6F" w14:textId="77777777" w:rsidTr="002009AB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B7AA" w14:textId="246D765C" w:rsidR="00AC7746" w:rsidRDefault="0014293E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the date range of the SLM Report:</w:t>
            </w:r>
          </w:p>
          <w:p w14:paraId="1662804A" w14:textId="5BE05AB1" w:rsidR="0014293E" w:rsidRDefault="0014293E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90420E7" w14:textId="77C294BE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“Edit” button at the top of the screen.</w:t>
            </w:r>
          </w:p>
          <w:p w14:paraId="7ED13714" w14:textId="32B4C843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“Data”.</w:t>
            </w:r>
          </w:p>
          <w:p w14:paraId="13161508" w14:textId="0EA86EB6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522AF09" wp14:editId="7EA1D28B">
                  <wp:extent cx="1133475" cy="590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7572B" w14:textId="53582E87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78FDDBBD" w14:textId="750107A7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422C538" wp14:editId="74F4F8FD">
                  <wp:extent cx="1352550" cy="476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F9AB6" w14:textId="1DC47577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 the “Filters” box, hover over “TrDate”.  A down arrow will appear.</w:t>
            </w:r>
          </w:p>
          <w:p w14:paraId="04AFEC9E" w14:textId="14DB28CE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A3B692" wp14:editId="6B199DC0">
                  <wp:extent cx="1743075" cy="44383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383" cy="45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920C2" w14:textId="6A9EAF33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“Value (Defined Value)”.</w:t>
            </w:r>
          </w:p>
          <w:p w14:paraId="7B35ED57" w14:textId="59CFA92E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A332EB5" wp14:editId="7959C3B5">
                  <wp:extent cx="1743075" cy="1540979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149" cy="1549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A2E58" w14:textId="64B42BF7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“Define Value”.</w:t>
            </w:r>
          </w:p>
          <w:p w14:paraId="6F0786E8" w14:textId="1BE28DCB" w:rsidR="0014293E" w:rsidRDefault="00514E52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</w:t>
            </w:r>
            <w:r w:rsidR="0014293E">
              <w:rPr>
                <w:rFonts w:ascii="Arial" w:hAnsi="Arial" w:cs="Arial"/>
                <w:sz w:val="20"/>
              </w:rPr>
              <w:t xml:space="preserve"> the “Defined Value” circle.</w:t>
            </w:r>
          </w:p>
          <w:p w14:paraId="635E85DB" w14:textId="2A1CC023" w:rsidR="0014293E" w:rsidRDefault="00514E52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 calendars to set the date range.  The format is DD/MM/YYYY.</w:t>
            </w:r>
          </w:p>
          <w:p w14:paraId="2C03D9FB" w14:textId="09627C2E" w:rsidR="00514E52" w:rsidRDefault="0044244E" w:rsidP="00514E52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42ABD5" wp14:editId="7F2AE9F9">
                  <wp:extent cx="2497691" cy="23145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090" cy="231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092E6" w14:textId="18182381" w:rsidR="00514E52" w:rsidRPr="008C2574" w:rsidRDefault="00514E52" w:rsidP="00514E52">
            <w:pPr>
              <w:pStyle w:val="BodyText1"/>
              <w:rPr>
                <w:rFonts w:ascii="Arial" w:hAnsi="Arial" w:cs="Arial"/>
                <w:sz w:val="20"/>
              </w:rPr>
            </w:pPr>
            <w:r w:rsidRPr="00514E52">
              <w:rPr>
                <w:rFonts w:ascii="Arial" w:hAnsi="Arial" w:cs="Arial"/>
                <w:b/>
                <w:i/>
                <w:sz w:val="20"/>
              </w:rPr>
              <w:t>Note:</w:t>
            </w:r>
            <w:r w:rsidRPr="00514E52">
              <w:rPr>
                <w:rFonts w:ascii="Arial" w:hAnsi="Arial" w:cs="Arial"/>
                <w:i/>
                <w:sz w:val="20"/>
              </w:rPr>
              <w:t xml:space="preserve"> If the last date of the month is selected in the second calendar field, this step will only need to be performed at the beginning of each month.</w:t>
            </w:r>
          </w:p>
          <w:p w14:paraId="7116BF30" w14:textId="51794193" w:rsidR="008C2574" w:rsidRDefault="008C2574" w:rsidP="008C2574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“Submit” button.  This will generate the Daily SLM Report.</w:t>
            </w:r>
          </w:p>
          <w:p w14:paraId="3FCA2F8F" w14:textId="4F06888B" w:rsidR="00572A43" w:rsidRPr="00314D68" w:rsidRDefault="008C2574" w:rsidP="0044244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87A830E" wp14:editId="6AE93894">
                  <wp:extent cx="3008630" cy="423080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510" cy="43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5A0" w:rsidRPr="006108A0" w14:paraId="28268E73" w14:textId="77777777" w:rsidTr="002009AB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8216B" w14:textId="4255A155" w:rsidR="00AC7746" w:rsidRDefault="00EC3CF0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Publish the Daily SLM Report</w:t>
            </w:r>
            <w:r w:rsidR="003B35A0">
              <w:rPr>
                <w:rFonts w:ascii="Arial" w:hAnsi="Arial" w:cs="Arial"/>
                <w:sz w:val="20"/>
              </w:rPr>
              <w:t>:</w:t>
            </w:r>
          </w:p>
          <w:p w14:paraId="6FDE261C" w14:textId="77777777" w:rsidR="00EC3CF0" w:rsidRDefault="00EC3CF0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218569B2" w14:textId="6E01D246" w:rsidR="00EC3CF0" w:rsidRDefault="00EC3CF0" w:rsidP="00EC3CF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the SLM Report has been generated from Step 2</w:t>
            </w:r>
            <w:r w:rsidR="003B35A0">
              <w:rPr>
                <w:rFonts w:ascii="Arial" w:hAnsi="Arial" w:cs="Arial"/>
                <w:sz w:val="20"/>
              </w:rPr>
              <w:t>, click the “Publish” button.</w:t>
            </w:r>
          </w:p>
          <w:p w14:paraId="7E55E711" w14:textId="56ECAC48" w:rsidR="003B35A0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093AA04" wp14:editId="2BEE3B83">
                  <wp:extent cx="1104900" cy="5524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32E0" w14:textId="20786760" w:rsidR="003B35A0" w:rsidRDefault="003B35A0" w:rsidP="003B35A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save the report and the date range which has been selected, click the “Save” button.</w:t>
            </w:r>
          </w:p>
          <w:p w14:paraId="62DBDFD3" w14:textId="469EC8FF" w:rsidR="00B652EF" w:rsidRPr="00314D68" w:rsidRDefault="0044244E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491AA63" wp14:editId="7FA53627">
                  <wp:extent cx="2076450" cy="245906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033" cy="2468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5A0" w:rsidRPr="006108A0" w14:paraId="20B4F629" w14:textId="77777777" w:rsidTr="002009AB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12EB13" w14:textId="77777777" w:rsidR="00AC7746" w:rsidRDefault="003B35A0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Export the Daily SLM Report:</w:t>
            </w:r>
          </w:p>
          <w:p w14:paraId="4C07ECB8" w14:textId="77777777" w:rsidR="003B35A0" w:rsidRDefault="003B35A0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5C8D66D" w14:textId="77777777" w:rsidR="003B35A0" w:rsidRDefault="003B35A0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“export” button near the top of the screen.</w:t>
            </w:r>
          </w:p>
          <w:p w14:paraId="7AE02342" w14:textId="77777777" w:rsidR="003B35A0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AA2FFBE" wp14:editId="3A3A02FA">
                  <wp:extent cx="542925" cy="4381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1129" w14:textId="77777777" w:rsidR="003B35A0" w:rsidRDefault="003B35A0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“Export to PDF”.</w:t>
            </w:r>
          </w:p>
          <w:p w14:paraId="30FCCA73" w14:textId="77777777" w:rsidR="003B35A0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8363A5" wp14:editId="26E52E9A">
                  <wp:extent cx="886778" cy="1266825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416" cy="129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85DC9" w14:textId="77777777" w:rsidR="003B35A0" w:rsidRDefault="003B35A0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“Landscape”.</w:t>
            </w:r>
          </w:p>
          <w:p w14:paraId="27895517" w14:textId="77777777" w:rsidR="003B35A0" w:rsidRDefault="003B35A0" w:rsidP="00433BF9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3B35A0">
              <w:rPr>
                <w:rFonts w:ascii="Arial" w:hAnsi="Arial" w:cs="Arial"/>
                <w:sz w:val="20"/>
              </w:rPr>
              <w:t>Click the “Export” button.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11337D9D" w14:textId="66665F60" w:rsidR="003B35A0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F7799C4" wp14:editId="6D0B6AE9">
                  <wp:extent cx="1699146" cy="10347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827" cy="107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AE67B" w14:textId="0A27F416" w:rsidR="003B35A0" w:rsidRDefault="0044244E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report will generate and appear at the bottom of the screen.  Double click to open it.</w:t>
            </w:r>
          </w:p>
          <w:p w14:paraId="66470D1E" w14:textId="336FC366" w:rsidR="003B35A0" w:rsidRDefault="0044244E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5B4DA4D" wp14:editId="78C5F63F">
                  <wp:extent cx="2009775" cy="475180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968" cy="48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4E390" w14:textId="5E856458" w:rsidR="003B35A0" w:rsidRDefault="0044244E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“Download” arrow at the top of the screen to save the report.</w:t>
            </w:r>
          </w:p>
          <w:p w14:paraId="3E677D47" w14:textId="0A936EB3" w:rsidR="0044244E" w:rsidRDefault="0044244E" w:rsidP="0044244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50A826C" wp14:editId="570E48A2">
                  <wp:extent cx="1371600" cy="319177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230" cy="32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A9495" w14:textId="77777777" w:rsidR="003B35A0" w:rsidRDefault="003B35A0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 the report to the Daily SLA Report folder located at:</w:t>
            </w:r>
          </w:p>
          <w:p w14:paraId="478B9FE4" w14:textId="1D96EDFB" w:rsidR="003B35A0" w:rsidRPr="0044244E" w:rsidRDefault="0044244E" w:rsidP="003B35A0">
            <w:pPr>
              <w:pStyle w:val="BodyText1"/>
              <w:ind w:left="720"/>
              <w:rPr>
                <w:rStyle w:val="Hyperlink"/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>HYPERLINK "\\\\jacksonnational.com\\SHARE\\hq\\vol3\\share\\Service Delivery\\Service Level Management\\SLA Reporting\\Reporting"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3B35A0" w:rsidRPr="0044244E">
              <w:rPr>
                <w:rStyle w:val="Hyperlink"/>
                <w:rFonts w:ascii="Arial" w:hAnsi="Arial" w:cs="Arial"/>
                <w:sz w:val="20"/>
              </w:rPr>
              <w:t>O:\Service Delivery\Service Level Management\Reporting</w:t>
            </w:r>
            <w:r>
              <w:rPr>
                <w:rStyle w:val="Hyperlink"/>
                <w:rFonts w:ascii="Arial" w:hAnsi="Arial" w:cs="Arial"/>
                <w:sz w:val="20"/>
              </w:rPr>
              <w:t>\</w:t>
            </w:r>
            <w:r>
              <w:rPr>
                <w:rStyle w:val="Hyperlink"/>
                <w:rFonts w:cs="Arial"/>
                <w:sz w:val="20"/>
              </w:rPr>
              <w:t>YEAR\Daily SLA Reporting\MONTH</w:t>
            </w:r>
          </w:p>
          <w:p w14:paraId="0FE35EB5" w14:textId="4A2AC9EA" w:rsidR="003B35A0" w:rsidRPr="00314D68" w:rsidRDefault="0044244E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end"/>
            </w:r>
            <w:r w:rsidR="003B35A0">
              <w:rPr>
                <w:rFonts w:ascii="Arial" w:hAnsi="Arial" w:cs="Arial"/>
                <w:sz w:val="20"/>
              </w:rPr>
              <w:t xml:space="preserve">Navigate to the current month and save the report as </w:t>
            </w:r>
            <w:r w:rsidR="003B35A0" w:rsidRPr="003B35A0">
              <w:rPr>
                <w:rFonts w:ascii="Arial" w:hAnsi="Arial" w:cs="Arial"/>
                <w:color w:val="FF0000"/>
                <w:sz w:val="20"/>
              </w:rPr>
              <w:t>SLA Daily Report MMDDYYY.pdf</w:t>
            </w:r>
          </w:p>
        </w:tc>
      </w:tr>
      <w:tr w:rsidR="003B35A0" w:rsidRPr="006108A0" w14:paraId="315388AD" w14:textId="77777777" w:rsidTr="002009AB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45176" w14:textId="5CC75644" w:rsidR="002009AB" w:rsidRDefault="002009AB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Publish Daily SLA Report to </w:t>
            </w:r>
            <w:r w:rsidR="00D73BE4">
              <w:rPr>
                <w:rFonts w:ascii="Arial" w:hAnsi="Arial" w:cs="Arial"/>
                <w:sz w:val="20"/>
              </w:rPr>
              <w:t>SharePoint</w:t>
            </w:r>
            <w:r>
              <w:rPr>
                <w:rFonts w:ascii="Arial" w:hAnsi="Arial" w:cs="Arial"/>
                <w:sz w:val="20"/>
              </w:rPr>
              <w:t>:</w:t>
            </w:r>
          </w:p>
          <w:p w14:paraId="2B16BB7B" w14:textId="77777777" w:rsidR="002009AB" w:rsidRDefault="002009AB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855BFD2" w14:textId="267CDC8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Navigate to </w:t>
            </w:r>
            <w:hyperlink r:id="rId32" w:anchor="/Daily%20Reporting/Forms/current.aspx?RootFolder=%2Fit%2Fsites%2Frs%2FDaily%20Reporting%2FSLM&amp;FolderCTID=0x012000AF1427B489A1CD4BA12B90F950303DFE&amp;View=%7B1D5400F7%2DF40D%2D4DC8%2DAED7%2DCCDABECB8C2F%7D" w:history="1">
              <w:r w:rsidRPr="002009AB">
                <w:rPr>
                  <w:rStyle w:val="Hyperlink"/>
                  <w:rFonts w:ascii="Arial" w:hAnsi="Arial" w:cs="Arial"/>
                  <w:sz w:val="20"/>
                </w:rPr>
                <w:t>Daily Reporting/SLM</w:t>
              </w:r>
            </w:hyperlink>
            <w:r>
              <w:rPr>
                <w:rFonts w:ascii="Arial" w:hAnsi="Arial" w:cs="Arial"/>
                <w:sz w:val="20"/>
              </w:rPr>
              <w:t xml:space="preserve"> in </w:t>
            </w:r>
            <w:r w:rsidR="0048257F">
              <w:rPr>
                <w:rFonts w:ascii="Arial" w:hAnsi="Arial" w:cs="Arial"/>
                <w:sz w:val="20"/>
              </w:rPr>
              <w:t>SharePoint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33541B3A" w14:textId="7777777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the current year.</w:t>
            </w:r>
          </w:p>
          <w:p w14:paraId="4C0DE9E3" w14:textId="7777777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“Daily SLA Report” folder.</w:t>
            </w:r>
          </w:p>
          <w:p w14:paraId="3B02B5B3" w14:textId="7777777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current month’s folder.</w:t>
            </w:r>
          </w:p>
          <w:p w14:paraId="3EC36C2F" w14:textId="7777777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“Upload” button.</w:t>
            </w:r>
          </w:p>
          <w:p w14:paraId="6F41D4B6" w14:textId="77777777" w:rsidR="002009AB" w:rsidRDefault="002009AB" w:rsidP="002009AB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C2BAFF" wp14:editId="418CA94B">
                  <wp:extent cx="923925" cy="3333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D2A20" w14:textId="7BDABB6E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“Browse” button and navigate to where the Daily SLA Report is located.</w:t>
            </w:r>
          </w:p>
          <w:p w14:paraId="11555330" w14:textId="33A21A6D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6CDC8A6E" w14:textId="0548D83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“Save” button.</w:t>
            </w:r>
          </w:p>
          <w:p w14:paraId="54A74D76" w14:textId="19580E5D" w:rsidR="002009AB" w:rsidRPr="00314D68" w:rsidRDefault="002009AB" w:rsidP="002009AB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2BC3AD" wp14:editId="180EC950">
                  <wp:extent cx="2676525" cy="167887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47" cy="169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56575" w14:textId="19B4F7AF" w:rsidR="00535AA7" w:rsidRDefault="00535AA7" w:rsidP="00535AA7">
      <w:pPr>
        <w:rPr>
          <w:rFonts w:cs="Arial"/>
        </w:rPr>
      </w:pPr>
    </w:p>
    <w:p w14:paraId="4E8EB324" w14:textId="537B3941" w:rsidR="004814B8" w:rsidRDefault="004814B8" w:rsidP="00535AA7">
      <w:pPr>
        <w:rPr>
          <w:rFonts w:cs="Arial"/>
        </w:rPr>
      </w:pPr>
    </w:p>
    <w:p w14:paraId="2AA1D770" w14:textId="77777777" w:rsidR="00117692" w:rsidRDefault="00117692" w:rsidP="00117692">
      <w:pPr>
        <w:rPr>
          <w:rFonts w:cs="Arial"/>
          <w:b/>
          <w:u w:val="single"/>
        </w:rPr>
      </w:pPr>
    </w:p>
    <w:p w14:paraId="1DD2C073" w14:textId="77777777" w:rsidR="00117692" w:rsidRDefault="00117692" w:rsidP="00117692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392DD0AC" w14:textId="77777777" w:rsidR="00117692" w:rsidRDefault="00117692" w:rsidP="00117692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DAB289B" w14:textId="77777777" w:rsidR="00117692" w:rsidRDefault="00117692" w:rsidP="00117692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1A419F26" w14:textId="77777777" w:rsidR="00117692" w:rsidRDefault="00117692" w:rsidP="00117692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62832A4D" w14:textId="77777777" w:rsidR="00117692" w:rsidRDefault="00117692" w:rsidP="00117692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5CFAC056" w14:textId="77777777" w:rsidR="00117692" w:rsidRDefault="00117692" w:rsidP="00117692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AB314C1" w:rsidR="00843C24" w:rsidRDefault="00147BB1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5A9FCA49" w:rsidR="00843C24" w:rsidRDefault="00117692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55A63E0D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7308C6">
              <w:rPr>
                <w:rFonts w:ascii="Arial" w:hAnsi="Arial" w:cs="Arial"/>
                <w:sz w:val="18"/>
                <w:szCs w:val="18"/>
              </w:rPr>
              <w:t>01/08/2019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="007E50B6">
              <w:rPr>
                <w:rFonts w:ascii="Arial" w:hAnsi="Arial" w:cs="Arial"/>
                <w:sz w:val="18"/>
                <w:szCs w:val="18"/>
              </w:rPr>
              <w:t>05/27/2020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AD01A" w14:textId="77777777" w:rsidR="00117692" w:rsidRDefault="00117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35411C54" w:rsidR="006F36F3" w:rsidRDefault="0008682D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C11D9B">
      <w:rPr>
        <w:noProof/>
      </w:rPr>
      <w:t>5/27/2020 2:04 PM</w:t>
    </w:r>
    <w:r>
      <w:fldChar w:fldCharType="end"/>
    </w:r>
    <w:r w:rsidR="00572A43">
      <w:t xml:space="preserve">    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37E44" w14:textId="77777777" w:rsidR="00117692" w:rsidRDefault="00117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62E23" w14:textId="77777777" w:rsidR="00117692" w:rsidRDefault="00117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6A0F2" w14:textId="77777777" w:rsidR="00117692" w:rsidRDefault="00117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AD4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D59F6"/>
    <w:multiLevelType w:val="hybridMultilevel"/>
    <w:tmpl w:val="D79AE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29C6FA1"/>
    <w:multiLevelType w:val="hybridMultilevel"/>
    <w:tmpl w:val="7D268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3700F"/>
    <w:multiLevelType w:val="hybridMultilevel"/>
    <w:tmpl w:val="86FAB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5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7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8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2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3" w15:restartNumberingAfterBreak="0">
    <w:nsid w:val="59A13427"/>
    <w:multiLevelType w:val="hybridMultilevel"/>
    <w:tmpl w:val="36583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5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D65326"/>
    <w:multiLevelType w:val="hybridMultilevel"/>
    <w:tmpl w:val="525AA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217E74"/>
    <w:multiLevelType w:val="hybridMultilevel"/>
    <w:tmpl w:val="E4BA3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1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2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33"/>
  </w:num>
  <w:num w:numId="4">
    <w:abstractNumId w:val="32"/>
  </w:num>
  <w:num w:numId="5">
    <w:abstractNumId w:val="25"/>
  </w:num>
  <w:num w:numId="6">
    <w:abstractNumId w:val="10"/>
  </w:num>
  <w:num w:numId="7">
    <w:abstractNumId w:val="20"/>
  </w:num>
  <w:num w:numId="8">
    <w:abstractNumId w:val="2"/>
  </w:num>
  <w:num w:numId="9">
    <w:abstractNumId w:val="13"/>
  </w:num>
  <w:num w:numId="10">
    <w:abstractNumId w:val="19"/>
  </w:num>
  <w:num w:numId="11">
    <w:abstractNumId w:val="22"/>
  </w:num>
  <w:num w:numId="12">
    <w:abstractNumId w:val="0"/>
  </w:num>
  <w:num w:numId="13">
    <w:abstractNumId w:val="28"/>
  </w:num>
  <w:num w:numId="14">
    <w:abstractNumId w:val="1"/>
  </w:num>
  <w:num w:numId="15">
    <w:abstractNumId w:val="16"/>
  </w:num>
  <w:num w:numId="16">
    <w:abstractNumId w:val="15"/>
  </w:num>
  <w:num w:numId="17">
    <w:abstractNumId w:val="14"/>
  </w:num>
  <w:num w:numId="18">
    <w:abstractNumId w:val="8"/>
  </w:num>
  <w:num w:numId="19">
    <w:abstractNumId w:val="4"/>
  </w:num>
  <w:num w:numId="20">
    <w:abstractNumId w:val="31"/>
  </w:num>
  <w:num w:numId="21">
    <w:abstractNumId w:val="9"/>
  </w:num>
  <w:num w:numId="22">
    <w:abstractNumId w:val="24"/>
  </w:num>
  <w:num w:numId="23">
    <w:abstractNumId w:val="3"/>
  </w:num>
  <w:num w:numId="24">
    <w:abstractNumId w:val="30"/>
  </w:num>
  <w:num w:numId="25">
    <w:abstractNumId w:val="18"/>
  </w:num>
  <w:num w:numId="26">
    <w:abstractNumId w:val="17"/>
  </w:num>
  <w:num w:numId="27">
    <w:abstractNumId w:val="5"/>
  </w:num>
  <w:num w:numId="28">
    <w:abstractNumId w:val="24"/>
  </w:num>
  <w:num w:numId="29">
    <w:abstractNumId w:val="7"/>
  </w:num>
  <w:num w:numId="30">
    <w:abstractNumId w:val="12"/>
  </w:num>
  <w:num w:numId="31">
    <w:abstractNumId w:val="6"/>
  </w:num>
  <w:num w:numId="32">
    <w:abstractNumId w:val="11"/>
  </w:num>
  <w:num w:numId="33">
    <w:abstractNumId w:val="23"/>
  </w:num>
  <w:num w:numId="34">
    <w:abstractNumId w:val="29"/>
  </w:num>
  <w:num w:numId="35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8682D"/>
    <w:rsid w:val="000A0C5F"/>
    <w:rsid w:val="000F7A52"/>
    <w:rsid w:val="00106A5A"/>
    <w:rsid w:val="00107EDA"/>
    <w:rsid w:val="001117F9"/>
    <w:rsid w:val="00115FED"/>
    <w:rsid w:val="00117692"/>
    <w:rsid w:val="00130DE0"/>
    <w:rsid w:val="0014293E"/>
    <w:rsid w:val="00147BB1"/>
    <w:rsid w:val="00157A90"/>
    <w:rsid w:val="002009AB"/>
    <w:rsid w:val="00211F74"/>
    <w:rsid w:val="00243F84"/>
    <w:rsid w:val="002966FD"/>
    <w:rsid w:val="002B2743"/>
    <w:rsid w:val="002E4B80"/>
    <w:rsid w:val="0031456C"/>
    <w:rsid w:val="00314D68"/>
    <w:rsid w:val="0037004D"/>
    <w:rsid w:val="00385E21"/>
    <w:rsid w:val="0038754C"/>
    <w:rsid w:val="00396B5B"/>
    <w:rsid w:val="003B35A0"/>
    <w:rsid w:val="003B3686"/>
    <w:rsid w:val="003B4B97"/>
    <w:rsid w:val="003B57FA"/>
    <w:rsid w:val="003E140A"/>
    <w:rsid w:val="003E68D2"/>
    <w:rsid w:val="0044244E"/>
    <w:rsid w:val="00461E98"/>
    <w:rsid w:val="0047123C"/>
    <w:rsid w:val="004814B8"/>
    <w:rsid w:val="0048257F"/>
    <w:rsid w:val="004A140E"/>
    <w:rsid w:val="004B304A"/>
    <w:rsid w:val="004D4088"/>
    <w:rsid w:val="004D4360"/>
    <w:rsid w:val="004E4078"/>
    <w:rsid w:val="004F2DE1"/>
    <w:rsid w:val="00514E52"/>
    <w:rsid w:val="005332E6"/>
    <w:rsid w:val="00535AA7"/>
    <w:rsid w:val="00572A43"/>
    <w:rsid w:val="005C6621"/>
    <w:rsid w:val="006108A0"/>
    <w:rsid w:val="00631334"/>
    <w:rsid w:val="00647B16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308C6"/>
    <w:rsid w:val="007653F6"/>
    <w:rsid w:val="007675E4"/>
    <w:rsid w:val="007A3C31"/>
    <w:rsid w:val="007A4E80"/>
    <w:rsid w:val="007D015B"/>
    <w:rsid w:val="007D06FE"/>
    <w:rsid w:val="007E50B6"/>
    <w:rsid w:val="007F44AE"/>
    <w:rsid w:val="0080549C"/>
    <w:rsid w:val="00812063"/>
    <w:rsid w:val="00832278"/>
    <w:rsid w:val="00843C24"/>
    <w:rsid w:val="0088547F"/>
    <w:rsid w:val="00896AD4"/>
    <w:rsid w:val="008A03E0"/>
    <w:rsid w:val="008C2574"/>
    <w:rsid w:val="008C2ABE"/>
    <w:rsid w:val="008D3A31"/>
    <w:rsid w:val="008F1737"/>
    <w:rsid w:val="008F4526"/>
    <w:rsid w:val="009060E1"/>
    <w:rsid w:val="009249F3"/>
    <w:rsid w:val="009559CB"/>
    <w:rsid w:val="009618D1"/>
    <w:rsid w:val="00964BDC"/>
    <w:rsid w:val="00966150"/>
    <w:rsid w:val="00A07439"/>
    <w:rsid w:val="00A14DB3"/>
    <w:rsid w:val="00A2001B"/>
    <w:rsid w:val="00A46084"/>
    <w:rsid w:val="00A64533"/>
    <w:rsid w:val="00A672EE"/>
    <w:rsid w:val="00A7322E"/>
    <w:rsid w:val="00A81FF8"/>
    <w:rsid w:val="00A945D3"/>
    <w:rsid w:val="00A967C8"/>
    <w:rsid w:val="00AB3C99"/>
    <w:rsid w:val="00AC0954"/>
    <w:rsid w:val="00AC46F6"/>
    <w:rsid w:val="00AC7746"/>
    <w:rsid w:val="00AF2F1F"/>
    <w:rsid w:val="00B16274"/>
    <w:rsid w:val="00B652EF"/>
    <w:rsid w:val="00BB6713"/>
    <w:rsid w:val="00BB775C"/>
    <w:rsid w:val="00BC05A3"/>
    <w:rsid w:val="00BC656D"/>
    <w:rsid w:val="00BF67ED"/>
    <w:rsid w:val="00C037D5"/>
    <w:rsid w:val="00C11D9B"/>
    <w:rsid w:val="00C14D06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73BE4"/>
    <w:rsid w:val="00D82AD1"/>
    <w:rsid w:val="00D96F67"/>
    <w:rsid w:val="00DC4B42"/>
    <w:rsid w:val="00DE0D50"/>
    <w:rsid w:val="00E172F0"/>
    <w:rsid w:val="00E66CE6"/>
    <w:rsid w:val="00E842EF"/>
    <w:rsid w:val="00E94B60"/>
    <w:rsid w:val="00EC3CF0"/>
    <w:rsid w:val="00ED441B"/>
    <w:rsid w:val="00ED5AC8"/>
    <w:rsid w:val="00F17820"/>
    <w:rsid w:val="00F345F1"/>
    <w:rsid w:val="00F84556"/>
    <w:rsid w:val="00F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30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remedy.jacksonnational.com/arsy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fluence.jacksonnational.com/display/CPENABLE/02+-+Working+CI+Unavailability+Record+Tickets+Procedure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docs.jackson.local/it/sites/rs/_layouts/15/start.aspx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http://purl.org/dc/elements/1.1/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342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43</cp:revision>
  <cp:lastPrinted>2019-01-08T17:31:00Z</cp:lastPrinted>
  <dcterms:created xsi:type="dcterms:W3CDTF">2017-02-14T20:54:00Z</dcterms:created>
  <dcterms:modified xsi:type="dcterms:W3CDTF">2020-05-27T18:05:00Z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