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02C062DA" w:rsidR="00D02451" w:rsidRPr="00A2001B" w:rsidRDefault="0088547F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Generate </w:t>
      </w:r>
      <w:r w:rsidR="00A7722D">
        <w:rPr>
          <w:rFonts w:cs="Arial"/>
          <w:color w:val="C00000"/>
        </w:rPr>
        <w:t>Weekly</w:t>
      </w:r>
      <w:r w:rsidR="007308C6">
        <w:rPr>
          <w:rFonts w:cs="Arial"/>
          <w:color w:val="C00000"/>
        </w:rPr>
        <w:t xml:space="preserve"> SL</w:t>
      </w:r>
      <w:r w:rsidR="00C9711D">
        <w:rPr>
          <w:rFonts w:cs="Arial"/>
          <w:color w:val="C00000"/>
        </w:rPr>
        <w:t>A</w:t>
      </w:r>
      <w:r w:rsidR="007308C6">
        <w:rPr>
          <w:rFonts w:cs="Arial"/>
          <w:color w:val="C00000"/>
        </w:rPr>
        <w:t xml:space="preserve"> Report</w:t>
      </w:r>
      <w:r w:rsidR="00832278">
        <w:rPr>
          <w:rFonts w:cs="Arial"/>
          <w:color w:val="C00000"/>
        </w:rPr>
        <w:t xml:space="preserve"> Procedure</w:t>
      </w:r>
    </w:p>
    <w:p w14:paraId="664C0E08" w14:textId="082B5A1A" w:rsidR="00D02451" w:rsidRPr="006108A0" w:rsidRDefault="002A49FC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3A8F4506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52D44229" w14:textId="7392B301" w:rsidR="004F306F" w:rsidRDefault="00924535" w:rsidP="001850DC">
      <w:pPr>
        <w:pStyle w:val="NoSpacing"/>
        <w:rPr>
          <w:rFonts w:cs="Arial"/>
          <w:sz w:val="22"/>
          <w:szCs w:val="22"/>
        </w:rPr>
      </w:pPr>
      <w:r w:rsidRPr="00CA25AB">
        <w:rPr>
          <w:rFonts w:cs="Arial"/>
          <w:sz w:val="22"/>
          <w:szCs w:val="22"/>
        </w:rPr>
        <w:t xml:space="preserve">The </w:t>
      </w:r>
      <w:r w:rsidR="00A7722D">
        <w:rPr>
          <w:rFonts w:cs="Arial"/>
          <w:sz w:val="22"/>
          <w:szCs w:val="22"/>
        </w:rPr>
        <w:t>Weekly</w:t>
      </w:r>
      <w:r w:rsidRPr="00CA25AB">
        <w:rPr>
          <w:rFonts w:cs="Arial"/>
          <w:sz w:val="22"/>
          <w:szCs w:val="22"/>
        </w:rPr>
        <w:t xml:space="preserve"> SL</w:t>
      </w:r>
      <w:r>
        <w:rPr>
          <w:rFonts w:cs="Arial"/>
          <w:sz w:val="22"/>
          <w:szCs w:val="22"/>
        </w:rPr>
        <w:t>A</w:t>
      </w:r>
      <w:r w:rsidRPr="00CA25AB">
        <w:rPr>
          <w:rFonts w:cs="Arial"/>
          <w:sz w:val="22"/>
          <w:szCs w:val="22"/>
        </w:rPr>
        <w:t xml:space="preserve"> Report</w:t>
      </w:r>
      <w:r w:rsidR="001850DC">
        <w:rPr>
          <w:rFonts w:cs="Arial"/>
          <w:sz w:val="22"/>
          <w:szCs w:val="22"/>
        </w:rPr>
        <w:t>s are</w:t>
      </w:r>
      <w:r w:rsidRPr="00CA25AB">
        <w:rPr>
          <w:rFonts w:cs="Arial"/>
          <w:sz w:val="22"/>
          <w:szCs w:val="22"/>
        </w:rPr>
        <w:t xml:space="preserve"> run from the first date of the </w:t>
      </w:r>
      <w:r w:rsidR="005F229F">
        <w:rPr>
          <w:rFonts w:cs="Arial"/>
          <w:sz w:val="22"/>
          <w:szCs w:val="22"/>
        </w:rPr>
        <w:t>current</w:t>
      </w:r>
      <w:r w:rsidRPr="00CA25AB">
        <w:rPr>
          <w:rFonts w:cs="Arial"/>
          <w:sz w:val="22"/>
          <w:szCs w:val="22"/>
        </w:rPr>
        <w:t xml:space="preserve"> </w:t>
      </w:r>
      <w:bookmarkStart w:id="1" w:name="_GoBack"/>
      <w:r w:rsidRPr="00CA25AB">
        <w:rPr>
          <w:rFonts w:cs="Arial"/>
          <w:sz w:val="22"/>
          <w:szCs w:val="22"/>
        </w:rPr>
        <w:t>month</w:t>
      </w:r>
      <w:bookmarkEnd w:id="1"/>
      <w:r w:rsidRPr="00CA25AB">
        <w:rPr>
          <w:rFonts w:cs="Arial"/>
          <w:sz w:val="22"/>
          <w:szCs w:val="22"/>
        </w:rPr>
        <w:t xml:space="preserve"> to the </w:t>
      </w:r>
      <w:r w:rsidR="005F229F">
        <w:rPr>
          <w:rFonts w:cs="Arial"/>
          <w:sz w:val="22"/>
          <w:szCs w:val="22"/>
        </w:rPr>
        <w:t xml:space="preserve">most recent Wednesday.  </w:t>
      </w:r>
      <w:r w:rsidRPr="00CA25AB">
        <w:rPr>
          <w:rFonts w:cs="Arial"/>
          <w:sz w:val="22"/>
          <w:szCs w:val="22"/>
        </w:rPr>
        <w:t xml:space="preserve">Comments and carve-outs will already appear on the </w:t>
      </w:r>
      <w:r w:rsidR="004F306F">
        <w:rPr>
          <w:rFonts w:cs="Arial"/>
          <w:sz w:val="22"/>
          <w:szCs w:val="22"/>
        </w:rPr>
        <w:t xml:space="preserve">detail </w:t>
      </w:r>
      <w:r w:rsidRPr="00CA25AB">
        <w:rPr>
          <w:rFonts w:cs="Arial"/>
          <w:sz w:val="22"/>
          <w:szCs w:val="22"/>
        </w:rPr>
        <w:t>report, based on the daily review of the SL</w:t>
      </w:r>
      <w:r>
        <w:rPr>
          <w:rFonts w:cs="Arial"/>
          <w:sz w:val="22"/>
          <w:szCs w:val="22"/>
        </w:rPr>
        <w:t>A</w:t>
      </w:r>
      <w:r w:rsidRPr="00CA25AB">
        <w:rPr>
          <w:rFonts w:cs="Arial"/>
          <w:sz w:val="22"/>
          <w:szCs w:val="22"/>
        </w:rPr>
        <w:t xml:space="preserve"> Report throughout the </w:t>
      </w:r>
      <w:r w:rsidR="005F229F">
        <w:rPr>
          <w:rFonts w:cs="Arial"/>
          <w:sz w:val="22"/>
          <w:szCs w:val="22"/>
        </w:rPr>
        <w:t>month.</w:t>
      </w:r>
      <w:r w:rsidR="001850DC">
        <w:rPr>
          <w:rFonts w:cs="Arial"/>
          <w:sz w:val="22"/>
          <w:szCs w:val="22"/>
        </w:rPr>
        <w:t xml:space="preserve">  </w:t>
      </w:r>
    </w:p>
    <w:p w14:paraId="7D45ABFE" w14:textId="35A16785" w:rsidR="003F0395" w:rsidRDefault="001850DC" w:rsidP="001850DC">
      <w:pPr>
        <w:pStyle w:val="NoSpacing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There are sixteen reports created. A PDF and Excel version </w:t>
      </w:r>
      <w:r w:rsidR="004F306F">
        <w:rPr>
          <w:rFonts w:cs="Arial"/>
          <w:sz w:val="22"/>
          <w:szCs w:val="22"/>
        </w:rPr>
        <w:t>of</w:t>
      </w:r>
      <w:r>
        <w:rPr>
          <w:rFonts w:cs="Arial"/>
          <w:sz w:val="22"/>
          <w:szCs w:val="22"/>
        </w:rPr>
        <w:t xml:space="preserve"> the </w:t>
      </w:r>
      <w:r w:rsidR="005F229F">
        <w:rPr>
          <w:rFonts w:cs="Arial"/>
          <w:sz w:val="22"/>
          <w:szCs w:val="22"/>
        </w:rPr>
        <w:t xml:space="preserve">Weekly </w:t>
      </w:r>
      <w:r>
        <w:rPr>
          <w:rFonts w:cs="Arial"/>
          <w:sz w:val="22"/>
          <w:szCs w:val="22"/>
        </w:rPr>
        <w:t xml:space="preserve">Percentage Summary </w:t>
      </w:r>
      <w:r w:rsidR="004F306F">
        <w:rPr>
          <w:rFonts w:cs="Arial"/>
          <w:sz w:val="22"/>
          <w:szCs w:val="22"/>
        </w:rPr>
        <w:t>r</w:t>
      </w:r>
      <w:r>
        <w:rPr>
          <w:rFonts w:cs="Arial"/>
          <w:sz w:val="22"/>
          <w:szCs w:val="22"/>
        </w:rPr>
        <w:t>eport</w:t>
      </w:r>
      <w:r w:rsidR="004F306F">
        <w:rPr>
          <w:rFonts w:cs="Arial"/>
          <w:sz w:val="22"/>
          <w:szCs w:val="22"/>
        </w:rPr>
        <w:t>s</w:t>
      </w:r>
      <w:r>
        <w:rPr>
          <w:rFonts w:cs="Arial"/>
          <w:sz w:val="22"/>
          <w:szCs w:val="22"/>
        </w:rPr>
        <w:t xml:space="preserve"> for each Service Level Tier (Platinum, Gold, Silver, and Bronze) and the same for the </w:t>
      </w:r>
      <w:r w:rsidR="005F229F">
        <w:rPr>
          <w:rFonts w:cs="Arial"/>
          <w:sz w:val="22"/>
          <w:szCs w:val="22"/>
        </w:rPr>
        <w:t xml:space="preserve">Weekly </w:t>
      </w:r>
      <w:r>
        <w:rPr>
          <w:rFonts w:cs="Arial"/>
          <w:sz w:val="22"/>
          <w:szCs w:val="22"/>
        </w:rPr>
        <w:t xml:space="preserve">Applications Detail reports.  These reports are used as the raw data for the CPI and KPI reports which are published to Jackson each </w:t>
      </w:r>
      <w:r w:rsidR="005F229F">
        <w:rPr>
          <w:rFonts w:cs="Arial"/>
          <w:sz w:val="22"/>
          <w:szCs w:val="22"/>
        </w:rPr>
        <w:t>Friday.</w:t>
      </w:r>
      <w:r w:rsidR="00420B86">
        <w:rPr>
          <w:rFonts w:cs="Arial"/>
          <w:sz w:val="22"/>
          <w:szCs w:val="22"/>
        </w:rPr>
        <w:t xml:space="preserve">  Work on the Daily SLA Report should be completed on Thursday morning before beginning this procedure.</w:t>
      </w:r>
    </w:p>
    <w:p w14:paraId="5103D7D6" w14:textId="5357733F" w:rsidR="00E65332" w:rsidRDefault="00E65332" w:rsidP="003F039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more information see:</w:t>
      </w:r>
    </w:p>
    <w:p w14:paraId="5CED2654" w14:textId="1AEF4965" w:rsidR="00E65332" w:rsidRPr="004F306F" w:rsidRDefault="004F306F" w:rsidP="003F0395">
      <w:p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>HYPERLINK "https://confluence.jacksonnational.com/display/CPENABLE/02+-+Working+CI+Unavailability+Record+Tickets+Procedure"</w:instrText>
      </w:r>
      <w:r>
        <w:rPr>
          <w:rFonts w:cs="Arial"/>
          <w:sz w:val="22"/>
          <w:szCs w:val="22"/>
        </w:rPr>
        <w:fldChar w:fldCharType="separate"/>
      </w:r>
      <w:r w:rsidR="00E65332" w:rsidRPr="004F306F">
        <w:rPr>
          <w:rStyle w:val="Hyperlink"/>
          <w:rFonts w:cs="Arial"/>
          <w:sz w:val="22"/>
          <w:szCs w:val="22"/>
        </w:rPr>
        <w:t>Working CI Unavailability Record Tickets Procedure</w:t>
      </w:r>
    </w:p>
    <w:p w14:paraId="4EFAA8F1" w14:textId="142D7D2B" w:rsidR="00D3737A" w:rsidRDefault="004F306F" w:rsidP="003F0395">
      <w:p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  <w:hyperlink r:id="rId11" w:history="1">
        <w:r w:rsidRPr="004F306F">
          <w:rPr>
            <w:rStyle w:val="Hyperlink"/>
            <w:rFonts w:cs="Arial"/>
            <w:sz w:val="22"/>
            <w:szCs w:val="22"/>
          </w:rPr>
          <w:t>Manually Monitor Services Procedure</w:t>
        </w:r>
      </w:hyperlink>
    </w:p>
    <w:p w14:paraId="302793CB" w14:textId="26C0D35D" w:rsidR="00293410" w:rsidRPr="003F0395" w:rsidRDefault="00FF5E34" w:rsidP="003F0395">
      <w:pPr>
        <w:rPr>
          <w:rFonts w:cs="Arial"/>
          <w:sz w:val="22"/>
          <w:szCs w:val="22"/>
        </w:rPr>
      </w:pPr>
      <w:hyperlink r:id="rId12" w:history="1">
        <w:r w:rsidR="00293410" w:rsidRPr="00293410">
          <w:rPr>
            <w:rStyle w:val="Hyperlink"/>
            <w:rFonts w:cs="Arial"/>
            <w:sz w:val="22"/>
            <w:szCs w:val="22"/>
          </w:rPr>
          <w:t>Generate Daily SLA Report</w:t>
        </w:r>
      </w:hyperlink>
    </w:p>
    <w:p w14:paraId="30E5B743" w14:textId="77777777" w:rsidR="007308C6" w:rsidRDefault="007308C6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457516D9" w:rsidR="00115FED" w:rsidRPr="00115FED" w:rsidRDefault="00FF5E34" w:rsidP="00AC7746">
      <w:pPr>
        <w:numPr>
          <w:ilvl w:val="0"/>
          <w:numId w:val="27"/>
        </w:numPr>
        <w:rPr>
          <w:rFonts w:cs="Arial"/>
          <w:sz w:val="20"/>
        </w:rPr>
      </w:pPr>
      <w:hyperlink r:id="rId13" w:history="1">
        <w:r w:rsidR="00E94B60" w:rsidRPr="00896AD4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633611BF" w:rsidR="00115FED" w:rsidRPr="00115FED" w:rsidRDefault="002A49FC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51"/>
        <w:gridCol w:w="9144"/>
      </w:tblGrid>
      <w:tr w:rsidR="00A67305" w:rsidRPr="006108A0" w14:paraId="563F284C" w14:textId="77777777" w:rsidTr="00AF437F">
        <w:tc>
          <w:tcPr>
            <w:tcW w:w="379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6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A67305" w:rsidRPr="006108A0" w14:paraId="538D5901" w14:textId="77777777" w:rsidTr="00AF437F"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1A31242D" w:rsidR="00016922" w:rsidRPr="006108A0" w:rsidRDefault="007503B2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2D573" w14:textId="55693D96" w:rsidR="007308C6" w:rsidRDefault="007308C6" w:rsidP="00DE0D50">
            <w:pPr>
              <w:pStyle w:val="NoSpacing"/>
              <w:rPr>
                <w:rFonts w:cs="Arial"/>
                <w:sz w:val="20"/>
              </w:rPr>
            </w:pPr>
            <w:r w:rsidRPr="00D3737A">
              <w:rPr>
                <w:rFonts w:cs="Arial"/>
                <w:b/>
                <w:sz w:val="20"/>
              </w:rPr>
              <w:t>Access Remedy at the following location:</w:t>
            </w:r>
            <w:r>
              <w:rPr>
                <w:rFonts w:cs="Arial"/>
                <w:sz w:val="20"/>
              </w:rPr>
              <w:t xml:space="preserve">  </w:t>
            </w:r>
            <w:hyperlink r:id="rId14" w:history="1">
              <w:r w:rsidRPr="00D21278">
                <w:rPr>
                  <w:rStyle w:val="Hyperlink"/>
                  <w:rFonts w:cs="Arial"/>
                  <w:sz w:val="20"/>
                </w:rPr>
                <w:t>https://remedy.jacksonnational.com/arsys/</w:t>
              </w:r>
            </w:hyperlink>
          </w:p>
          <w:p w14:paraId="07F9D8E1" w14:textId="1701D714" w:rsidR="007308C6" w:rsidRDefault="007308C6" w:rsidP="00DE0D50">
            <w:pPr>
              <w:pStyle w:val="NoSpacing"/>
              <w:rPr>
                <w:rFonts w:cs="Arial"/>
                <w:sz w:val="20"/>
              </w:rPr>
            </w:pPr>
          </w:p>
          <w:p w14:paraId="4A630E37" w14:textId="77777777" w:rsidR="007308C6" w:rsidRDefault="007308C6" w:rsidP="006B62C5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Expand the “Applications” tab on the side of the screen.</w:t>
            </w:r>
          </w:p>
          <w:p w14:paraId="1B6F4564" w14:textId="77777777" w:rsidR="007308C6" w:rsidRDefault="007308C6" w:rsidP="007308C6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6C5FA07" wp14:editId="68219C26">
                  <wp:extent cx="191068" cy="7526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81" cy="800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A4803" w14:textId="76A5DE89" w:rsidR="007308C6" w:rsidRDefault="007308C6" w:rsidP="006B62C5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“Smart Reporting”.</w:t>
            </w:r>
          </w:p>
          <w:p w14:paraId="25322D26" w14:textId="4A91526D" w:rsidR="007308C6" w:rsidRDefault="007308C6" w:rsidP="006B62C5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“Smart </w:t>
            </w:r>
            <w:r w:rsidR="007F44AE">
              <w:rPr>
                <w:rFonts w:cs="Arial"/>
                <w:sz w:val="20"/>
              </w:rPr>
              <w:t>Reporting</w:t>
            </w:r>
            <w:r>
              <w:rPr>
                <w:rFonts w:cs="Arial"/>
                <w:sz w:val="20"/>
              </w:rPr>
              <w:t xml:space="preserve"> Console”.</w:t>
            </w:r>
          </w:p>
          <w:p w14:paraId="3026B439" w14:textId="77777777" w:rsidR="007308C6" w:rsidRDefault="007308C6" w:rsidP="006B62C5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the “Service Delivery” folder.</w:t>
            </w:r>
          </w:p>
          <w:p w14:paraId="56871A1B" w14:textId="77777777" w:rsidR="007308C6" w:rsidRDefault="007308C6" w:rsidP="007308C6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89113C5" wp14:editId="20B0637B">
                  <wp:extent cx="1419225" cy="3238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54AED" w14:textId="77777777" w:rsidR="007308C6" w:rsidRDefault="007308C6" w:rsidP="006B62C5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the “Service Level Management” folder.</w:t>
            </w:r>
          </w:p>
          <w:p w14:paraId="13C67B84" w14:textId="77777777" w:rsidR="007308C6" w:rsidRDefault="007308C6" w:rsidP="007308C6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2625CB2" wp14:editId="2086AC29">
                  <wp:extent cx="1362075" cy="27241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A0FA5" w14:textId="74537D71" w:rsidR="00464808" w:rsidRPr="00464808" w:rsidRDefault="00A945D3" w:rsidP="006B62C5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0"/>
              </w:rPr>
            </w:pPr>
            <w:r w:rsidRPr="00464808">
              <w:rPr>
                <w:rFonts w:cs="Arial"/>
                <w:sz w:val="20"/>
              </w:rPr>
              <w:t xml:space="preserve">A list of reports and dashboards will appear. </w:t>
            </w:r>
            <w:r w:rsidR="00464808">
              <w:rPr>
                <w:rFonts w:cs="Arial"/>
                <w:sz w:val="20"/>
              </w:rPr>
              <w:t>Double click each report (one at a time) to open the report.</w:t>
            </w:r>
            <w:r w:rsidR="009F70F9" w:rsidRPr="00464808">
              <w:rPr>
                <w:rFonts w:cs="Arial"/>
                <w:sz w:val="20"/>
              </w:rPr>
              <w:t xml:space="preserve"> </w:t>
            </w:r>
          </w:p>
          <w:p w14:paraId="1A88F798" w14:textId="6E182512" w:rsidR="007308C6" w:rsidRPr="00464808" w:rsidRDefault="009F70F9" w:rsidP="00464808">
            <w:pPr>
              <w:pStyle w:val="NoSpacing"/>
              <w:ind w:left="720"/>
              <w:rPr>
                <w:rFonts w:cs="Arial"/>
                <w:sz w:val="20"/>
              </w:rPr>
            </w:pPr>
            <w:r w:rsidRPr="00464808">
              <w:rPr>
                <w:rFonts w:cs="Arial"/>
                <w:sz w:val="20"/>
              </w:rPr>
              <w:t>There are four “</w:t>
            </w:r>
            <w:r w:rsidR="005F229F">
              <w:rPr>
                <w:rFonts w:cs="Arial"/>
                <w:sz w:val="20"/>
              </w:rPr>
              <w:t>Weekly</w:t>
            </w:r>
            <w:r w:rsidRPr="00464808">
              <w:rPr>
                <w:rFonts w:cs="Arial"/>
                <w:sz w:val="20"/>
              </w:rPr>
              <w:t xml:space="preserve"> SLA Percentage Reports” – one for each Service Level Tier (Platinum, Gold, Silver, and Bronze)</w:t>
            </w:r>
            <w:r w:rsidR="00E27167" w:rsidRPr="00464808">
              <w:rPr>
                <w:rFonts w:cs="Arial"/>
                <w:sz w:val="20"/>
              </w:rPr>
              <w:t xml:space="preserve"> </w:t>
            </w:r>
            <w:r w:rsidRPr="00464808">
              <w:rPr>
                <w:rFonts w:cs="Arial"/>
                <w:sz w:val="20"/>
              </w:rPr>
              <w:t>. Double click on one of the reports to open.</w:t>
            </w:r>
            <w:r w:rsidR="00464808" w:rsidRPr="00464808">
              <w:rPr>
                <w:rFonts w:cs="Arial"/>
                <w:sz w:val="20"/>
              </w:rPr>
              <w:t xml:space="preserve">  These four reports represent the accurate monthly percentage for the month </w:t>
            </w:r>
            <w:r w:rsidR="002458AC">
              <w:rPr>
                <w:rFonts w:cs="Arial"/>
                <w:sz w:val="20"/>
              </w:rPr>
              <w:t xml:space="preserve">to date </w:t>
            </w:r>
            <w:r w:rsidR="00464808" w:rsidRPr="00464808">
              <w:rPr>
                <w:rFonts w:cs="Arial"/>
                <w:sz w:val="20"/>
              </w:rPr>
              <w:t>as the percentage is calculated by row.</w:t>
            </w:r>
          </w:p>
          <w:p w14:paraId="52F409B9" w14:textId="528E233C" w:rsidR="009F70F9" w:rsidRDefault="00B965EE" w:rsidP="009F70F9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1EA99E0" wp14:editId="330F3857">
                  <wp:extent cx="3299460" cy="222156"/>
                  <wp:effectExtent l="0" t="0" r="0" b="698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346" cy="25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DF056" w14:textId="15B7FBD3" w:rsidR="00B965EE" w:rsidRDefault="00B965EE" w:rsidP="009F70F9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448985" wp14:editId="6831F09B">
                  <wp:extent cx="3413235" cy="223289"/>
                  <wp:effectExtent l="0" t="0" r="0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138" cy="27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7D2F9" w14:textId="007ED5AA" w:rsidR="00A945D3" w:rsidRDefault="00B965EE" w:rsidP="00A945D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CD7828C" wp14:editId="4408D1D5">
                  <wp:extent cx="3083567" cy="224694"/>
                  <wp:effectExtent l="0" t="0" r="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755" cy="25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3B854" w14:textId="2AF18FC0" w:rsidR="00FC7FC7" w:rsidRDefault="00B965EE" w:rsidP="00A945D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02489E7" wp14:editId="23E5DF2F">
                  <wp:extent cx="3007800" cy="241010"/>
                  <wp:effectExtent l="0" t="0" r="2540" b="698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890" cy="26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FCA90" w14:textId="007555F1" w:rsidR="00464808" w:rsidRDefault="00464808" w:rsidP="00A945D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There are four “SLA </w:t>
            </w:r>
            <w:r w:rsidR="00420B86">
              <w:rPr>
                <w:rFonts w:cs="Arial"/>
                <w:sz w:val="20"/>
              </w:rPr>
              <w:t>Weekly</w:t>
            </w:r>
            <w:r>
              <w:rPr>
                <w:rFonts w:cs="Arial"/>
                <w:sz w:val="20"/>
              </w:rPr>
              <w:t xml:space="preserve"> Reports” (featuring the details of each day of the month, including comments and carve-outs).  These reports feature a monthly percentage at the bottom, but it is calculated by column and should not be used for the official month</w:t>
            </w:r>
            <w:r w:rsidR="002458AC">
              <w:rPr>
                <w:rFonts w:cs="Arial"/>
                <w:sz w:val="20"/>
              </w:rPr>
              <w:t xml:space="preserve"> to date </w:t>
            </w:r>
            <w:r>
              <w:rPr>
                <w:rFonts w:cs="Arial"/>
                <w:sz w:val="20"/>
              </w:rPr>
              <w:t>percentages.</w:t>
            </w:r>
          </w:p>
          <w:p w14:paraId="3C6D5466" w14:textId="221BECEC" w:rsidR="009F70F9" w:rsidRDefault="00A67305" w:rsidP="00A945D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B330939" wp14:editId="28D71E19">
                  <wp:extent cx="3024187" cy="217458"/>
                  <wp:effectExtent l="0" t="0" r="508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286" cy="24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CDCA6" w14:textId="6CCA3D91" w:rsidR="00A67305" w:rsidRDefault="00A67305" w:rsidP="00A945D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6144DBE" wp14:editId="0C54256A">
                  <wp:extent cx="3352800" cy="290576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986" cy="325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8E1DB" w14:textId="68C00537" w:rsidR="00A67305" w:rsidRDefault="00A67305" w:rsidP="00A945D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8A3124E" wp14:editId="091FCA86">
                  <wp:extent cx="3351501" cy="273987"/>
                  <wp:effectExtent l="0" t="0" r="190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304" cy="30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4C7C8" w14:textId="1FDE2E0C" w:rsidR="00B965EE" w:rsidRDefault="00A67305" w:rsidP="00A67305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9FF7CED" wp14:editId="0669B1FF">
                  <wp:extent cx="3171825" cy="262920"/>
                  <wp:effectExtent l="0" t="0" r="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406" cy="28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5DC59" w14:textId="36AC2B37" w:rsidR="00A945D3" w:rsidRDefault="00A945D3" w:rsidP="006B62C5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SLA </w:t>
            </w:r>
            <w:r w:rsidR="009F70F9">
              <w:rPr>
                <w:rFonts w:cs="Arial"/>
                <w:sz w:val="20"/>
              </w:rPr>
              <w:t xml:space="preserve">Percentage </w:t>
            </w:r>
            <w:r>
              <w:rPr>
                <w:rFonts w:cs="Arial"/>
                <w:sz w:val="20"/>
              </w:rPr>
              <w:t>Report will appear on the screen</w:t>
            </w:r>
            <w:r w:rsidR="009F70F9">
              <w:rPr>
                <w:rFonts w:cs="Arial"/>
                <w:sz w:val="20"/>
              </w:rPr>
              <w:t>.</w:t>
            </w:r>
            <w:r w:rsidR="00647B16">
              <w:rPr>
                <w:rFonts w:cs="Arial"/>
                <w:sz w:val="20"/>
              </w:rPr>
              <w:t xml:space="preserve"> </w:t>
            </w:r>
          </w:p>
          <w:p w14:paraId="0F103638" w14:textId="2CDA1338" w:rsidR="00A945D3" w:rsidRDefault="00A67305" w:rsidP="00A945D3">
            <w:pPr>
              <w:pStyle w:val="NoSpacing"/>
              <w:ind w:left="720"/>
              <w:rPr>
                <w:rFonts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5201B24" wp14:editId="282F2417">
                  <wp:extent cx="3599497" cy="1001672"/>
                  <wp:effectExtent l="0" t="0" r="1270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415" cy="101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ED710" w14:textId="577A4494" w:rsidR="00A945D3" w:rsidRPr="009F70F9" w:rsidRDefault="00124E2E" w:rsidP="006B62C5">
            <w:pPr>
              <w:pStyle w:val="NoSpacing"/>
              <w:numPr>
                <w:ilvl w:val="0"/>
                <w:numId w:val="28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Continue to Step 2 to set up the date range of the Monthly SLA Report upon creating the first draft.</w:t>
            </w:r>
          </w:p>
        </w:tc>
      </w:tr>
      <w:tr w:rsidR="00A67305" w:rsidRPr="006108A0" w14:paraId="4A8F5F6F" w14:textId="77777777" w:rsidTr="00AF437F"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DB7AA" w14:textId="64698A42" w:rsidR="00AC7746" w:rsidRPr="00D3737A" w:rsidRDefault="0014293E" w:rsidP="00DE0D50">
            <w:pPr>
              <w:pStyle w:val="BodyText1"/>
              <w:rPr>
                <w:rFonts w:ascii="Arial" w:hAnsi="Arial" w:cs="Arial"/>
                <w:b/>
                <w:sz w:val="20"/>
              </w:rPr>
            </w:pPr>
            <w:r w:rsidRPr="00D3737A">
              <w:rPr>
                <w:rFonts w:ascii="Arial" w:hAnsi="Arial" w:cs="Arial"/>
                <w:b/>
                <w:sz w:val="20"/>
              </w:rPr>
              <w:t>Set the date range of the SL</w:t>
            </w:r>
            <w:r w:rsidR="009F70F9">
              <w:rPr>
                <w:rFonts w:ascii="Arial" w:hAnsi="Arial" w:cs="Arial"/>
                <w:b/>
                <w:sz w:val="20"/>
              </w:rPr>
              <w:t>A</w:t>
            </w:r>
            <w:r w:rsidRPr="00D3737A">
              <w:rPr>
                <w:rFonts w:ascii="Arial" w:hAnsi="Arial" w:cs="Arial"/>
                <w:b/>
                <w:sz w:val="20"/>
              </w:rPr>
              <w:t xml:space="preserve"> Report:</w:t>
            </w:r>
          </w:p>
          <w:p w14:paraId="1662804A" w14:textId="5BE05AB1" w:rsidR="0014293E" w:rsidRDefault="0014293E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490420E7" w14:textId="77C294BE" w:rsidR="0014293E" w:rsidRDefault="0014293E" w:rsidP="006B62C5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“Edit” button at the top of the screen.</w:t>
            </w:r>
          </w:p>
          <w:p w14:paraId="7ED13714" w14:textId="32B4C843" w:rsidR="0014293E" w:rsidRDefault="0014293E" w:rsidP="006B62C5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“Data”.</w:t>
            </w:r>
          </w:p>
          <w:p w14:paraId="13161508" w14:textId="0EA86EB6" w:rsidR="0014293E" w:rsidRDefault="0014293E" w:rsidP="0014293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522AF09" wp14:editId="7EA1D28B">
                  <wp:extent cx="1133475" cy="590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7572B" w14:textId="53582E87" w:rsidR="0014293E" w:rsidRDefault="0014293E" w:rsidP="006B62C5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“OK” button.</w:t>
            </w:r>
          </w:p>
          <w:p w14:paraId="78FDDBBD" w14:textId="750107A7" w:rsidR="0014293E" w:rsidRDefault="0014293E" w:rsidP="0014293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422C538" wp14:editId="74F4F8FD">
                  <wp:extent cx="1352550" cy="4762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F9AB6" w14:textId="1DC47577" w:rsidR="0014293E" w:rsidRDefault="0014293E" w:rsidP="006B62C5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 the “Filters” box, hover over “TrDate”.  A down arrow will appear.</w:t>
            </w:r>
          </w:p>
          <w:p w14:paraId="04AFEC9E" w14:textId="14DB28CE" w:rsidR="0014293E" w:rsidRDefault="0014293E" w:rsidP="0014293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EA3B692" wp14:editId="299FCE64">
                  <wp:extent cx="2057400" cy="5238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920C2" w14:textId="6A9EAF33" w:rsidR="0014293E" w:rsidRDefault="0014293E" w:rsidP="006B62C5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“Value (Defined Value)”.</w:t>
            </w:r>
          </w:p>
          <w:p w14:paraId="7B35ED57" w14:textId="59CFA92E" w:rsidR="0014293E" w:rsidRDefault="0014293E" w:rsidP="0014293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A332EB5" wp14:editId="792F7FC9">
                  <wp:extent cx="1863933" cy="1647825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149" cy="167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A2E58" w14:textId="64B42BF7" w:rsidR="0014293E" w:rsidRDefault="0014293E" w:rsidP="006B62C5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Select “Define Value”.</w:t>
            </w:r>
          </w:p>
          <w:p w14:paraId="6F0786E8" w14:textId="1BE28DCB" w:rsidR="0014293E" w:rsidRDefault="00514E52" w:rsidP="006B62C5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</w:t>
            </w:r>
            <w:r w:rsidR="0014293E">
              <w:rPr>
                <w:rFonts w:ascii="Arial" w:hAnsi="Arial" w:cs="Arial"/>
                <w:sz w:val="20"/>
              </w:rPr>
              <w:t xml:space="preserve"> the “Defined Value” circle.</w:t>
            </w:r>
          </w:p>
          <w:p w14:paraId="635E85DB" w14:textId="1B4EE180" w:rsidR="0014293E" w:rsidRDefault="00BB1BAF" w:rsidP="006B62C5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Select </w:t>
            </w:r>
            <w:r w:rsidR="002458AC">
              <w:rPr>
                <w:rFonts w:ascii="Arial" w:hAnsi="Arial" w:cs="Arial"/>
                <w:sz w:val="20"/>
              </w:rPr>
              <w:t xml:space="preserve">first date of the month in the first field and the most recent Wednesday date in the second field. </w:t>
            </w:r>
          </w:p>
          <w:p w14:paraId="2C03D9FB" w14:textId="5016EF53" w:rsidR="00514E52" w:rsidRDefault="002458AC" w:rsidP="00514E52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AE8247D" wp14:editId="2F498F8F">
                  <wp:extent cx="2729753" cy="19335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378" cy="193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6BF30" w14:textId="60CB6A92" w:rsidR="008C2574" w:rsidRDefault="008C2574" w:rsidP="006B62C5">
            <w:pPr>
              <w:pStyle w:val="BodyText1"/>
              <w:numPr>
                <w:ilvl w:val="0"/>
                <w:numId w:val="2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the “Submit” button.  This will generate the </w:t>
            </w:r>
            <w:r w:rsidR="002458AC">
              <w:rPr>
                <w:rFonts w:ascii="Arial" w:hAnsi="Arial" w:cs="Arial"/>
                <w:sz w:val="20"/>
              </w:rPr>
              <w:t>Weekly</w:t>
            </w:r>
            <w:r>
              <w:rPr>
                <w:rFonts w:ascii="Arial" w:hAnsi="Arial" w:cs="Arial"/>
                <w:sz w:val="20"/>
              </w:rPr>
              <w:t xml:space="preserve"> SL</w:t>
            </w:r>
            <w:r w:rsidR="00BB1BAF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 xml:space="preserve"> Report.</w:t>
            </w:r>
          </w:p>
          <w:p w14:paraId="3FCA2F8F" w14:textId="0898C0F9" w:rsidR="00572A43" w:rsidRPr="00314D68" w:rsidRDefault="008C2574" w:rsidP="00BB1BAF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87A830E" wp14:editId="6AE93894">
                  <wp:extent cx="3008630" cy="423080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510" cy="43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305" w:rsidRPr="006108A0" w14:paraId="28268E73" w14:textId="77777777" w:rsidTr="00AF437F"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8216B" w14:textId="148E6966" w:rsidR="00AC7746" w:rsidRPr="00D3737A" w:rsidRDefault="00EC3CF0" w:rsidP="00DE0D50">
            <w:pPr>
              <w:pStyle w:val="BodyText1"/>
              <w:rPr>
                <w:rFonts w:ascii="Arial" w:hAnsi="Arial" w:cs="Arial"/>
                <w:b/>
                <w:sz w:val="20"/>
              </w:rPr>
            </w:pPr>
            <w:r w:rsidRPr="00D3737A">
              <w:rPr>
                <w:rFonts w:ascii="Arial" w:hAnsi="Arial" w:cs="Arial"/>
                <w:b/>
                <w:sz w:val="20"/>
              </w:rPr>
              <w:t xml:space="preserve">Publish the </w:t>
            </w:r>
            <w:r w:rsidR="00A67305">
              <w:rPr>
                <w:rFonts w:ascii="Arial" w:hAnsi="Arial" w:cs="Arial"/>
                <w:b/>
                <w:sz w:val="20"/>
              </w:rPr>
              <w:t xml:space="preserve">Weekly </w:t>
            </w:r>
            <w:r w:rsidRPr="00D3737A">
              <w:rPr>
                <w:rFonts w:ascii="Arial" w:hAnsi="Arial" w:cs="Arial"/>
                <w:b/>
                <w:sz w:val="20"/>
              </w:rPr>
              <w:t>SLM Report</w:t>
            </w:r>
            <w:r w:rsidR="003B35A0" w:rsidRPr="00D3737A">
              <w:rPr>
                <w:rFonts w:ascii="Arial" w:hAnsi="Arial" w:cs="Arial"/>
                <w:b/>
                <w:sz w:val="20"/>
              </w:rPr>
              <w:t>:</w:t>
            </w:r>
          </w:p>
          <w:p w14:paraId="6FDE261C" w14:textId="77777777" w:rsidR="00EC3CF0" w:rsidRDefault="00EC3CF0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218569B2" w14:textId="6E01D246" w:rsidR="00EC3CF0" w:rsidRDefault="00EC3CF0" w:rsidP="006B62C5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the SLM Report has been generated from Step 2</w:t>
            </w:r>
            <w:r w:rsidR="003B35A0">
              <w:rPr>
                <w:rFonts w:ascii="Arial" w:hAnsi="Arial" w:cs="Arial"/>
                <w:sz w:val="20"/>
              </w:rPr>
              <w:t>, click the “Publish” button.</w:t>
            </w:r>
          </w:p>
          <w:p w14:paraId="2FBA9E76" w14:textId="452406A6" w:rsidR="00E27167" w:rsidRPr="00A67305" w:rsidRDefault="003B35A0" w:rsidP="00A67305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093AA04" wp14:editId="55D4D2E8">
                  <wp:extent cx="942975" cy="471488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76" cy="472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A32E0" w14:textId="20786760" w:rsidR="003B35A0" w:rsidRDefault="003B35A0" w:rsidP="006B62C5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save the report and the date range which has been selected, click the “Save” button.</w:t>
            </w:r>
          </w:p>
          <w:p w14:paraId="62DBDFD3" w14:textId="5E4F83B5" w:rsidR="00B652EF" w:rsidRPr="00314D68" w:rsidRDefault="00E27167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B7C9B3C" wp14:editId="6DB356D3">
                  <wp:extent cx="781050" cy="44739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327" cy="45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305" w:rsidRPr="006108A0" w14:paraId="20B4F629" w14:textId="77777777" w:rsidTr="00AF437F"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4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12EB13" w14:textId="784F59BF" w:rsidR="00AC7746" w:rsidRPr="00464808" w:rsidRDefault="003B35A0" w:rsidP="00DE0D50">
            <w:pPr>
              <w:pStyle w:val="BodyText1"/>
              <w:rPr>
                <w:rFonts w:ascii="Arial" w:hAnsi="Arial" w:cs="Arial"/>
                <w:sz w:val="20"/>
              </w:rPr>
            </w:pPr>
            <w:r w:rsidRPr="00464808">
              <w:rPr>
                <w:rFonts w:ascii="Arial" w:hAnsi="Arial" w:cs="Arial"/>
                <w:sz w:val="20"/>
              </w:rPr>
              <w:t xml:space="preserve">Export the </w:t>
            </w:r>
            <w:r w:rsidR="00FF5E34">
              <w:rPr>
                <w:rFonts w:ascii="Arial" w:hAnsi="Arial" w:cs="Arial"/>
                <w:sz w:val="20"/>
              </w:rPr>
              <w:t>Weekly</w:t>
            </w:r>
            <w:r w:rsidR="007503B2" w:rsidRPr="00464808">
              <w:rPr>
                <w:rFonts w:ascii="Arial" w:hAnsi="Arial" w:cs="Arial"/>
                <w:sz w:val="20"/>
              </w:rPr>
              <w:t xml:space="preserve"> SLA</w:t>
            </w:r>
            <w:r w:rsidRPr="00464808">
              <w:rPr>
                <w:rFonts w:ascii="Arial" w:hAnsi="Arial" w:cs="Arial"/>
                <w:sz w:val="20"/>
              </w:rPr>
              <w:t xml:space="preserve"> Report:</w:t>
            </w:r>
          </w:p>
          <w:p w14:paraId="4C07ECB8" w14:textId="77777777" w:rsidR="003B35A0" w:rsidRPr="00464808" w:rsidRDefault="003B35A0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55C8D66D" w14:textId="096DCAB4" w:rsidR="003B35A0" w:rsidRPr="00464808" w:rsidRDefault="003B35A0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464808">
              <w:rPr>
                <w:rFonts w:ascii="Arial" w:hAnsi="Arial" w:cs="Arial"/>
                <w:sz w:val="20"/>
              </w:rPr>
              <w:t>Click the “export” button near the top of the screen.</w:t>
            </w:r>
          </w:p>
          <w:p w14:paraId="7AE02342" w14:textId="77777777" w:rsidR="003B35A0" w:rsidRPr="00464808" w:rsidRDefault="003B35A0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464808">
              <w:rPr>
                <w:noProof/>
              </w:rPr>
              <w:drawing>
                <wp:inline distT="0" distB="0" distL="0" distR="0" wp14:anchorId="5AA2FFBE" wp14:editId="3A3A02FA">
                  <wp:extent cx="542925" cy="4381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1129" w14:textId="36E98E07" w:rsidR="003B35A0" w:rsidRPr="00464808" w:rsidRDefault="003B35A0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464808">
              <w:rPr>
                <w:rFonts w:ascii="Arial" w:hAnsi="Arial" w:cs="Arial"/>
                <w:sz w:val="20"/>
              </w:rPr>
              <w:t>Select “Export to PDF”.</w:t>
            </w:r>
          </w:p>
          <w:p w14:paraId="30FCCA73" w14:textId="77777777" w:rsidR="003B35A0" w:rsidRPr="00464808" w:rsidRDefault="003B35A0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464808">
              <w:rPr>
                <w:noProof/>
              </w:rPr>
              <w:drawing>
                <wp:inline distT="0" distB="0" distL="0" distR="0" wp14:anchorId="588363A5" wp14:editId="1A95C5C6">
                  <wp:extent cx="975815" cy="139402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27" cy="142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485DC9" w14:textId="77777777" w:rsidR="003B35A0" w:rsidRPr="00464808" w:rsidRDefault="003B35A0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464808">
              <w:rPr>
                <w:rFonts w:ascii="Arial" w:hAnsi="Arial" w:cs="Arial"/>
                <w:sz w:val="20"/>
              </w:rPr>
              <w:t>Select “Landscape”.</w:t>
            </w:r>
          </w:p>
          <w:p w14:paraId="27895517" w14:textId="77777777" w:rsidR="003B35A0" w:rsidRPr="00464808" w:rsidRDefault="003B35A0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464808">
              <w:rPr>
                <w:rFonts w:ascii="Arial" w:hAnsi="Arial" w:cs="Arial"/>
                <w:sz w:val="20"/>
              </w:rPr>
              <w:t xml:space="preserve">Click the “Export” button. </w:t>
            </w:r>
          </w:p>
          <w:p w14:paraId="11337D9D" w14:textId="66665F60" w:rsidR="003B35A0" w:rsidRPr="00464808" w:rsidRDefault="003B35A0" w:rsidP="003B35A0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464808">
              <w:rPr>
                <w:noProof/>
              </w:rPr>
              <w:lastRenderedPageBreak/>
              <w:drawing>
                <wp:inline distT="0" distB="0" distL="0" distR="0" wp14:anchorId="5F7799C4" wp14:editId="6D0B6AE9">
                  <wp:extent cx="1699146" cy="10347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827" cy="107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65526" w14:textId="77777777" w:rsidR="00464808" w:rsidRPr="00464808" w:rsidRDefault="00464808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464808">
              <w:rPr>
                <w:rFonts w:ascii="Arial" w:hAnsi="Arial" w:cs="Arial"/>
                <w:sz w:val="20"/>
              </w:rPr>
              <w:t>A report will generate and appear at the bottom of the screen.  Double click to open it.</w:t>
            </w:r>
          </w:p>
          <w:p w14:paraId="4CEEC72C" w14:textId="77777777" w:rsidR="00780ADA" w:rsidRPr="00464808" w:rsidRDefault="00464808" w:rsidP="00B95156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 w:rsidRPr="00464808">
              <w:rPr>
                <w:noProof/>
              </w:rPr>
              <w:drawing>
                <wp:inline distT="0" distB="0" distL="0" distR="0" wp14:anchorId="38DD6C15" wp14:editId="21882A9C">
                  <wp:extent cx="1905000" cy="4857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3CEA6" w14:textId="77777777" w:rsidR="00464808" w:rsidRDefault="00464808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“Download” arrow at the top of the screen to save the report.</w:t>
            </w:r>
          </w:p>
          <w:p w14:paraId="72E93274" w14:textId="77777777" w:rsidR="00464808" w:rsidRDefault="00464808" w:rsidP="00464808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EDBF8C4" wp14:editId="17E348E1">
                  <wp:extent cx="1371600" cy="319177"/>
                  <wp:effectExtent l="0" t="0" r="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230" cy="32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A9C8E1" w14:textId="68BBFAEA" w:rsidR="00464808" w:rsidRDefault="00464808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Save the PDF version of the report to the following location:</w:t>
            </w:r>
          </w:p>
          <w:p w14:paraId="0E95D786" w14:textId="31A7DBFE" w:rsidR="00464808" w:rsidRPr="00AE6E1D" w:rsidRDefault="00464808" w:rsidP="00464808">
            <w:pPr>
              <w:pStyle w:val="BodyText1"/>
              <w:ind w:left="720"/>
              <w:rPr>
                <w:rStyle w:val="Hyperlink"/>
                <w:rFonts w:ascii="Arial" w:hAnsi="Arial" w:cs="Arial"/>
                <w:sz w:val="20"/>
              </w:rPr>
            </w:pPr>
            <w:r w:rsidRPr="00AE6E1D">
              <w:rPr>
                <w:rFonts w:ascii="Arial" w:hAnsi="Arial" w:cs="Arial"/>
                <w:sz w:val="20"/>
              </w:rPr>
              <w:fldChar w:fldCharType="begin"/>
            </w:r>
            <w:r w:rsidRPr="00AE6E1D">
              <w:rPr>
                <w:rFonts w:ascii="Arial" w:hAnsi="Arial" w:cs="Arial"/>
                <w:sz w:val="20"/>
              </w:rPr>
              <w:instrText xml:space="preserve"> HYPERLINK "\\\\jacksonnational.com\\SHARE\\hq\\vol3\\share\\Service Delivery\\Service Level Management\\SLA Reporting\\Reporting" </w:instrText>
            </w:r>
            <w:r w:rsidRPr="00AE6E1D">
              <w:rPr>
                <w:rFonts w:ascii="Arial" w:hAnsi="Arial" w:cs="Arial"/>
                <w:sz w:val="20"/>
              </w:rPr>
              <w:fldChar w:fldCharType="separate"/>
            </w:r>
            <w:r w:rsidRPr="00AE6E1D">
              <w:rPr>
                <w:rStyle w:val="Hyperlink"/>
                <w:rFonts w:ascii="Arial" w:hAnsi="Arial" w:cs="Arial"/>
                <w:sz w:val="20"/>
              </w:rPr>
              <w:t>O:\share\Service Delivery\Service Level Management\SLA Reporting\Reporting\</w:t>
            </w:r>
            <w:r w:rsidRPr="00AE6E1D">
              <w:rPr>
                <w:rStyle w:val="Hyperlink"/>
                <w:rFonts w:ascii="Arial" w:hAnsi="Arial"/>
                <w:sz w:val="20"/>
              </w:rPr>
              <w:t>YYYYY\</w:t>
            </w:r>
            <w:r w:rsidR="005132AA">
              <w:rPr>
                <w:rStyle w:val="Hyperlink"/>
                <w:rFonts w:ascii="Arial" w:hAnsi="Arial"/>
                <w:sz w:val="20"/>
              </w:rPr>
              <w:t>W</w:t>
            </w:r>
            <w:r w:rsidR="005132AA">
              <w:rPr>
                <w:rStyle w:val="Hyperlink"/>
              </w:rPr>
              <w:t>eekly SLA Report\</w:t>
            </w:r>
            <w:r w:rsidRPr="00AE6E1D">
              <w:rPr>
                <w:rStyle w:val="Hyperlink"/>
                <w:rFonts w:ascii="Arial" w:hAnsi="Arial"/>
                <w:sz w:val="20"/>
              </w:rPr>
              <w:t>Month</w:t>
            </w:r>
            <w:r w:rsidR="005132AA">
              <w:rPr>
                <w:rStyle w:val="Hyperlink"/>
                <w:rFonts w:ascii="Arial" w:hAnsi="Arial"/>
                <w:sz w:val="20"/>
              </w:rPr>
              <w:t>\</w:t>
            </w:r>
            <w:r w:rsidR="005132AA">
              <w:rPr>
                <w:rStyle w:val="Hyperlink"/>
                <w:sz w:val="20"/>
              </w:rPr>
              <w:t>MM-DD-YYYY to MM-DD-YYYY</w:t>
            </w:r>
          </w:p>
          <w:p w14:paraId="68C4D9BE" w14:textId="77777777" w:rsidR="00464808" w:rsidRDefault="00464808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AE6E1D">
              <w:rPr>
                <w:rFonts w:ascii="Arial" w:hAnsi="Arial" w:cs="Arial"/>
                <w:sz w:val="20"/>
              </w:rPr>
              <w:fldChar w:fldCharType="end"/>
            </w:r>
            <w:r w:rsidR="00AE6E1D">
              <w:rPr>
                <w:rFonts w:ascii="Arial" w:hAnsi="Arial" w:cs="Arial"/>
                <w:sz w:val="20"/>
              </w:rPr>
              <w:t>Close the PDF file.</w:t>
            </w:r>
          </w:p>
          <w:p w14:paraId="3E9F15DA" w14:textId="5E1DA0F3" w:rsidR="00AE6E1D" w:rsidRDefault="00AE6E1D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“Export” button near the top of the screen.</w:t>
            </w:r>
          </w:p>
          <w:p w14:paraId="31B483BD" w14:textId="61D393D2" w:rsidR="00AE6E1D" w:rsidRDefault="00AE6E1D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Select “Export to XLSX”.</w:t>
            </w:r>
          </w:p>
          <w:p w14:paraId="42D1010D" w14:textId="77777777" w:rsidR="00AE6E1D" w:rsidRDefault="00AE6E1D" w:rsidP="00AE6E1D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7647B4" wp14:editId="2E8C797E">
                  <wp:extent cx="1152525" cy="154731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614" cy="155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D4311" w14:textId="77777777" w:rsidR="00AE6E1D" w:rsidRDefault="00AE6E1D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c) through e).</w:t>
            </w:r>
          </w:p>
          <w:p w14:paraId="4261C60B" w14:textId="77777777" w:rsidR="00AE6E1D" w:rsidRDefault="00AE6E1D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Save the Excel versions of the report to the same location in g).</w:t>
            </w:r>
          </w:p>
          <w:p w14:paraId="7AD8AB3D" w14:textId="3CEB452D" w:rsidR="00AE6E1D" w:rsidRDefault="00AE6E1D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Repeat </w:t>
            </w:r>
            <w:r w:rsidRPr="00AE6E1D">
              <w:rPr>
                <w:rFonts w:ascii="Arial" w:hAnsi="Arial" w:cs="Arial"/>
                <w:b/>
                <w:bCs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 f) through h).  </w:t>
            </w:r>
            <w:r w:rsidRPr="00AE6E1D">
              <w:rPr>
                <w:rFonts w:ascii="Arial" w:hAnsi="Arial" w:cs="Arial"/>
                <w:b/>
                <w:bCs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AE6E1D">
              <w:rPr>
                <w:rFonts w:ascii="Arial" w:hAnsi="Arial" w:cs="Arial"/>
                <w:b/>
                <w:bCs/>
                <w:sz w:val="20"/>
              </w:rPr>
              <w:t>Step 3</w:t>
            </w:r>
            <w:r>
              <w:rPr>
                <w:rFonts w:ascii="Arial" w:hAnsi="Arial" w:cs="Arial"/>
                <w:sz w:val="20"/>
              </w:rPr>
              <w:t xml:space="preserve">, and </w:t>
            </w:r>
            <w:r w:rsidRPr="00AE6E1D">
              <w:rPr>
                <w:rFonts w:ascii="Arial" w:hAnsi="Arial" w:cs="Arial"/>
                <w:b/>
                <w:bCs/>
                <w:sz w:val="20"/>
              </w:rPr>
              <w:t>Step 4</w:t>
            </w:r>
            <w:r>
              <w:rPr>
                <w:rFonts w:ascii="Arial" w:hAnsi="Arial" w:cs="Arial"/>
                <w:sz w:val="20"/>
              </w:rPr>
              <w:t xml:space="preserve"> a) through j) until a PDF and Excel version of the following reports have been created:</w:t>
            </w:r>
          </w:p>
          <w:p w14:paraId="5790F4E9" w14:textId="464FBC28" w:rsidR="00AE6E1D" w:rsidRPr="003F2D81" w:rsidRDefault="00FC7FC7" w:rsidP="006B62C5">
            <w:pPr>
              <w:pStyle w:val="BodyText1"/>
              <w:numPr>
                <w:ilvl w:val="1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CPI APP 1.1-1.3 and 1.5-1.6 Weekly Platinum SLA Percentage Summary Report</w:t>
            </w:r>
          </w:p>
          <w:p w14:paraId="0E3769C0" w14:textId="2EDB617D" w:rsidR="00AE6E1D" w:rsidRPr="003F2D81" w:rsidRDefault="00FC7FC7" w:rsidP="006B62C5">
            <w:pPr>
              <w:pStyle w:val="BodyText1"/>
              <w:numPr>
                <w:ilvl w:val="1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CPI APP 1.7 Weekly Gold SLA Percentage Summary Report</w:t>
            </w:r>
          </w:p>
          <w:p w14:paraId="12D01FDC" w14:textId="228453D4" w:rsidR="00AE6E1D" w:rsidRPr="003F2D81" w:rsidRDefault="00FC7FC7" w:rsidP="006B62C5">
            <w:pPr>
              <w:pStyle w:val="BodyText1"/>
              <w:numPr>
                <w:ilvl w:val="1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KPI APP 1.5 Weekly Silver SLA Percentage Summary Report</w:t>
            </w:r>
          </w:p>
          <w:p w14:paraId="7D68A1FD" w14:textId="6CF7F861" w:rsidR="00AE6E1D" w:rsidRPr="003F2D81" w:rsidRDefault="00FC7FC7" w:rsidP="006B62C5">
            <w:pPr>
              <w:pStyle w:val="BodyText1"/>
              <w:numPr>
                <w:ilvl w:val="1"/>
                <w:numId w:val="39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KPI APP 1.6 Weekly Bronze SLA Percentage Summary Report</w:t>
            </w:r>
          </w:p>
          <w:p w14:paraId="29145921" w14:textId="4064EF9D" w:rsidR="006B62C5" w:rsidRDefault="00AE6E1D" w:rsidP="006B62C5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Repeat </w:t>
            </w:r>
            <w:r w:rsidRPr="00AE6E1D">
              <w:rPr>
                <w:rFonts w:ascii="Arial" w:hAnsi="Arial" w:cs="Arial"/>
                <w:b/>
                <w:bCs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 f) through h).  </w:t>
            </w:r>
            <w:r w:rsidRPr="00AE6E1D">
              <w:rPr>
                <w:rFonts w:ascii="Arial" w:hAnsi="Arial" w:cs="Arial"/>
                <w:b/>
                <w:bCs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AE6E1D">
              <w:rPr>
                <w:rFonts w:ascii="Arial" w:hAnsi="Arial" w:cs="Arial"/>
                <w:b/>
                <w:bCs/>
                <w:sz w:val="20"/>
              </w:rPr>
              <w:t>Step 3</w:t>
            </w:r>
            <w:r>
              <w:rPr>
                <w:rFonts w:ascii="Arial" w:hAnsi="Arial" w:cs="Arial"/>
                <w:sz w:val="20"/>
              </w:rPr>
              <w:t xml:space="preserve">, and </w:t>
            </w:r>
            <w:r w:rsidRPr="00AE6E1D">
              <w:rPr>
                <w:rFonts w:ascii="Arial" w:hAnsi="Arial" w:cs="Arial"/>
                <w:b/>
                <w:bCs/>
                <w:sz w:val="20"/>
              </w:rPr>
              <w:t>Step 4</w:t>
            </w:r>
            <w:r>
              <w:rPr>
                <w:rFonts w:ascii="Arial" w:hAnsi="Arial" w:cs="Arial"/>
                <w:sz w:val="20"/>
              </w:rPr>
              <w:t xml:space="preserve"> a) through </w:t>
            </w:r>
            <w:r w:rsidR="00372A84">
              <w:rPr>
                <w:rFonts w:ascii="Arial" w:hAnsi="Arial" w:cs="Arial"/>
                <w:sz w:val="20"/>
              </w:rPr>
              <w:t>j</w:t>
            </w:r>
            <w:r>
              <w:rPr>
                <w:rFonts w:ascii="Arial" w:hAnsi="Arial" w:cs="Arial"/>
                <w:sz w:val="20"/>
              </w:rPr>
              <w:t>) until a PDF and Excel version of the following reports have been created:</w:t>
            </w:r>
          </w:p>
          <w:p w14:paraId="62879796" w14:textId="4FC9F53C" w:rsidR="006B62C5" w:rsidRDefault="00FC7FC7" w:rsidP="006B62C5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CPI APP 1.1-1.3 and 1.5-1.6 Weekly Platinum SLA Detail Report</w:t>
            </w:r>
          </w:p>
          <w:p w14:paraId="55BC9FF7" w14:textId="756758B9" w:rsidR="006B62C5" w:rsidRDefault="00FC7FC7" w:rsidP="006B62C5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CPI APP 1.7 Weekly Gold SLA Detail Report</w:t>
            </w:r>
          </w:p>
          <w:p w14:paraId="451E5EA4" w14:textId="7629894A" w:rsidR="006B62C5" w:rsidRDefault="00FC7FC7" w:rsidP="006B62C5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KPI APP 1.5 Weekly Silver SLA Detail Report</w:t>
            </w:r>
          </w:p>
          <w:p w14:paraId="6EEEDCFE" w14:textId="56DA5660" w:rsidR="00AE6E1D" w:rsidRPr="002A2941" w:rsidRDefault="00FC7FC7" w:rsidP="002A2941">
            <w:pPr>
              <w:pStyle w:val="BodyText1"/>
              <w:numPr>
                <w:ilvl w:val="1"/>
                <w:numId w:val="2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KPI APP 1.6 Weekly Bronze SLA Detail Report</w:t>
            </w:r>
          </w:p>
          <w:p w14:paraId="22F5977F" w14:textId="77777777" w:rsidR="00AF437F" w:rsidRDefault="00AF437F" w:rsidP="00AF437F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0FE35EB5" w14:textId="1C8DBC85" w:rsidR="003F2D81" w:rsidRPr="00464808" w:rsidRDefault="00AF437F" w:rsidP="002A2941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These reports will be used to populate the raw data tabs in the CPI and KPI reports each </w:t>
            </w:r>
            <w:r w:rsidR="002A2941">
              <w:rPr>
                <w:rFonts w:ascii="Arial" w:hAnsi="Arial" w:cs="Arial"/>
                <w:sz w:val="20"/>
              </w:rPr>
              <w:t>week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A67305" w:rsidRPr="006108A0" w14:paraId="0582192F" w14:textId="77777777" w:rsidTr="00AF437F"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25AA2" w14:textId="6B0CC769" w:rsidR="009807C3" w:rsidRDefault="009807C3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9</w:t>
            </w:r>
          </w:p>
        </w:tc>
        <w:tc>
          <w:tcPr>
            <w:tcW w:w="4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D0F736" w14:textId="40DF3C8D" w:rsidR="00BD12E3" w:rsidRDefault="00AF437F" w:rsidP="00AF437F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Save reports to SharePoint</w:t>
            </w:r>
          </w:p>
          <w:p w14:paraId="4F22CB8F" w14:textId="04E7FABB" w:rsidR="00AF437F" w:rsidRDefault="00AF437F" w:rsidP="00AF437F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528A79E0" w14:textId="31BDAC8E" w:rsidR="00AF437F" w:rsidRDefault="00AF437F" w:rsidP="00AF437F">
            <w:pPr>
              <w:pStyle w:val="BodyText1"/>
              <w:numPr>
                <w:ilvl w:val="0"/>
                <w:numId w:val="4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Once </w:t>
            </w:r>
            <w:r w:rsidR="00FF5E34">
              <w:rPr>
                <w:rFonts w:ascii="Arial" w:hAnsi="Arial" w:cs="Arial"/>
                <w:sz w:val="20"/>
              </w:rPr>
              <w:t>Weekly</w:t>
            </w:r>
            <w:r>
              <w:rPr>
                <w:rFonts w:ascii="Arial" w:hAnsi="Arial" w:cs="Arial"/>
                <w:sz w:val="20"/>
              </w:rPr>
              <w:t xml:space="preserve"> reporting has completed, publish </w:t>
            </w:r>
            <w:r w:rsidR="002A2941">
              <w:rPr>
                <w:rFonts w:ascii="Arial" w:hAnsi="Arial" w:cs="Arial"/>
                <w:sz w:val="20"/>
              </w:rPr>
              <w:t xml:space="preserve">all of the weekly reports to </w:t>
            </w:r>
            <w:r>
              <w:rPr>
                <w:rFonts w:ascii="Arial" w:hAnsi="Arial" w:cs="Arial"/>
                <w:sz w:val="20"/>
              </w:rPr>
              <w:t>the following location:</w:t>
            </w:r>
          </w:p>
          <w:p w14:paraId="660F53AC" w14:textId="11FD607F" w:rsidR="002A2941" w:rsidRDefault="00AF437F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</w:t>
            </w:r>
            <w:hyperlink r:id="rId41" w:anchor="/Weekly%20Reporting/Forms/current.aspx" w:history="1">
              <w:r w:rsidRPr="002A2941">
                <w:rPr>
                  <w:rStyle w:val="Hyperlink"/>
                  <w:rFonts w:ascii="Arial" w:hAnsi="Arial" w:cs="Arial"/>
                  <w:sz w:val="20"/>
                </w:rPr>
                <w:t>SharePoint</w:t>
              </w:r>
            </w:hyperlink>
            <w:r w:rsidR="00BD12E3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– </w:t>
            </w:r>
            <w:r w:rsidR="002A2941">
              <w:rPr>
                <w:rFonts w:ascii="Arial" w:hAnsi="Arial" w:cs="Arial"/>
                <w:sz w:val="20"/>
              </w:rPr>
              <w:t>Weekly Reporting</w:t>
            </w:r>
            <w:r>
              <w:rPr>
                <w:rFonts w:ascii="Arial" w:hAnsi="Arial" w:cs="Arial"/>
                <w:sz w:val="20"/>
              </w:rPr>
              <w:t xml:space="preserve"> – </w:t>
            </w:r>
            <w:r w:rsidR="002A2941">
              <w:rPr>
                <w:rFonts w:ascii="Arial" w:hAnsi="Arial" w:cs="Arial"/>
                <w:sz w:val="20"/>
              </w:rPr>
              <w:t>Year</w:t>
            </w:r>
            <w:r>
              <w:rPr>
                <w:rFonts w:ascii="Arial" w:hAnsi="Arial" w:cs="Arial"/>
                <w:sz w:val="20"/>
              </w:rPr>
              <w:t xml:space="preserve"> – </w:t>
            </w:r>
            <w:r w:rsidR="002A2941">
              <w:rPr>
                <w:rFonts w:ascii="Arial" w:hAnsi="Arial" w:cs="Arial"/>
                <w:sz w:val="20"/>
              </w:rPr>
              <w:t>Month – SLM – Weekly Folder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2A14B572" w14:textId="7B7D35AB" w:rsidR="002A2941" w:rsidRPr="002A2941" w:rsidRDefault="002A2941" w:rsidP="002A2941">
            <w:pPr>
              <w:pStyle w:val="BodyText1"/>
              <w:ind w:left="720"/>
              <w:rPr>
                <w:rFonts w:ascii="Arial" w:hAnsi="Arial" w:cs="Arial"/>
                <w:i/>
                <w:iCs/>
                <w:sz w:val="20"/>
              </w:rPr>
            </w:pPr>
            <w:r w:rsidRPr="002A2941">
              <w:rPr>
                <w:rFonts w:ascii="Arial" w:hAnsi="Arial" w:cs="Arial"/>
                <w:b/>
                <w:bCs/>
                <w:i/>
                <w:iCs/>
                <w:sz w:val="20"/>
              </w:rPr>
              <w:lastRenderedPageBreak/>
              <w:t>Note:</w:t>
            </w:r>
            <w:r w:rsidRPr="002A2941">
              <w:rPr>
                <w:rFonts w:ascii="Arial" w:hAnsi="Arial" w:cs="Arial"/>
                <w:i/>
                <w:iCs/>
                <w:sz w:val="20"/>
              </w:rPr>
              <w:t xml:space="preserve"> If the weekly folder is not present, create one under the SLM folder for the month.  The name of folder should be the most recent Wednesday date:</w:t>
            </w:r>
          </w:p>
          <w:p w14:paraId="447DA5CB" w14:textId="77777777" w:rsidR="002A2941" w:rsidRPr="002A2941" w:rsidRDefault="002A2941" w:rsidP="002A2941">
            <w:pPr>
              <w:pStyle w:val="BodyText1"/>
              <w:ind w:left="720"/>
              <w:rPr>
                <w:rFonts w:ascii="Arial" w:hAnsi="Arial" w:cs="Arial"/>
                <w:i/>
                <w:iCs/>
                <w:sz w:val="20"/>
              </w:rPr>
            </w:pPr>
            <w:r w:rsidRPr="002A2941">
              <w:rPr>
                <w:rFonts w:ascii="Arial" w:hAnsi="Arial" w:cs="Arial"/>
                <w:i/>
                <w:iCs/>
                <w:sz w:val="20"/>
              </w:rPr>
              <w:t>Example:</w:t>
            </w:r>
          </w:p>
          <w:p w14:paraId="32ABD7C9" w14:textId="72260A76" w:rsidR="00BD12E3" w:rsidRPr="002A2941" w:rsidRDefault="002A2941" w:rsidP="002A2941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7A7AC3E" wp14:editId="00093748">
                  <wp:extent cx="2004416" cy="17049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862" cy="171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56575" w14:textId="19B4F7AF" w:rsidR="00535AA7" w:rsidRDefault="00535AA7" w:rsidP="00535AA7">
      <w:pPr>
        <w:rPr>
          <w:rFonts w:cs="Arial"/>
        </w:rPr>
      </w:pPr>
    </w:p>
    <w:p w14:paraId="4E8EB324" w14:textId="537B3941" w:rsidR="004814B8" w:rsidRDefault="004814B8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2AAFEFD4" w14:textId="77777777" w:rsidR="002A49FC" w:rsidRDefault="002A49FC" w:rsidP="002A49FC">
      <w:pPr>
        <w:rPr>
          <w:rFonts w:cs="Arial"/>
          <w:b/>
          <w:u w:val="single"/>
        </w:rPr>
      </w:pPr>
      <w:bookmarkStart w:id="2" w:name="_Hlk41479160"/>
    </w:p>
    <w:p w14:paraId="3A906664" w14:textId="77777777" w:rsidR="002A49FC" w:rsidRDefault="002A49FC" w:rsidP="002A49FC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50B4E404" w14:textId="77777777" w:rsidR="002A49FC" w:rsidRDefault="002A49FC" w:rsidP="002A49FC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469C578D" w14:textId="77777777" w:rsidR="002A49FC" w:rsidRDefault="002A49FC" w:rsidP="002A49F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6D79DDA" w14:textId="77777777" w:rsidR="002A49FC" w:rsidRDefault="002A49FC" w:rsidP="002A49F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48CFA809" w14:textId="77777777" w:rsidR="002A49FC" w:rsidRDefault="002A49FC" w:rsidP="002A49F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16E3437" w14:textId="77777777" w:rsidR="002A49FC" w:rsidRDefault="002A49FC" w:rsidP="002A49FC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bookmarkEnd w:id="2"/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194D3535" w:rsidR="00843C24" w:rsidRDefault="002A49FC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48193289" w:rsidR="00843C24" w:rsidRDefault="002A49FC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Sharla Piepkow,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Rob Kolm,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502FAF7F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C834A5">
              <w:rPr>
                <w:rFonts w:ascii="Arial" w:hAnsi="Arial" w:cs="Arial"/>
                <w:sz w:val="18"/>
                <w:szCs w:val="18"/>
              </w:rPr>
              <w:t>05/29</w:t>
            </w:r>
            <w:r w:rsidR="007308C6">
              <w:rPr>
                <w:rFonts w:ascii="Arial" w:hAnsi="Arial" w:cs="Arial"/>
                <w:sz w:val="18"/>
                <w:szCs w:val="18"/>
              </w:rPr>
              <w:t>/20</w:t>
            </w:r>
            <w:r w:rsidR="002A2941"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8E340" w14:textId="77777777" w:rsidR="002A49FC" w:rsidRDefault="002A4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4C5182EA" w:rsidR="006F36F3" w:rsidRDefault="0008682D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B965EE">
      <w:rPr>
        <w:noProof/>
      </w:rPr>
      <w:t>7/15/2020 10:52 AM</w:t>
    </w:r>
    <w:r>
      <w:fldChar w:fldCharType="end"/>
    </w:r>
    <w:r w:rsidR="00572A43">
      <w:t xml:space="preserve">        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9ABD3" w14:textId="77777777" w:rsidR="002A49FC" w:rsidRDefault="002A4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055AF" w14:textId="77777777" w:rsidR="002A49FC" w:rsidRDefault="002A49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89660" w14:textId="77777777" w:rsidR="002A49FC" w:rsidRDefault="002A49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0D9E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D3733"/>
    <w:multiLevelType w:val="hybridMultilevel"/>
    <w:tmpl w:val="BEFA1D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D59F6"/>
    <w:multiLevelType w:val="hybridMultilevel"/>
    <w:tmpl w:val="D79AE6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CD965A5"/>
    <w:multiLevelType w:val="hybridMultilevel"/>
    <w:tmpl w:val="5BA67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229C6FA1"/>
    <w:multiLevelType w:val="hybridMultilevel"/>
    <w:tmpl w:val="7D268D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2E7F7AFB"/>
    <w:multiLevelType w:val="hybridMultilevel"/>
    <w:tmpl w:val="D7080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632F3"/>
    <w:multiLevelType w:val="hybridMultilevel"/>
    <w:tmpl w:val="12E2E0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7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9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3C2A4C0F"/>
    <w:multiLevelType w:val="hybridMultilevel"/>
    <w:tmpl w:val="D974CED8"/>
    <w:lvl w:ilvl="0" w:tplc="B07CF8FC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46537"/>
    <w:multiLevelType w:val="hybridMultilevel"/>
    <w:tmpl w:val="D7080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84535"/>
    <w:multiLevelType w:val="hybridMultilevel"/>
    <w:tmpl w:val="B090F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6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7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8" w15:restartNumberingAfterBreak="0">
    <w:nsid w:val="5405061C"/>
    <w:multiLevelType w:val="hybridMultilevel"/>
    <w:tmpl w:val="513845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A13427"/>
    <w:multiLevelType w:val="hybridMultilevel"/>
    <w:tmpl w:val="365838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1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F006FB"/>
    <w:multiLevelType w:val="hybridMultilevel"/>
    <w:tmpl w:val="2F00998C"/>
    <w:lvl w:ilvl="0" w:tplc="B07CF8FC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D65326"/>
    <w:multiLevelType w:val="hybridMultilevel"/>
    <w:tmpl w:val="525AA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7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8" w15:restartNumberingAfterBreak="0">
    <w:nsid w:val="73960A23"/>
    <w:multiLevelType w:val="hybridMultilevel"/>
    <w:tmpl w:val="1AFA286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40"/>
  </w:num>
  <w:num w:numId="4">
    <w:abstractNumId w:val="39"/>
  </w:num>
  <w:num w:numId="5">
    <w:abstractNumId w:val="31"/>
  </w:num>
  <w:num w:numId="6">
    <w:abstractNumId w:val="11"/>
  </w:num>
  <w:num w:numId="7">
    <w:abstractNumId w:val="25"/>
  </w:num>
  <w:num w:numId="8">
    <w:abstractNumId w:val="2"/>
  </w:num>
  <w:num w:numId="9">
    <w:abstractNumId w:val="13"/>
  </w:num>
  <w:num w:numId="10">
    <w:abstractNumId w:val="23"/>
  </w:num>
  <w:num w:numId="11">
    <w:abstractNumId w:val="27"/>
  </w:num>
  <w:num w:numId="12">
    <w:abstractNumId w:val="0"/>
  </w:num>
  <w:num w:numId="13">
    <w:abstractNumId w:val="35"/>
  </w:num>
  <w:num w:numId="14">
    <w:abstractNumId w:val="1"/>
  </w:num>
  <w:num w:numId="15">
    <w:abstractNumId w:val="18"/>
  </w:num>
  <w:num w:numId="16">
    <w:abstractNumId w:val="17"/>
  </w:num>
  <w:num w:numId="17">
    <w:abstractNumId w:val="16"/>
  </w:num>
  <w:num w:numId="18">
    <w:abstractNumId w:val="8"/>
  </w:num>
  <w:num w:numId="19">
    <w:abstractNumId w:val="4"/>
  </w:num>
  <w:num w:numId="20">
    <w:abstractNumId w:val="37"/>
  </w:num>
  <w:num w:numId="21">
    <w:abstractNumId w:val="10"/>
  </w:num>
  <w:num w:numId="22">
    <w:abstractNumId w:val="30"/>
  </w:num>
  <w:num w:numId="23">
    <w:abstractNumId w:val="3"/>
  </w:num>
  <w:num w:numId="24">
    <w:abstractNumId w:val="36"/>
  </w:num>
  <w:num w:numId="25">
    <w:abstractNumId w:val="22"/>
  </w:num>
  <w:num w:numId="26">
    <w:abstractNumId w:val="19"/>
  </w:num>
  <w:num w:numId="27">
    <w:abstractNumId w:val="5"/>
  </w:num>
  <w:num w:numId="28">
    <w:abstractNumId w:val="7"/>
  </w:num>
  <w:num w:numId="29">
    <w:abstractNumId w:val="12"/>
  </w:num>
  <w:num w:numId="30">
    <w:abstractNumId w:val="29"/>
  </w:num>
  <w:num w:numId="31">
    <w:abstractNumId w:val="33"/>
  </w:num>
  <w:num w:numId="32">
    <w:abstractNumId w:val="15"/>
  </w:num>
  <w:num w:numId="33">
    <w:abstractNumId w:val="20"/>
  </w:num>
  <w:num w:numId="34">
    <w:abstractNumId w:val="9"/>
  </w:num>
  <w:num w:numId="35">
    <w:abstractNumId w:val="24"/>
  </w:num>
  <w:num w:numId="36">
    <w:abstractNumId w:val="32"/>
  </w:num>
  <w:num w:numId="37">
    <w:abstractNumId w:val="38"/>
  </w:num>
  <w:num w:numId="38">
    <w:abstractNumId w:val="28"/>
  </w:num>
  <w:num w:numId="39">
    <w:abstractNumId w:val="6"/>
  </w:num>
  <w:num w:numId="40">
    <w:abstractNumId w:val="21"/>
  </w:num>
  <w:num w:numId="41">
    <w:abstractNumId w:val="1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0C72"/>
    <w:rsid w:val="0000509E"/>
    <w:rsid w:val="00005665"/>
    <w:rsid w:val="00016922"/>
    <w:rsid w:val="00056A5C"/>
    <w:rsid w:val="0006055C"/>
    <w:rsid w:val="00061B56"/>
    <w:rsid w:val="0008682D"/>
    <w:rsid w:val="000A0C5F"/>
    <w:rsid w:val="000F7A52"/>
    <w:rsid w:val="00106A5A"/>
    <w:rsid w:val="00107EDA"/>
    <w:rsid w:val="001117F9"/>
    <w:rsid w:val="00115FED"/>
    <w:rsid w:val="00124E2E"/>
    <w:rsid w:val="00130DE0"/>
    <w:rsid w:val="0014293E"/>
    <w:rsid w:val="00157A90"/>
    <w:rsid w:val="001850DC"/>
    <w:rsid w:val="001A0CD2"/>
    <w:rsid w:val="002009AB"/>
    <w:rsid w:val="00211F74"/>
    <w:rsid w:val="00243F84"/>
    <w:rsid w:val="002458AC"/>
    <w:rsid w:val="00251590"/>
    <w:rsid w:val="00293410"/>
    <w:rsid w:val="002966FD"/>
    <w:rsid w:val="002A2941"/>
    <w:rsid w:val="002A49FC"/>
    <w:rsid w:val="002B2743"/>
    <w:rsid w:val="002D508B"/>
    <w:rsid w:val="002E4B80"/>
    <w:rsid w:val="0031456C"/>
    <w:rsid w:val="00314D68"/>
    <w:rsid w:val="0036766E"/>
    <w:rsid w:val="0037004D"/>
    <w:rsid w:val="00372A84"/>
    <w:rsid w:val="00385E21"/>
    <w:rsid w:val="0038754C"/>
    <w:rsid w:val="00396B5B"/>
    <w:rsid w:val="003B35A0"/>
    <w:rsid w:val="003B3686"/>
    <w:rsid w:val="003B4B97"/>
    <w:rsid w:val="003B57FA"/>
    <w:rsid w:val="003E140A"/>
    <w:rsid w:val="003E68D2"/>
    <w:rsid w:val="003F0395"/>
    <w:rsid w:val="003F2D81"/>
    <w:rsid w:val="00416DC4"/>
    <w:rsid w:val="00420B86"/>
    <w:rsid w:val="00461E98"/>
    <w:rsid w:val="00464808"/>
    <w:rsid w:val="0047123C"/>
    <w:rsid w:val="004814B8"/>
    <w:rsid w:val="004A140E"/>
    <w:rsid w:val="004B304A"/>
    <w:rsid w:val="004B4F66"/>
    <w:rsid w:val="004D4088"/>
    <w:rsid w:val="004D4360"/>
    <w:rsid w:val="004E4078"/>
    <w:rsid w:val="004F2DE1"/>
    <w:rsid w:val="004F306F"/>
    <w:rsid w:val="005132AA"/>
    <w:rsid w:val="00514E52"/>
    <w:rsid w:val="005332E6"/>
    <w:rsid w:val="00535AA7"/>
    <w:rsid w:val="00572A43"/>
    <w:rsid w:val="005A6EAB"/>
    <w:rsid w:val="005C6621"/>
    <w:rsid w:val="005F229F"/>
    <w:rsid w:val="006108A0"/>
    <w:rsid w:val="00631334"/>
    <w:rsid w:val="00647B16"/>
    <w:rsid w:val="00662AD3"/>
    <w:rsid w:val="00675066"/>
    <w:rsid w:val="00680B40"/>
    <w:rsid w:val="006B180D"/>
    <w:rsid w:val="006B449F"/>
    <w:rsid w:val="006B5C10"/>
    <w:rsid w:val="006B6098"/>
    <w:rsid w:val="006B62C5"/>
    <w:rsid w:val="006C1CB0"/>
    <w:rsid w:val="006D7E01"/>
    <w:rsid w:val="006E34A9"/>
    <w:rsid w:val="006F36F3"/>
    <w:rsid w:val="00705F94"/>
    <w:rsid w:val="0071521F"/>
    <w:rsid w:val="007254B7"/>
    <w:rsid w:val="00725699"/>
    <w:rsid w:val="007308C6"/>
    <w:rsid w:val="007503B2"/>
    <w:rsid w:val="007653F6"/>
    <w:rsid w:val="007675E4"/>
    <w:rsid w:val="00780ADA"/>
    <w:rsid w:val="007A3C31"/>
    <w:rsid w:val="007A4E80"/>
    <w:rsid w:val="007D015B"/>
    <w:rsid w:val="007D06FE"/>
    <w:rsid w:val="007E0F66"/>
    <w:rsid w:val="007F44AE"/>
    <w:rsid w:val="0080549C"/>
    <w:rsid w:val="00812063"/>
    <w:rsid w:val="008152E1"/>
    <w:rsid w:val="00832278"/>
    <w:rsid w:val="00843C24"/>
    <w:rsid w:val="0088547F"/>
    <w:rsid w:val="00896AD4"/>
    <w:rsid w:val="008A03E0"/>
    <w:rsid w:val="008C2574"/>
    <w:rsid w:val="008C2ABE"/>
    <w:rsid w:val="008D3A31"/>
    <w:rsid w:val="008F1737"/>
    <w:rsid w:val="008F4526"/>
    <w:rsid w:val="009060E1"/>
    <w:rsid w:val="00924535"/>
    <w:rsid w:val="009249F3"/>
    <w:rsid w:val="009559CB"/>
    <w:rsid w:val="009618D1"/>
    <w:rsid w:val="00966150"/>
    <w:rsid w:val="0096664E"/>
    <w:rsid w:val="009807C3"/>
    <w:rsid w:val="009F70F9"/>
    <w:rsid w:val="00A07439"/>
    <w:rsid w:val="00A13374"/>
    <w:rsid w:val="00A14DB3"/>
    <w:rsid w:val="00A2001B"/>
    <w:rsid w:val="00A46084"/>
    <w:rsid w:val="00A64533"/>
    <w:rsid w:val="00A672EE"/>
    <w:rsid w:val="00A67305"/>
    <w:rsid w:val="00A7322E"/>
    <w:rsid w:val="00A7722D"/>
    <w:rsid w:val="00A81FF8"/>
    <w:rsid w:val="00A945D3"/>
    <w:rsid w:val="00A967C8"/>
    <w:rsid w:val="00AB3C99"/>
    <w:rsid w:val="00AC0954"/>
    <w:rsid w:val="00AC46F6"/>
    <w:rsid w:val="00AC7746"/>
    <w:rsid w:val="00AE6E1D"/>
    <w:rsid w:val="00AF2F1F"/>
    <w:rsid w:val="00AF437F"/>
    <w:rsid w:val="00B16274"/>
    <w:rsid w:val="00B652EF"/>
    <w:rsid w:val="00B95156"/>
    <w:rsid w:val="00B965EE"/>
    <w:rsid w:val="00BB0AC0"/>
    <w:rsid w:val="00BB1BAF"/>
    <w:rsid w:val="00BB6713"/>
    <w:rsid w:val="00BB775C"/>
    <w:rsid w:val="00BC05A3"/>
    <w:rsid w:val="00BC656D"/>
    <w:rsid w:val="00BD12E3"/>
    <w:rsid w:val="00BF67ED"/>
    <w:rsid w:val="00C037D5"/>
    <w:rsid w:val="00C33C45"/>
    <w:rsid w:val="00C8221C"/>
    <w:rsid w:val="00C82A3C"/>
    <w:rsid w:val="00C82C5C"/>
    <w:rsid w:val="00C834A5"/>
    <w:rsid w:val="00C84303"/>
    <w:rsid w:val="00C9711D"/>
    <w:rsid w:val="00CA26B0"/>
    <w:rsid w:val="00CA3CFE"/>
    <w:rsid w:val="00CC7EBB"/>
    <w:rsid w:val="00CD295E"/>
    <w:rsid w:val="00CE2CF6"/>
    <w:rsid w:val="00D02451"/>
    <w:rsid w:val="00D21BB2"/>
    <w:rsid w:val="00D25EE2"/>
    <w:rsid w:val="00D3737A"/>
    <w:rsid w:val="00D61A99"/>
    <w:rsid w:val="00D7073F"/>
    <w:rsid w:val="00D82AD1"/>
    <w:rsid w:val="00D96F67"/>
    <w:rsid w:val="00DC4B42"/>
    <w:rsid w:val="00DD4587"/>
    <w:rsid w:val="00DE0D50"/>
    <w:rsid w:val="00E172F0"/>
    <w:rsid w:val="00E27167"/>
    <w:rsid w:val="00E52479"/>
    <w:rsid w:val="00E65332"/>
    <w:rsid w:val="00E66CE6"/>
    <w:rsid w:val="00E842EF"/>
    <w:rsid w:val="00E94B60"/>
    <w:rsid w:val="00EC3CF0"/>
    <w:rsid w:val="00ED441B"/>
    <w:rsid w:val="00ED5AC8"/>
    <w:rsid w:val="00F17820"/>
    <w:rsid w:val="00F345F1"/>
    <w:rsid w:val="00F56E88"/>
    <w:rsid w:val="00F84556"/>
    <w:rsid w:val="00FA6278"/>
    <w:rsid w:val="00FB1957"/>
    <w:rsid w:val="00FC7FC7"/>
    <w:rsid w:val="00FD5088"/>
    <w:rsid w:val="00FD6984"/>
    <w:rsid w:val="00F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308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confluence.jacksonnational.com/display/CPENABLE/08+-+Generate+Daily+SLA+Repor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hyperlink" Target="http://docs.jackson.local/it/sites/rs/_layouts/15/start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fluence.jacksonnational.com/display/CPENABLE/01+-+Manually+Monitor+Services+Procedure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medy.jacksonnational.com/arsy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F038F8-7778-4D79-9B3D-071E08731E28}">
  <ds:schemaRefs>
    <ds:schemaRef ds:uri="http://purl.org/dc/elements/1.1/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565</TotalTime>
  <Pages>5</Pages>
  <Words>862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77</cp:revision>
  <cp:lastPrinted>2019-01-08T17:31:00Z</cp:lastPrinted>
  <dcterms:created xsi:type="dcterms:W3CDTF">2017-02-14T20:54:00Z</dcterms:created>
  <dcterms:modified xsi:type="dcterms:W3CDTF">2020-07-15T15:09:00Z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