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81B6BC" w14:textId="7D5D68B5" w:rsidR="00D02451" w:rsidRPr="00A2001B" w:rsidRDefault="00243D43" w:rsidP="00F345F1">
      <w:pPr>
        <w:pStyle w:val="Heading1"/>
        <w:keepNext w:val="0"/>
        <w:spacing w:before="0"/>
        <w:rPr>
          <w:rFonts w:cs="Arial"/>
          <w:color w:val="C00000"/>
        </w:rPr>
      </w:pPr>
      <w:bookmarkStart w:id="0" w:name="_Toc63667416"/>
      <w:r>
        <w:rPr>
          <w:rFonts w:cs="Arial"/>
          <w:color w:val="C00000"/>
        </w:rPr>
        <w:t>Reviewing</w:t>
      </w:r>
      <w:r w:rsidR="004E24E3">
        <w:rPr>
          <w:rFonts w:cs="Arial"/>
          <w:color w:val="C00000"/>
        </w:rPr>
        <w:t xml:space="preserve"> </w:t>
      </w:r>
      <w:r w:rsidR="00233F6A">
        <w:rPr>
          <w:rFonts w:cs="Arial"/>
          <w:color w:val="C00000"/>
        </w:rPr>
        <w:t xml:space="preserve">OLA </w:t>
      </w:r>
      <w:r w:rsidR="007E5ACC">
        <w:rPr>
          <w:rFonts w:cs="Arial"/>
          <w:color w:val="C00000"/>
        </w:rPr>
        <w:t xml:space="preserve">Breached </w:t>
      </w:r>
      <w:r w:rsidR="00233F6A">
        <w:rPr>
          <w:rFonts w:cs="Arial"/>
          <w:color w:val="C00000"/>
        </w:rPr>
        <w:t xml:space="preserve">Report </w:t>
      </w:r>
      <w:r w:rsidR="00314D68">
        <w:rPr>
          <w:rFonts w:cs="Arial"/>
          <w:color w:val="C00000"/>
        </w:rPr>
        <w:t xml:space="preserve">Procedure </w:t>
      </w:r>
    </w:p>
    <w:p w14:paraId="664C0E08" w14:textId="77777777" w:rsidR="00D02451" w:rsidRPr="006108A0" w:rsidRDefault="00E94B60" w:rsidP="00C037D5">
      <w:pPr>
        <w:pStyle w:val="Heading8"/>
        <w:pBdr>
          <w:bottom w:val="single" w:sz="18" w:space="6" w:color="C00000"/>
        </w:pBdr>
        <w:rPr>
          <w:rFonts w:cs="Arial"/>
        </w:rPr>
      </w:pPr>
      <w:r>
        <w:rPr>
          <w:rFonts w:cs="Arial"/>
        </w:rPr>
        <w:t>Service Level Management</w:t>
      </w:r>
    </w:p>
    <w:bookmarkEnd w:id="0"/>
    <w:p w14:paraId="0EC32A8B" w14:textId="77777777" w:rsidR="00157A90" w:rsidRDefault="00115FED" w:rsidP="00C037D5">
      <w:pPr>
        <w:spacing w:before="120"/>
        <w:rPr>
          <w:rFonts w:cs="Arial"/>
          <w:b/>
        </w:rPr>
      </w:pPr>
      <w:r>
        <w:rPr>
          <w:rFonts w:cs="Arial"/>
          <w:b/>
        </w:rPr>
        <w:t>Purpose</w:t>
      </w:r>
    </w:p>
    <w:p w14:paraId="0B3A28B6" w14:textId="4C89A83C" w:rsidR="00A967C8" w:rsidRDefault="0017106F" w:rsidP="00A967C8">
      <w:pPr>
        <w:rPr>
          <w:rFonts w:cs="Arial"/>
          <w:sz w:val="20"/>
        </w:rPr>
      </w:pPr>
      <w:r>
        <w:rPr>
          <w:rFonts w:cs="Arial"/>
          <w:sz w:val="20"/>
        </w:rPr>
        <w:t>This procedure explains what to look for when reviewing the Daily or Monthly OLA Breached reports</w:t>
      </w:r>
      <w:r w:rsidR="00314D68">
        <w:rPr>
          <w:rFonts w:cs="Arial"/>
          <w:sz w:val="20"/>
        </w:rPr>
        <w:t>.</w:t>
      </w:r>
      <w:r w:rsidR="00A967C8">
        <w:rPr>
          <w:rFonts w:cs="Arial"/>
          <w:sz w:val="20"/>
        </w:rPr>
        <w:t xml:space="preserve"> </w:t>
      </w:r>
    </w:p>
    <w:p w14:paraId="71CDDC77" w14:textId="77777777" w:rsidR="00115FED" w:rsidRDefault="00115FED" w:rsidP="00157A90">
      <w:pPr>
        <w:rPr>
          <w:rFonts w:cs="Arial"/>
          <w:sz w:val="20"/>
        </w:rPr>
      </w:pPr>
    </w:p>
    <w:p w14:paraId="018FB67F" w14:textId="77777777" w:rsidR="00115FED" w:rsidRPr="00115FED" w:rsidRDefault="00115FED" w:rsidP="00115FED">
      <w:pPr>
        <w:rPr>
          <w:rFonts w:cs="Arial"/>
          <w:b/>
        </w:rPr>
      </w:pPr>
      <w:r w:rsidRPr="00115FED">
        <w:rPr>
          <w:rFonts w:cs="Arial"/>
          <w:b/>
        </w:rPr>
        <w:t>Related Policy</w:t>
      </w:r>
    </w:p>
    <w:p w14:paraId="0158E3F5" w14:textId="571A9089" w:rsidR="00115FED" w:rsidRPr="00115FED" w:rsidRDefault="009669A2" w:rsidP="00D77BC1">
      <w:pPr>
        <w:numPr>
          <w:ilvl w:val="0"/>
          <w:numId w:val="27"/>
        </w:numPr>
        <w:rPr>
          <w:rFonts w:cs="Arial"/>
          <w:sz w:val="20"/>
        </w:rPr>
      </w:pPr>
      <w:hyperlink r:id="rId11" w:history="1">
        <w:r w:rsidR="00E94B60" w:rsidRPr="009669A2">
          <w:rPr>
            <w:rStyle w:val="Hyperlink"/>
            <w:rFonts w:cs="Arial"/>
            <w:sz w:val="20"/>
          </w:rPr>
          <w:t>IT Service Management Policy</w:t>
        </w:r>
      </w:hyperlink>
      <w:bookmarkStart w:id="1" w:name="_GoBack"/>
      <w:bookmarkEnd w:id="1"/>
    </w:p>
    <w:p w14:paraId="4A2DDBDC" w14:textId="77777777" w:rsidR="00157A90" w:rsidRPr="006108A0" w:rsidRDefault="00157A90" w:rsidP="00157A90">
      <w:pPr>
        <w:keepNext/>
        <w:spacing w:before="240"/>
        <w:outlineLvl w:val="1"/>
        <w:rPr>
          <w:rFonts w:cs="Arial"/>
          <w:b/>
        </w:rPr>
      </w:pPr>
      <w:r w:rsidRPr="006108A0">
        <w:rPr>
          <w:rFonts w:cs="Arial"/>
          <w:b/>
        </w:rPr>
        <w:t>Audience</w:t>
      </w:r>
    </w:p>
    <w:p w14:paraId="5C58728D" w14:textId="77777777" w:rsidR="00157A90" w:rsidRDefault="00157A90" w:rsidP="00115FED">
      <w:pPr>
        <w:rPr>
          <w:rFonts w:cs="Arial"/>
          <w:sz w:val="20"/>
        </w:rPr>
      </w:pPr>
      <w:r w:rsidRPr="006108A0">
        <w:rPr>
          <w:rFonts w:cs="Arial"/>
          <w:sz w:val="20"/>
        </w:rPr>
        <w:t>The following groups are responsible</w:t>
      </w:r>
      <w:r w:rsidR="00115FED">
        <w:rPr>
          <w:rFonts w:cs="Arial"/>
          <w:sz w:val="20"/>
        </w:rPr>
        <w:t xml:space="preserve"> for adhering to this document:</w:t>
      </w:r>
    </w:p>
    <w:p w14:paraId="482F84D5" w14:textId="79A15625" w:rsidR="00115FED" w:rsidRPr="00115FED" w:rsidRDefault="00ED5AC8" w:rsidP="00D77BC1">
      <w:pPr>
        <w:numPr>
          <w:ilvl w:val="0"/>
          <w:numId w:val="27"/>
        </w:numPr>
        <w:rPr>
          <w:rFonts w:cs="Arial"/>
          <w:sz w:val="20"/>
        </w:rPr>
      </w:pPr>
      <w:r>
        <w:rPr>
          <w:rFonts w:cs="Arial"/>
          <w:sz w:val="20"/>
        </w:rPr>
        <w:t>Service Level Management</w:t>
      </w:r>
    </w:p>
    <w:p w14:paraId="6207B1A6" w14:textId="77777777" w:rsidR="00535AA7" w:rsidRPr="006108A0" w:rsidRDefault="00535AA7" w:rsidP="00535AA7">
      <w:pPr>
        <w:rPr>
          <w:rFonts w:cs="Arial"/>
        </w:rPr>
      </w:pPr>
    </w:p>
    <w:p w14:paraId="5C371813" w14:textId="77777777" w:rsidR="00D02451" w:rsidRPr="00680B40" w:rsidRDefault="00705F94">
      <w:pPr>
        <w:rPr>
          <w:rFonts w:cs="Arial"/>
          <w:b/>
        </w:rPr>
      </w:pPr>
      <w:r>
        <w:rPr>
          <w:rFonts w:cs="Arial"/>
          <w:b/>
        </w:rPr>
        <w:t>Procedure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620"/>
        <w:gridCol w:w="230"/>
        <w:gridCol w:w="9081"/>
      </w:tblGrid>
      <w:tr w:rsidR="00016922" w:rsidRPr="006108A0" w14:paraId="563F284C" w14:textId="77777777" w:rsidTr="00F87FB4">
        <w:tc>
          <w:tcPr>
            <w:tcW w:w="42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14:paraId="48A38AE3" w14:textId="2A06E02A" w:rsidR="00016922" w:rsidRPr="006108A0" w:rsidRDefault="00016922" w:rsidP="0006055C">
            <w:pPr>
              <w:pStyle w:val="TblHeadings"/>
              <w:rPr>
                <w:rFonts w:cs="Arial"/>
              </w:rPr>
            </w:pPr>
            <w:r w:rsidRPr="006108A0">
              <w:rPr>
                <w:rFonts w:cs="Arial"/>
              </w:rPr>
              <w:t>Step</w:t>
            </w:r>
          </w:p>
        </w:tc>
        <w:tc>
          <w:tcPr>
            <w:tcW w:w="457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0C0C0"/>
            <w:vAlign w:val="center"/>
          </w:tcPr>
          <w:p w14:paraId="29B31526" w14:textId="77777777" w:rsidR="00016922" w:rsidRPr="006108A0" w:rsidRDefault="00016922" w:rsidP="0006055C">
            <w:pPr>
              <w:pStyle w:val="TblHeadings"/>
              <w:jc w:val="left"/>
              <w:rPr>
                <w:rFonts w:cs="Arial"/>
              </w:rPr>
            </w:pPr>
            <w:r w:rsidRPr="006108A0">
              <w:rPr>
                <w:rFonts w:cs="Arial"/>
              </w:rPr>
              <w:t>Action</w:t>
            </w:r>
          </w:p>
        </w:tc>
      </w:tr>
      <w:tr w:rsidR="00016922" w:rsidRPr="006108A0" w14:paraId="538D5901" w14:textId="77777777" w:rsidTr="00F87FB4"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F9CF1D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t>1</w:t>
            </w:r>
          </w:p>
        </w:tc>
        <w:tc>
          <w:tcPr>
            <w:tcW w:w="468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0CAE2F" w14:textId="77777777" w:rsidR="00016922" w:rsidRDefault="00874743" w:rsidP="00283690">
            <w:pPr>
              <w:autoSpaceDE w:val="0"/>
              <w:autoSpaceDN w:val="0"/>
              <w:adjustRightInd w:val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Review the incident ticket information:</w:t>
            </w:r>
          </w:p>
          <w:p w14:paraId="21734029" w14:textId="77777777" w:rsidR="00874743" w:rsidRDefault="00874743" w:rsidP="00283690">
            <w:pPr>
              <w:autoSpaceDE w:val="0"/>
              <w:autoSpaceDN w:val="0"/>
              <w:adjustRightInd w:val="0"/>
              <w:rPr>
                <w:rFonts w:cs="Arial"/>
                <w:sz w:val="20"/>
              </w:rPr>
            </w:pPr>
          </w:p>
          <w:p w14:paraId="42B14CB5" w14:textId="554DB6AD" w:rsidR="00874743" w:rsidRDefault="00874743" w:rsidP="00874743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the “Critical Service Target Tickets”, “High Service Target Tickets”, “Medium Service Target Tickets”, and “Low Service Target Tickets” tabs to examine the tickets with breached OLAs.</w:t>
            </w:r>
          </w:p>
          <w:p w14:paraId="2165ED31" w14:textId="2B46FDFB" w:rsidR="00F87FB4" w:rsidRPr="00F87FB4" w:rsidRDefault="00F87FB4" w:rsidP="00F87FB4">
            <w:pPr>
              <w:autoSpaceDE w:val="0"/>
              <w:autoSpaceDN w:val="0"/>
              <w:adjustRightInd w:val="0"/>
              <w:jc w:val="center"/>
              <w:rPr>
                <w:rFonts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5D8A58E7" wp14:editId="1F818424">
                  <wp:extent cx="1800225" cy="3810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21A541" w14:textId="77777777" w:rsidR="00874743" w:rsidRDefault="00874743" w:rsidP="00874743">
            <w:pPr>
              <w:autoSpaceDE w:val="0"/>
              <w:autoSpaceDN w:val="0"/>
              <w:adjustRightInd w:val="0"/>
              <w:rPr>
                <w:rFonts w:cs="Arial"/>
                <w:sz w:val="20"/>
              </w:rPr>
            </w:pPr>
          </w:p>
          <w:p w14:paraId="1F2606E9" w14:textId="756552AC" w:rsidR="00874743" w:rsidRDefault="00874743" w:rsidP="00874743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Take note of the “Service Target” field.  This will show “Assigned” or “Resolution” based on the type of breach.</w:t>
            </w:r>
          </w:p>
          <w:p w14:paraId="4B218C0A" w14:textId="13C15D0B" w:rsidR="00874743" w:rsidRDefault="00874743" w:rsidP="00874743">
            <w:pPr>
              <w:autoSpaceDE w:val="0"/>
              <w:autoSpaceDN w:val="0"/>
              <w:adjustRightInd w:val="0"/>
              <w:ind w:left="720"/>
              <w:rPr>
                <w:rFonts w:cs="Arial"/>
                <w:sz w:val="20"/>
              </w:rPr>
            </w:pPr>
            <w:r w:rsidRPr="00874743">
              <w:rPr>
                <w:rFonts w:cs="Arial"/>
                <w:b/>
                <w:sz w:val="20"/>
              </w:rPr>
              <w:t>Note:</w:t>
            </w:r>
            <w:r>
              <w:rPr>
                <w:rFonts w:cs="Arial"/>
                <w:sz w:val="20"/>
              </w:rPr>
              <w:t xml:space="preserve"> </w:t>
            </w:r>
            <w:r w:rsidRPr="00874743">
              <w:rPr>
                <w:rFonts w:cs="Arial"/>
                <w:i/>
                <w:sz w:val="20"/>
              </w:rPr>
              <w:t xml:space="preserve">A single incident ticket can contain both </w:t>
            </w:r>
            <w:r w:rsidR="00247C38">
              <w:rPr>
                <w:rFonts w:cs="Arial"/>
                <w:i/>
                <w:sz w:val="20"/>
              </w:rPr>
              <w:t xml:space="preserve">types of </w:t>
            </w:r>
            <w:r w:rsidRPr="00874743">
              <w:rPr>
                <w:rFonts w:cs="Arial"/>
                <w:i/>
                <w:sz w:val="20"/>
              </w:rPr>
              <w:t>breaches</w:t>
            </w:r>
            <w:r>
              <w:rPr>
                <w:rFonts w:cs="Arial"/>
                <w:sz w:val="20"/>
              </w:rPr>
              <w:t>.</w:t>
            </w:r>
          </w:p>
          <w:p w14:paraId="2EF96091" w14:textId="658F2841" w:rsidR="008E78B3" w:rsidRDefault="008E78B3" w:rsidP="00874743">
            <w:pPr>
              <w:autoSpaceDE w:val="0"/>
              <w:autoSpaceDN w:val="0"/>
              <w:adjustRightInd w:val="0"/>
              <w:ind w:left="720"/>
              <w:rPr>
                <w:rFonts w:cs="Arial"/>
                <w:sz w:val="20"/>
              </w:rPr>
            </w:pPr>
          </w:p>
          <w:p w14:paraId="400831BC" w14:textId="3C5138C5" w:rsidR="008E78B3" w:rsidRPr="00874743" w:rsidRDefault="008E78B3" w:rsidP="008E78B3">
            <w:pPr>
              <w:autoSpaceDE w:val="0"/>
              <w:autoSpaceDN w:val="0"/>
              <w:adjustRightInd w:val="0"/>
              <w:ind w:left="720"/>
              <w:jc w:val="center"/>
              <w:rPr>
                <w:rFonts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12FBC173" wp14:editId="5F39111F">
                  <wp:extent cx="2076450" cy="8667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EC7093" w14:textId="77777777" w:rsidR="00874743" w:rsidRPr="00874743" w:rsidRDefault="00874743" w:rsidP="00874743">
            <w:pPr>
              <w:pStyle w:val="ListParagraph"/>
              <w:rPr>
                <w:rFonts w:cs="Arial"/>
                <w:sz w:val="20"/>
              </w:rPr>
            </w:pPr>
          </w:p>
          <w:p w14:paraId="1974E5F2" w14:textId="73471CD0" w:rsidR="009259C2" w:rsidRDefault="00874743" w:rsidP="00AB4461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Take note of the Summary.  When reviewing the report daily, patterns and trends may appear.  </w:t>
            </w:r>
          </w:p>
          <w:p w14:paraId="6DBE25E2" w14:textId="5C04A621" w:rsidR="009259C2" w:rsidRDefault="009259C2" w:rsidP="009259C2">
            <w:pPr>
              <w:pStyle w:val="ListParagraph"/>
              <w:autoSpaceDE w:val="0"/>
              <w:autoSpaceDN w:val="0"/>
              <w:adjustRightInd w:val="0"/>
              <w:rPr>
                <w:rFonts w:cs="Arial"/>
                <w:sz w:val="20"/>
              </w:rPr>
            </w:pPr>
          </w:p>
          <w:p w14:paraId="766AA12B" w14:textId="2AAEE784" w:rsidR="00AB4461" w:rsidRPr="009259C2" w:rsidRDefault="009259C2" w:rsidP="00E7469B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cs="Arial"/>
                <w:sz w:val="20"/>
              </w:rPr>
            </w:pPr>
            <w:r w:rsidRPr="009259C2">
              <w:rPr>
                <w:rFonts w:cs="Arial"/>
                <w:sz w:val="20"/>
              </w:rPr>
              <w:t>I</w:t>
            </w:r>
            <w:r>
              <w:rPr>
                <w:rFonts w:cs="Arial"/>
                <w:sz w:val="20"/>
              </w:rPr>
              <w:t>f</w:t>
            </w:r>
            <w:r w:rsidRPr="009259C2">
              <w:rPr>
                <w:rFonts w:cs="Arial"/>
                <w:sz w:val="20"/>
              </w:rPr>
              <w:t xml:space="preserve"> an </w:t>
            </w:r>
            <w:r>
              <w:rPr>
                <w:rFonts w:cs="Arial"/>
                <w:sz w:val="20"/>
              </w:rPr>
              <w:t xml:space="preserve">issue </w:t>
            </w:r>
            <w:r w:rsidRPr="009259C2">
              <w:rPr>
                <w:rFonts w:cs="Arial"/>
                <w:sz w:val="20"/>
              </w:rPr>
              <w:t>continuously appear</w:t>
            </w:r>
            <w:r>
              <w:rPr>
                <w:rFonts w:cs="Arial"/>
                <w:sz w:val="20"/>
              </w:rPr>
              <w:t xml:space="preserve">s </w:t>
            </w:r>
            <w:r w:rsidRPr="009259C2">
              <w:rPr>
                <w:rFonts w:cs="Arial"/>
                <w:sz w:val="20"/>
              </w:rPr>
              <w:t>on the OLA Breached report, c</w:t>
            </w:r>
            <w:r w:rsidR="00AB4461" w:rsidRPr="009259C2">
              <w:rPr>
                <w:rFonts w:cs="Arial"/>
                <w:sz w:val="20"/>
              </w:rPr>
              <w:t>reate a problem ticket</w:t>
            </w:r>
            <w:r>
              <w:rPr>
                <w:rFonts w:cs="Arial"/>
                <w:sz w:val="20"/>
              </w:rPr>
              <w:t xml:space="preserve"> to have the OLA reviewed.  </w:t>
            </w:r>
          </w:p>
          <w:p w14:paraId="28FED710" w14:textId="3FA9F6B7" w:rsidR="00AB4461" w:rsidRPr="00AB4461" w:rsidRDefault="00AB4461" w:rsidP="008E78B3">
            <w:pPr>
              <w:pStyle w:val="ListParagraph"/>
              <w:autoSpaceDE w:val="0"/>
              <w:autoSpaceDN w:val="0"/>
              <w:adjustRightInd w:val="0"/>
              <w:rPr>
                <w:rFonts w:cs="Arial"/>
                <w:sz w:val="20"/>
              </w:rPr>
            </w:pPr>
          </w:p>
        </w:tc>
      </w:tr>
      <w:tr w:rsidR="00016922" w:rsidRPr="006108A0" w14:paraId="4A8F5F6F" w14:textId="77777777" w:rsidTr="00F87FB4"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9C4D2F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t>2</w:t>
            </w:r>
          </w:p>
        </w:tc>
        <w:tc>
          <w:tcPr>
            <w:tcW w:w="468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DCC732" w14:textId="375921E1" w:rsidR="00874743" w:rsidRDefault="00874743" w:rsidP="00874743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Verify </w:t>
            </w:r>
            <w:r w:rsidR="00F74E74">
              <w:rPr>
                <w:rFonts w:ascii="Arial" w:hAnsi="Arial" w:cs="Arial"/>
                <w:sz w:val="20"/>
              </w:rPr>
              <w:t xml:space="preserve">that </w:t>
            </w:r>
            <w:r>
              <w:rPr>
                <w:rFonts w:ascii="Arial" w:hAnsi="Arial" w:cs="Arial"/>
                <w:sz w:val="20"/>
              </w:rPr>
              <w:t>the totals add up:</w:t>
            </w:r>
          </w:p>
          <w:p w14:paraId="54D2B822" w14:textId="77777777" w:rsidR="00874743" w:rsidRDefault="00874743" w:rsidP="00874743">
            <w:pPr>
              <w:pStyle w:val="BodyText1"/>
              <w:rPr>
                <w:rFonts w:ascii="Arial" w:hAnsi="Arial" w:cs="Arial"/>
                <w:sz w:val="20"/>
              </w:rPr>
            </w:pPr>
          </w:p>
          <w:p w14:paraId="32EECAA4" w14:textId="7C8D4F2A" w:rsidR="00874743" w:rsidRDefault="00874743" w:rsidP="00874743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Use the “Primary Summary”</w:t>
            </w:r>
            <w:r w:rsidR="00F87FB4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tab</w:t>
            </w:r>
            <w:r w:rsidR="00F87FB4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 xml:space="preserve">to view the totals. </w:t>
            </w:r>
          </w:p>
          <w:p w14:paraId="5422EFA0" w14:textId="77777777" w:rsidR="00247C38" w:rsidRDefault="00247C38" w:rsidP="00247C38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</w:p>
          <w:p w14:paraId="0DE0CAB3" w14:textId="77777777" w:rsidR="00874743" w:rsidRDefault="00874743" w:rsidP="00874743">
            <w:pPr>
              <w:pStyle w:val="BodyText1"/>
              <w:jc w:val="center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D0A87E6" wp14:editId="580C5B7E">
                  <wp:extent cx="3790950" cy="52387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95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CCF5B2" w14:textId="77777777" w:rsidR="00874743" w:rsidRDefault="00874743" w:rsidP="00874743">
            <w:pPr>
              <w:pStyle w:val="BodyText1"/>
              <w:rPr>
                <w:rFonts w:ascii="Arial" w:hAnsi="Arial" w:cs="Arial"/>
                <w:sz w:val="20"/>
              </w:rPr>
            </w:pPr>
          </w:p>
          <w:p w14:paraId="68FA57C6" w14:textId="77777777" w:rsidR="00874743" w:rsidRDefault="00874743" w:rsidP="00874743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0"/>
              </w:rPr>
            </w:pPr>
            <w:r w:rsidRPr="00D77BC1">
              <w:rPr>
                <w:rFonts w:ascii="Arial" w:hAnsi="Arial" w:cs="Arial"/>
                <w:sz w:val="20"/>
              </w:rPr>
              <w:t>The totals in each column for all four levels (Critical, High, Medium, &amp; Low) should equal the number found in the top row (“All Service Targets”) for that column.</w:t>
            </w:r>
          </w:p>
          <w:p w14:paraId="670623EA" w14:textId="77777777" w:rsidR="00874743" w:rsidRDefault="00874743" w:rsidP="00874743">
            <w:pPr>
              <w:pStyle w:val="BodyText1"/>
              <w:rPr>
                <w:rFonts w:ascii="Arial" w:hAnsi="Arial" w:cs="Arial"/>
                <w:sz w:val="20"/>
              </w:rPr>
            </w:pPr>
          </w:p>
          <w:p w14:paraId="719CB1CE" w14:textId="2A90249A" w:rsidR="00874743" w:rsidRDefault="00C25771" w:rsidP="00874743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The percentage in</w:t>
            </w:r>
            <w:r w:rsidR="00874743">
              <w:rPr>
                <w:rFonts w:ascii="Arial" w:hAnsi="Arial" w:cs="Arial"/>
                <w:sz w:val="20"/>
              </w:rPr>
              <w:t xml:space="preserve"> the last column should be calculated using the following formula;</w:t>
            </w:r>
          </w:p>
          <w:p w14:paraId="235E17F6" w14:textId="77777777" w:rsidR="00874743" w:rsidRDefault="00874743" w:rsidP="00874743">
            <w:pPr>
              <w:pStyle w:val="ListParagraph"/>
              <w:rPr>
                <w:rFonts w:cs="Arial"/>
                <w:sz w:val="20"/>
              </w:rPr>
            </w:pPr>
          </w:p>
          <w:p w14:paraId="6BC9F009" w14:textId="072B3420" w:rsidR="00874743" w:rsidRPr="005B74FD" w:rsidRDefault="005B74FD" w:rsidP="00874743">
            <w:pPr>
              <w:pStyle w:val="BodyText1"/>
              <w:ind w:left="72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</w:t>
            </w:r>
            <w:r w:rsidR="00874743" w:rsidRPr="005B74FD">
              <w:rPr>
                <w:rFonts w:ascii="Arial" w:hAnsi="Arial" w:cs="Arial"/>
                <w:i/>
                <w:sz w:val="20"/>
              </w:rPr>
              <w:t>Total Tickets Breached / Total Tickets X 100 = Percentage of Tickets Breache</w:t>
            </w:r>
            <w:r w:rsidR="00AB4461" w:rsidRPr="005B74FD">
              <w:rPr>
                <w:rFonts w:ascii="Arial" w:hAnsi="Arial" w:cs="Arial"/>
                <w:i/>
                <w:sz w:val="20"/>
              </w:rPr>
              <w:t>d</w:t>
            </w:r>
          </w:p>
          <w:p w14:paraId="3A91D46A" w14:textId="7A07B6A7" w:rsidR="00AB4461" w:rsidRDefault="00AB4461" w:rsidP="00874743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</w:p>
          <w:p w14:paraId="14F71583" w14:textId="7AFA53D0" w:rsidR="00AB4461" w:rsidRDefault="00AB4461" w:rsidP="00AB4461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06E3970" wp14:editId="564AC0A3">
                  <wp:extent cx="5191125" cy="3745488"/>
                  <wp:effectExtent l="0" t="0" r="0" b="762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2569" cy="3768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7C46C8" w14:textId="77777777" w:rsidR="00233F6A" w:rsidRDefault="00233F6A" w:rsidP="00233F6A">
            <w:pPr>
              <w:pStyle w:val="BodyText1"/>
              <w:rPr>
                <w:rFonts w:ascii="Arial" w:hAnsi="Arial" w:cs="Arial"/>
                <w:sz w:val="20"/>
              </w:rPr>
            </w:pPr>
          </w:p>
          <w:p w14:paraId="48A13D5F" w14:textId="2E2E3A82" w:rsidR="00F87FB4" w:rsidRDefault="00F87FB4" w:rsidP="00233F6A">
            <w:pPr>
              <w:pStyle w:val="BodyText1"/>
              <w:rPr>
                <w:rFonts w:ascii="Arial" w:hAnsi="Arial" w:cs="Arial"/>
                <w:sz w:val="20"/>
              </w:rPr>
            </w:pPr>
          </w:p>
          <w:p w14:paraId="4AB31E50" w14:textId="459E52DA" w:rsidR="00F87FB4" w:rsidRDefault="00F87FB4" w:rsidP="00233F6A">
            <w:pPr>
              <w:pStyle w:val="BodyText1"/>
              <w:rPr>
                <w:rFonts w:ascii="Arial" w:hAnsi="Arial" w:cs="Arial"/>
                <w:sz w:val="20"/>
              </w:rPr>
            </w:pPr>
            <w:r w:rsidRPr="00247C38">
              <w:rPr>
                <w:rFonts w:ascii="Arial" w:hAnsi="Arial" w:cs="Arial"/>
                <w:b/>
                <w:sz w:val="20"/>
              </w:rPr>
              <w:t>Note: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247C38">
              <w:rPr>
                <w:rFonts w:ascii="Arial" w:hAnsi="Arial" w:cs="Arial"/>
                <w:i/>
                <w:sz w:val="20"/>
              </w:rPr>
              <w:t>The numbers in the “Ass</w:t>
            </w:r>
            <w:r w:rsidR="00247C38" w:rsidRPr="00247C38">
              <w:rPr>
                <w:rFonts w:ascii="Arial" w:hAnsi="Arial" w:cs="Arial"/>
                <w:i/>
                <w:sz w:val="20"/>
              </w:rPr>
              <w:t xml:space="preserve">ignment Target Breached” and “Resolution Target Breached” </w:t>
            </w:r>
            <w:r w:rsidR="00C25771">
              <w:rPr>
                <w:rFonts w:ascii="Arial" w:hAnsi="Arial" w:cs="Arial"/>
                <w:i/>
                <w:sz w:val="20"/>
              </w:rPr>
              <w:t xml:space="preserve">columns </w:t>
            </w:r>
            <w:r w:rsidR="00247C38" w:rsidRPr="00247C38">
              <w:rPr>
                <w:rFonts w:ascii="Arial" w:hAnsi="Arial" w:cs="Arial"/>
                <w:i/>
                <w:sz w:val="20"/>
              </w:rPr>
              <w:t>will not always equal the number found in the “Total Tickets Breached” column</w:t>
            </w:r>
            <w:r w:rsidR="00C25771">
              <w:rPr>
                <w:rFonts w:ascii="Arial" w:hAnsi="Arial" w:cs="Arial"/>
                <w:i/>
                <w:sz w:val="20"/>
              </w:rPr>
              <w:t xml:space="preserve"> for each row</w:t>
            </w:r>
            <w:r w:rsidR="00247C38" w:rsidRPr="00247C38">
              <w:rPr>
                <w:rFonts w:ascii="Arial" w:hAnsi="Arial" w:cs="Arial"/>
                <w:i/>
                <w:sz w:val="20"/>
              </w:rPr>
              <w:t>.  An incident ticket is only counted once, even if it contains both types of breaches.</w:t>
            </w:r>
          </w:p>
          <w:p w14:paraId="488F6FDF" w14:textId="448921C9" w:rsidR="00F87FB4" w:rsidRDefault="00F87FB4" w:rsidP="00233F6A">
            <w:pPr>
              <w:pStyle w:val="BodyText1"/>
              <w:rPr>
                <w:rFonts w:ascii="Arial" w:hAnsi="Arial" w:cs="Arial"/>
                <w:sz w:val="20"/>
              </w:rPr>
            </w:pPr>
          </w:p>
          <w:p w14:paraId="6C903FB2" w14:textId="77777777" w:rsidR="00F87FB4" w:rsidRDefault="00F87FB4" w:rsidP="00233F6A">
            <w:pPr>
              <w:pStyle w:val="BodyText1"/>
              <w:rPr>
                <w:rFonts w:ascii="Arial" w:hAnsi="Arial" w:cs="Arial"/>
                <w:sz w:val="20"/>
              </w:rPr>
            </w:pPr>
          </w:p>
          <w:p w14:paraId="3FCA2F8F" w14:textId="250D4B41" w:rsidR="00F87FB4" w:rsidRPr="00314D68" w:rsidRDefault="00F87FB4" w:rsidP="00233F6A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See </w:t>
            </w:r>
            <w:r w:rsidRPr="00DC06E7">
              <w:rPr>
                <w:rFonts w:ascii="Arial" w:hAnsi="Arial" w:cs="Arial"/>
                <w:b/>
                <w:i/>
                <w:sz w:val="20"/>
              </w:rPr>
              <w:t>SLM Editing OLA Breached Reports Procedure</w:t>
            </w:r>
            <w:r>
              <w:rPr>
                <w:rFonts w:ascii="Arial" w:hAnsi="Arial" w:cs="Arial"/>
                <w:sz w:val="20"/>
              </w:rPr>
              <w:t xml:space="preserve"> if any format changes need to be made to the report.</w:t>
            </w:r>
          </w:p>
        </w:tc>
      </w:tr>
    </w:tbl>
    <w:p w14:paraId="47356575" w14:textId="333F4323" w:rsidR="00535AA7" w:rsidRDefault="00535AA7" w:rsidP="00535AA7">
      <w:pPr>
        <w:rPr>
          <w:rFonts w:cs="Arial"/>
        </w:rPr>
      </w:pPr>
    </w:p>
    <w:p w14:paraId="586D9C01" w14:textId="77777777" w:rsidR="00385E21" w:rsidRDefault="00385E21" w:rsidP="00385E21">
      <w:pPr>
        <w:rPr>
          <w:rFonts w:cs="Arial"/>
          <w:b/>
        </w:rPr>
      </w:pPr>
    </w:p>
    <w:p w14:paraId="0F6BA5FA" w14:textId="77777777" w:rsidR="00843C24" w:rsidRDefault="00843C24" w:rsidP="00843C24">
      <w:pPr>
        <w:rPr>
          <w:rFonts w:cs="Arial"/>
          <w:b/>
        </w:rPr>
      </w:pPr>
      <w:r>
        <w:rPr>
          <w:rFonts w:cs="Arial"/>
          <w:b/>
        </w:rPr>
        <w:t>Modification</w:t>
      </w:r>
    </w:p>
    <w:p w14:paraId="2FCB3094" w14:textId="77777777" w:rsidR="00843C24" w:rsidRDefault="00843C24" w:rsidP="00843C24">
      <w:pPr>
        <w:pStyle w:val="BodyText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 following associates can make modifications to this document:</w:t>
      </w:r>
    </w:p>
    <w:p w14:paraId="21135F8E" w14:textId="77777777" w:rsidR="00843C24" w:rsidRDefault="00843C24" w:rsidP="00D77BC1">
      <w:pPr>
        <w:pStyle w:val="ListBullet2"/>
        <w:numPr>
          <w:ilvl w:val="0"/>
          <w:numId w:val="28"/>
        </w:numPr>
        <w:tabs>
          <w:tab w:val="clear" w:pos="0"/>
        </w:tabs>
        <w:ind w:left="720" w:hanging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Manager, Service Level Management</w:t>
      </w:r>
    </w:p>
    <w:p w14:paraId="7F45907E" w14:textId="77777777" w:rsidR="00843C24" w:rsidRDefault="00843C24" w:rsidP="00D77BC1">
      <w:pPr>
        <w:pStyle w:val="ListBullet2"/>
        <w:numPr>
          <w:ilvl w:val="0"/>
          <w:numId w:val="28"/>
        </w:numPr>
        <w:tabs>
          <w:tab w:val="clear" w:pos="0"/>
        </w:tabs>
        <w:ind w:left="720" w:hanging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Director, IT Service Management</w:t>
      </w:r>
    </w:p>
    <w:p w14:paraId="2AC51DAC" w14:textId="77777777" w:rsidR="00843C24" w:rsidRDefault="00843C24" w:rsidP="00D77BC1">
      <w:pPr>
        <w:pStyle w:val="ListBullet2"/>
        <w:numPr>
          <w:ilvl w:val="0"/>
          <w:numId w:val="28"/>
        </w:numPr>
        <w:tabs>
          <w:tab w:val="clear" w:pos="0"/>
        </w:tabs>
        <w:ind w:left="720" w:hanging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Vice President, Service Delivery</w:t>
      </w:r>
    </w:p>
    <w:p w14:paraId="6710188A" w14:textId="77777777" w:rsidR="00843C24" w:rsidRDefault="00843C24" w:rsidP="00D77BC1">
      <w:pPr>
        <w:pStyle w:val="ListBullet2"/>
        <w:numPr>
          <w:ilvl w:val="0"/>
          <w:numId w:val="28"/>
        </w:numPr>
        <w:tabs>
          <w:tab w:val="clear" w:pos="0"/>
        </w:tabs>
        <w:ind w:left="720" w:hanging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Chief Technology Officer, PGDS</w:t>
      </w:r>
    </w:p>
    <w:p w14:paraId="6F8A43CA" w14:textId="77777777" w:rsidR="00843C24" w:rsidRDefault="00843C24" w:rsidP="00843C24">
      <w:pPr>
        <w:pStyle w:val="BodyText1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1"/>
        <w:gridCol w:w="3045"/>
      </w:tblGrid>
      <w:tr w:rsidR="00843C24" w14:paraId="0A69B4E1" w14:textId="77777777" w:rsidTr="00843C24">
        <w:trPr>
          <w:cantSplit/>
          <w:trHeight w:val="30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26579E89" w14:textId="77777777" w:rsidR="00843C24" w:rsidRDefault="00843C24">
            <w:pPr>
              <w:pStyle w:val="Heading9"/>
              <w:rPr>
                <w:rFonts w:cs="Arial"/>
              </w:rPr>
            </w:pPr>
            <w:r>
              <w:rPr>
                <w:rFonts w:cs="Arial"/>
              </w:rPr>
              <w:t>Service Level Management Process</w:t>
            </w:r>
          </w:p>
        </w:tc>
      </w:tr>
      <w:tr w:rsidR="00843C24" w14:paraId="4B3DAEF4" w14:textId="77777777" w:rsidTr="00843C24">
        <w:trPr>
          <w:cantSplit/>
          <w:trHeight w:val="170"/>
        </w:trPr>
        <w:tc>
          <w:tcPr>
            <w:tcW w:w="3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CDDAE" w14:textId="77777777" w:rsidR="00843C24" w:rsidRDefault="00843C24">
            <w:pPr>
              <w:pStyle w:val="SSPPPropertie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Responsible Party: Anna Carter, Manager, Service Level Management</w:t>
            </w:r>
            <w:r>
              <w:rPr>
                <w:rFonts w:ascii="Arial" w:hAnsi="Arial" w:cs="Arial"/>
                <w:sz w:val="18"/>
                <w:szCs w:val="18"/>
              </w:rPr>
              <w:br/>
              <w:t>Approving Authority: Abdul Golden, Director, IT Service Management</w:t>
            </w:r>
          </w:p>
        </w:tc>
        <w:tc>
          <w:tcPr>
            <w:tcW w:w="1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109B1" w14:textId="315E0C4C" w:rsidR="00843C24" w:rsidRDefault="00843C24">
            <w:pPr>
              <w:pStyle w:val="SSPPPropertie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Date Created: </w:t>
            </w:r>
            <w:r w:rsidR="0017106F">
              <w:rPr>
                <w:rFonts w:ascii="Arial" w:hAnsi="Arial" w:cs="Arial"/>
                <w:sz w:val="18"/>
                <w:szCs w:val="18"/>
              </w:rPr>
              <w:t>03/16/2017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Last Modified: 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Last Reviewed: </w:t>
            </w:r>
          </w:p>
        </w:tc>
      </w:tr>
    </w:tbl>
    <w:p w14:paraId="1CFF5ACD" w14:textId="77777777" w:rsidR="00385E21" w:rsidRPr="006108A0" w:rsidRDefault="00385E21" w:rsidP="00535AA7">
      <w:pPr>
        <w:rPr>
          <w:rFonts w:cs="Arial"/>
        </w:rPr>
      </w:pPr>
    </w:p>
    <w:p w14:paraId="66821D02" w14:textId="56CB83F2" w:rsidR="00E66CE6" w:rsidRPr="005035FB" w:rsidRDefault="00E66CE6" w:rsidP="00E66CE6">
      <w:pPr>
        <w:pStyle w:val="BodyText1"/>
        <w:rPr>
          <w:rFonts w:ascii="Arial" w:hAnsi="Arial" w:cs="Arial"/>
          <w:i/>
          <w:iCs/>
          <w:sz w:val="20"/>
          <w:szCs w:val="16"/>
        </w:rPr>
      </w:pPr>
    </w:p>
    <w:p w14:paraId="5C18F612" w14:textId="77777777" w:rsidR="00AC0954" w:rsidRPr="007A4E80" w:rsidRDefault="00AC0954" w:rsidP="006B6098">
      <w:pPr>
        <w:pStyle w:val="BodyText1"/>
        <w:ind w:left="720"/>
        <w:rPr>
          <w:rFonts w:ascii="Arial" w:hAnsi="Arial" w:cs="Arial"/>
          <w:sz w:val="20"/>
        </w:rPr>
      </w:pPr>
    </w:p>
    <w:sectPr w:rsidR="00AC0954" w:rsidRPr="007A4E80" w:rsidSect="003E68D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 w:code="1"/>
      <w:pgMar w:top="1440" w:right="1152" w:bottom="1267" w:left="1152" w:header="72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FD6D9B" w14:textId="77777777" w:rsidR="008F1737" w:rsidRDefault="008F1737">
      <w:r>
        <w:separator/>
      </w:r>
    </w:p>
  </w:endnote>
  <w:endnote w:type="continuationSeparator" w:id="0">
    <w:p w14:paraId="5C54B699" w14:textId="77777777" w:rsidR="008F1737" w:rsidRDefault="008F1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457960" w14:textId="77777777" w:rsidR="006F36F3" w:rsidRDefault="006F36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F33F17" w14:textId="73D3B0CC" w:rsidR="006F36F3" w:rsidRDefault="006F36F3">
    <w:pPr>
      <w:pStyle w:val="Footer"/>
    </w:pPr>
    <w:r>
      <w:t xml:space="preserve">Service Level Management    Service Level Management Procedure                                                                    </w:t>
    </w:r>
    <w:sdt>
      <w:sdtPr>
        <w:id w:val="138147866"/>
        <w:docPartObj>
          <w:docPartGallery w:val="Page Numbers (Bottom of Page)"/>
          <w:docPartUnique/>
        </w:docPartObj>
      </w:sdtPr>
      <w:sdtEndPr/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669A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669A2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1C524C0E" w14:textId="77777777" w:rsidR="00E66CE6" w:rsidRDefault="00E66C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4FF84" w14:textId="77777777" w:rsidR="006F36F3" w:rsidRDefault="006F36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55B635" w14:textId="77777777" w:rsidR="008F1737" w:rsidRDefault="008F1737">
      <w:r>
        <w:separator/>
      </w:r>
    </w:p>
  </w:footnote>
  <w:footnote w:type="continuationSeparator" w:id="0">
    <w:p w14:paraId="5435A3AD" w14:textId="77777777" w:rsidR="008F1737" w:rsidRDefault="008F17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F4E704" w14:textId="77777777" w:rsidR="006F36F3" w:rsidRDefault="006F36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152B6A" w14:textId="77777777" w:rsidR="00E66CE6" w:rsidRDefault="0038754C">
    <w:pPr>
      <w:pStyle w:val="Header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6EE44E" wp14:editId="48395C4D">
          <wp:simplePos x="0" y="0"/>
          <wp:positionH relativeFrom="column">
            <wp:posOffset>-730250</wp:posOffset>
          </wp:positionH>
          <wp:positionV relativeFrom="paragraph">
            <wp:posOffset>-436880</wp:posOffset>
          </wp:positionV>
          <wp:extent cx="7701280" cy="725170"/>
          <wp:effectExtent l="0" t="0" r="0" b="0"/>
          <wp:wrapNone/>
          <wp:docPr id="7" name="Picture 7" descr="Jackson-Doc-Banner-Portrait-Jagged-eff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Jackson-Doc-Banner-Portrait-Jagged-effe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280" cy="725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B46641" w14:textId="77777777" w:rsidR="006F36F3" w:rsidRDefault="006F36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E122865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00712C6F"/>
    <w:multiLevelType w:val="hybridMultilevel"/>
    <w:tmpl w:val="C41E52E2"/>
    <w:lvl w:ilvl="0" w:tplc="17D82812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2" w15:restartNumberingAfterBreak="0">
    <w:nsid w:val="02D96FEE"/>
    <w:multiLevelType w:val="singleLevel"/>
    <w:tmpl w:val="FEEAFCAC"/>
    <w:lvl w:ilvl="0">
      <w:start w:val="1"/>
      <w:numFmt w:val="none"/>
      <w:pStyle w:val="Important3"/>
      <w:lvlText w:val="%1Important:"/>
      <w:lvlJc w:val="left"/>
      <w:pPr>
        <w:tabs>
          <w:tab w:val="num" w:pos="2520"/>
        </w:tabs>
        <w:ind w:left="2520" w:hanging="1440"/>
      </w:pPr>
      <w:rPr>
        <w:rFonts w:ascii="Arial" w:hAnsi="Arial" w:hint="default"/>
        <w:b/>
        <w:i w:val="0"/>
        <w:sz w:val="24"/>
      </w:rPr>
    </w:lvl>
  </w:abstractNum>
  <w:abstractNum w:abstractNumId="3" w15:restartNumberingAfterBreak="0">
    <w:nsid w:val="042109CA"/>
    <w:multiLevelType w:val="singleLevel"/>
    <w:tmpl w:val="9790E798"/>
    <w:lvl w:ilvl="0">
      <w:start w:val="1"/>
      <w:numFmt w:val="none"/>
      <w:pStyle w:val="Note1"/>
      <w:lvlText w:val="Note: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4" w15:restartNumberingAfterBreak="0">
    <w:nsid w:val="05FC349A"/>
    <w:multiLevelType w:val="singleLevel"/>
    <w:tmpl w:val="BB8C90CC"/>
    <w:lvl w:ilvl="0">
      <w:start w:val="1"/>
      <w:numFmt w:val="none"/>
      <w:pStyle w:val="Or3"/>
      <w:lvlText w:val="or"/>
      <w:lvlJc w:val="left"/>
      <w:pPr>
        <w:tabs>
          <w:tab w:val="num" w:pos="1627"/>
        </w:tabs>
        <w:ind w:left="1627" w:hanging="360"/>
      </w:pPr>
      <w:rPr>
        <w:rFonts w:ascii="Arial" w:hAnsi="Arial" w:hint="default"/>
        <w:b/>
        <w:i/>
        <w:sz w:val="24"/>
      </w:rPr>
    </w:lvl>
  </w:abstractNum>
  <w:abstractNum w:abstractNumId="5" w15:restartNumberingAfterBreak="0">
    <w:nsid w:val="08083E2D"/>
    <w:multiLevelType w:val="hybridMultilevel"/>
    <w:tmpl w:val="09600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A83C03"/>
    <w:multiLevelType w:val="hybridMultilevel"/>
    <w:tmpl w:val="D1C028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985ABE"/>
    <w:multiLevelType w:val="singleLevel"/>
    <w:tmpl w:val="2E8E587A"/>
    <w:lvl w:ilvl="0">
      <w:start w:val="1"/>
      <w:numFmt w:val="none"/>
      <w:pStyle w:val="Or2"/>
      <w:lvlText w:val="or"/>
      <w:lvlJc w:val="left"/>
      <w:pPr>
        <w:tabs>
          <w:tab w:val="num" w:pos="1260"/>
        </w:tabs>
        <w:ind w:left="1260" w:hanging="360"/>
      </w:pPr>
      <w:rPr>
        <w:rFonts w:ascii="Arial" w:hAnsi="Arial" w:hint="default"/>
        <w:b/>
        <w:i/>
        <w:sz w:val="24"/>
      </w:rPr>
    </w:lvl>
  </w:abstractNum>
  <w:abstractNum w:abstractNumId="8" w15:restartNumberingAfterBreak="0">
    <w:nsid w:val="1ED228DB"/>
    <w:multiLevelType w:val="multilevel"/>
    <w:tmpl w:val="62EAFF4C"/>
    <w:lvl w:ilvl="0">
      <w:start w:val="1"/>
      <w:numFmt w:val="decimal"/>
      <w:pStyle w:val="TOC1"/>
      <w:suff w:val="space"/>
      <w:lvlText w:val="%1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02C714E"/>
    <w:multiLevelType w:val="singleLevel"/>
    <w:tmpl w:val="E47280C2"/>
    <w:lvl w:ilvl="0">
      <w:start w:val="1"/>
      <w:numFmt w:val="none"/>
      <w:pStyle w:val="Important1"/>
      <w:lvlText w:val="Important:"/>
      <w:lvlJc w:val="left"/>
      <w:pPr>
        <w:tabs>
          <w:tab w:val="num" w:pos="1368"/>
        </w:tabs>
        <w:ind w:left="1368" w:hanging="1368"/>
      </w:pPr>
      <w:rPr>
        <w:rFonts w:ascii="Arial" w:hAnsi="Arial" w:hint="default"/>
        <w:b/>
        <w:i w:val="0"/>
        <w:sz w:val="24"/>
      </w:rPr>
    </w:lvl>
  </w:abstractNum>
  <w:abstractNum w:abstractNumId="10" w15:restartNumberingAfterBreak="0">
    <w:nsid w:val="2AB23060"/>
    <w:multiLevelType w:val="singleLevel"/>
    <w:tmpl w:val="1B389794"/>
    <w:lvl w:ilvl="0">
      <w:start w:val="1"/>
      <w:numFmt w:val="none"/>
      <w:pStyle w:val="Important4"/>
      <w:lvlText w:val="%1Important:"/>
      <w:lvlJc w:val="left"/>
      <w:pPr>
        <w:tabs>
          <w:tab w:val="num" w:pos="2880"/>
        </w:tabs>
        <w:ind w:left="1440" w:firstLine="0"/>
      </w:pPr>
      <w:rPr>
        <w:rFonts w:ascii="Arial" w:hAnsi="Arial" w:hint="default"/>
        <w:b/>
        <w:i w:val="0"/>
        <w:sz w:val="24"/>
      </w:rPr>
    </w:lvl>
  </w:abstractNum>
  <w:abstractNum w:abstractNumId="11" w15:restartNumberingAfterBreak="0">
    <w:nsid w:val="35D16289"/>
    <w:multiLevelType w:val="singleLevel"/>
    <w:tmpl w:val="D8FA7D1C"/>
    <w:lvl w:ilvl="0">
      <w:numFmt w:val="none"/>
      <w:pStyle w:val="Or1"/>
      <w:lvlText w:val="%1or"/>
      <w:lvlJc w:val="left"/>
      <w:pPr>
        <w:tabs>
          <w:tab w:val="num" w:pos="1260"/>
        </w:tabs>
        <w:ind w:left="900" w:hanging="360"/>
      </w:pPr>
      <w:rPr>
        <w:rFonts w:ascii="Arial" w:hAnsi="Arial" w:hint="default"/>
        <w:b/>
        <w:i/>
        <w:sz w:val="24"/>
      </w:rPr>
    </w:lvl>
  </w:abstractNum>
  <w:abstractNum w:abstractNumId="12" w15:restartNumberingAfterBreak="0">
    <w:nsid w:val="36C0325D"/>
    <w:multiLevelType w:val="hybridMultilevel"/>
    <w:tmpl w:val="670CCB52"/>
    <w:lvl w:ilvl="0" w:tplc="17C06D7E">
      <w:start w:val="1"/>
      <w:numFmt w:val="decimal"/>
      <w:lvlRestart w:val="0"/>
      <w:pStyle w:val="ListNumber4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color w:val="auto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7267400"/>
    <w:multiLevelType w:val="hybridMultilevel"/>
    <w:tmpl w:val="3836C634"/>
    <w:lvl w:ilvl="0" w:tplc="B8A088F8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14" w15:restartNumberingAfterBreak="0">
    <w:nsid w:val="37323FE1"/>
    <w:multiLevelType w:val="singleLevel"/>
    <w:tmpl w:val="20C0E0DE"/>
    <w:lvl w:ilvl="0">
      <w:start w:val="1"/>
      <w:numFmt w:val="none"/>
      <w:pStyle w:val="Note4"/>
      <w:lvlText w:val="Note:"/>
      <w:lvlJc w:val="left"/>
      <w:pPr>
        <w:tabs>
          <w:tab w:val="num" w:pos="1800"/>
        </w:tabs>
        <w:ind w:left="108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15" w15:restartNumberingAfterBreak="0">
    <w:nsid w:val="3CF2632A"/>
    <w:multiLevelType w:val="hybridMultilevel"/>
    <w:tmpl w:val="35DA63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765BCE"/>
    <w:multiLevelType w:val="hybridMultilevel"/>
    <w:tmpl w:val="FFCAB0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F24ECB"/>
    <w:multiLevelType w:val="singleLevel"/>
    <w:tmpl w:val="D7BAB908"/>
    <w:lvl w:ilvl="0">
      <w:start w:val="1"/>
      <w:numFmt w:val="none"/>
      <w:pStyle w:val="Note3"/>
      <w:lvlText w:val="Note:"/>
      <w:lvlJc w:val="left"/>
      <w:pPr>
        <w:tabs>
          <w:tab w:val="num" w:pos="1440"/>
        </w:tabs>
        <w:ind w:left="72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18" w15:restartNumberingAfterBreak="0">
    <w:nsid w:val="44890CFD"/>
    <w:multiLevelType w:val="hybridMultilevel"/>
    <w:tmpl w:val="4CD26574"/>
    <w:lvl w:ilvl="0" w:tplc="8646AF8E">
      <w:start w:val="1"/>
      <w:numFmt w:val="bullet"/>
      <w:pStyle w:val="Lis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CC2B31"/>
    <w:multiLevelType w:val="hybridMultilevel"/>
    <w:tmpl w:val="ED743C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583C71"/>
    <w:multiLevelType w:val="singleLevel"/>
    <w:tmpl w:val="F342EC46"/>
    <w:lvl w:ilvl="0">
      <w:start w:val="1"/>
      <w:numFmt w:val="none"/>
      <w:pStyle w:val="Important2"/>
      <w:lvlText w:val="%1Important:"/>
      <w:lvlJc w:val="left"/>
      <w:pPr>
        <w:tabs>
          <w:tab w:val="num" w:pos="1800"/>
        </w:tabs>
        <w:ind w:left="1800" w:hanging="1433"/>
      </w:pPr>
      <w:rPr>
        <w:rFonts w:ascii="Arial" w:hAnsi="Arial" w:hint="default"/>
        <w:b/>
        <w:i w:val="0"/>
        <w:sz w:val="24"/>
      </w:rPr>
    </w:lvl>
  </w:abstractNum>
  <w:abstractNum w:abstractNumId="21" w15:restartNumberingAfterBreak="0">
    <w:nsid w:val="50F7573B"/>
    <w:multiLevelType w:val="singleLevel"/>
    <w:tmpl w:val="489C19C2"/>
    <w:lvl w:ilvl="0">
      <w:start w:val="1"/>
      <w:numFmt w:val="none"/>
      <w:pStyle w:val="or20"/>
      <w:lvlText w:val="Note:"/>
      <w:lvlJc w:val="left"/>
      <w:pPr>
        <w:tabs>
          <w:tab w:val="num" w:pos="2160"/>
        </w:tabs>
        <w:ind w:left="1440" w:firstLine="0"/>
      </w:pPr>
      <w:rPr>
        <w:rFonts w:ascii="Times New Roman" w:hAnsi="Times New Roman" w:hint="default"/>
        <w:b/>
        <w:i w:val="0"/>
        <w:spacing w:val="0"/>
        <w:w w:val="100"/>
        <w:kern w:val="0"/>
        <w:position w:val="0"/>
        <w:sz w:val="24"/>
        <w:u w:val="none"/>
      </w:rPr>
    </w:lvl>
  </w:abstractNum>
  <w:abstractNum w:abstractNumId="22" w15:restartNumberingAfterBreak="0">
    <w:nsid w:val="53411B5B"/>
    <w:multiLevelType w:val="singleLevel"/>
    <w:tmpl w:val="2E0CC7CE"/>
    <w:lvl w:ilvl="0">
      <w:start w:val="1"/>
      <w:numFmt w:val="bullet"/>
      <w:pStyle w:val="ListBullet3"/>
      <w:lvlText w:val=""/>
      <w:lvlJc w:val="left"/>
      <w:pPr>
        <w:tabs>
          <w:tab w:val="num" w:pos="0"/>
        </w:tabs>
        <w:ind w:left="936" w:hanging="216"/>
      </w:pPr>
      <w:rPr>
        <w:rFonts w:ascii="Symbol" w:hAnsi="Symbol" w:hint="default"/>
      </w:rPr>
    </w:lvl>
  </w:abstractNum>
  <w:abstractNum w:abstractNumId="23" w15:restartNumberingAfterBreak="0">
    <w:nsid w:val="558813D9"/>
    <w:multiLevelType w:val="hybridMultilevel"/>
    <w:tmpl w:val="74F8E6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EC6977"/>
    <w:multiLevelType w:val="singleLevel"/>
    <w:tmpl w:val="AD0419F2"/>
    <w:lvl w:ilvl="0">
      <w:start w:val="1"/>
      <w:numFmt w:val="bullet"/>
      <w:pStyle w:val="ListBullet2"/>
      <w:lvlText w:val=""/>
      <w:lvlJc w:val="left"/>
      <w:pPr>
        <w:tabs>
          <w:tab w:val="num" w:pos="0"/>
        </w:tabs>
        <w:ind w:left="662" w:hanging="216"/>
      </w:pPr>
      <w:rPr>
        <w:rFonts w:ascii="Symbol" w:hAnsi="Symbol" w:hint="default"/>
      </w:rPr>
    </w:lvl>
  </w:abstractNum>
  <w:abstractNum w:abstractNumId="25" w15:restartNumberingAfterBreak="0">
    <w:nsid w:val="64751C75"/>
    <w:multiLevelType w:val="hybridMultilevel"/>
    <w:tmpl w:val="4A3075B4"/>
    <w:lvl w:ilvl="0" w:tplc="C61834AE">
      <w:start w:val="1"/>
      <w:numFmt w:val="lowerLetter"/>
      <w:lvlRestart w:val="0"/>
      <w:pStyle w:val="ABCList4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sz w:val="24"/>
      </w:rPr>
    </w:lvl>
    <w:lvl w:ilvl="1" w:tplc="AB30CE4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C4F91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578E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C4D2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95E58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33C91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92E06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05E578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8F847FF"/>
    <w:multiLevelType w:val="hybridMultilevel"/>
    <w:tmpl w:val="6D2489AC"/>
    <w:lvl w:ilvl="0" w:tplc="13B0A2AA">
      <w:start w:val="1"/>
      <w:numFmt w:val="lowerLetter"/>
      <w:lvlRestart w:val="0"/>
      <w:pStyle w:val="ABCList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1DAA49D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765B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E74AC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D065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D64869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D867B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0687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3C5A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9E5321D"/>
    <w:multiLevelType w:val="hybridMultilevel"/>
    <w:tmpl w:val="9C4ED78C"/>
    <w:lvl w:ilvl="0" w:tplc="D46E3B2A">
      <w:start w:val="1"/>
      <w:numFmt w:val="decimal"/>
      <w:lvlRestart w:val="0"/>
      <w:pStyle w:val="ListNumber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CF71A1B"/>
    <w:multiLevelType w:val="singleLevel"/>
    <w:tmpl w:val="3A3EB81C"/>
    <w:lvl w:ilvl="0">
      <w:start w:val="1"/>
      <w:numFmt w:val="none"/>
      <w:pStyle w:val="Note2"/>
      <w:lvlText w:val="Note:"/>
      <w:lvlJc w:val="left"/>
      <w:pPr>
        <w:tabs>
          <w:tab w:val="num" w:pos="1080"/>
        </w:tabs>
        <w:ind w:left="36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29" w15:restartNumberingAfterBreak="0">
    <w:nsid w:val="72074A92"/>
    <w:multiLevelType w:val="singleLevel"/>
    <w:tmpl w:val="4F4A3590"/>
    <w:lvl w:ilvl="0">
      <w:start w:val="1"/>
      <w:numFmt w:val="none"/>
      <w:pStyle w:val="Or4"/>
      <w:lvlText w:val="or"/>
      <w:lvlJc w:val="left"/>
      <w:pPr>
        <w:tabs>
          <w:tab w:val="num" w:pos="1987"/>
        </w:tabs>
        <w:ind w:left="1987" w:hanging="360"/>
      </w:pPr>
      <w:rPr>
        <w:rFonts w:ascii="Arial" w:hAnsi="Arial" w:hint="default"/>
        <w:b/>
        <w:i/>
        <w:sz w:val="24"/>
      </w:rPr>
    </w:lvl>
  </w:abstractNum>
  <w:abstractNum w:abstractNumId="30" w15:restartNumberingAfterBreak="0">
    <w:nsid w:val="794051E5"/>
    <w:multiLevelType w:val="hybridMultilevel"/>
    <w:tmpl w:val="C92AD392"/>
    <w:lvl w:ilvl="0" w:tplc="5C24578A">
      <w:start w:val="1"/>
      <w:numFmt w:val="lowerLetter"/>
      <w:lvlRestart w:val="0"/>
      <w:pStyle w:val="ABCList3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67D24C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72CEE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DDE5A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1A663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F9680B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CEFC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8F01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C2EF8C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E320C4B"/>
    <w:multiLevelType w:val="hybridMultilevel"/>
    <w:tmpl w:val="00E47D78"/>
    <w:lvl w:ilvl="0" w:tplc="4B4AD9A8">
      <w:start w:val="1"/>
      <w:numFmt w:val="lowerLetter"/>
      <w:lvlRestart w:val="0"/>
      <w:pStyle w:val="ABCList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561E4F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22055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E0A8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7E2B2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2D0E1A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3C0A8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04AD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22A84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1"/>
  </w:num>
  <w:num w:numId="2">
    <w:abstractNumId w:val="26"/>
  </w:num>
  <w:num w:numId="3">
    <w:abstractNumId w:val="31"/>
  </w:num>
  <w:num w:numId="4">
    <w:abstractNumId w:val="30"/>
  </w:num>
  <w:num w:numId="5">
    <w:abstractNumId w:val="25"/>
  </w:num>
  <w:num w:numId="6">
    <w:abstractNumId w:val="9"/>
  </w:num>
  <w:num w:numId="7">
    <w:abstractNumId w:val="20"/>
  </w:num>
  <w:num w:numId="8">
    <w:abstractNumId w:val="2"/>
  </w:num>
  <w:num w:numId="9">
    <w:abstractNumId w:val="10"/>
  </w:num>
  <w:num w:numId="10">
    <w:abstractNumId w:val="18"/>
  </w:num>
  <w:num w:numId="11">
    <w:abstractNumId w:val="22"/>
  </w:num>
  <w:num w:numId="12">
    <w:abstractNumId w:val="0"/>
  </w:num>
  <w:num w:numId="13">
    <w:abstractNumId w:val="27"/>
  </w:num>
  <w:num w:numId="14">
    <w:abstractNumId w:val="1"/>
  </w:num>
  <w:num w:numId="15">
    <w:abstractNumId w:val="13"/>
  </w:num>
  <w:num w:numId="16">
    <w:abstractNumId w:val="12"/>
  </w:num>
  <w:num w:numId="17">
    <w:abstractNumId w:val="11"/>
  </w:num>
  <w:num w:numId="18">
    <w:abstractNumId w:val="7"/>
  </w:num>
  <w:num w:numId="19">
    <w:abstractNumId w:val="4"/>
  </w:num>
  <w:num w:numId="20">
    <w:abstractNumId w:val="29"/>
  </w:num>
  <w:num w:numId="21">
    <w:abstractNumId w:val="8"/>
  </w:num>
  <w:num w:numId="22">
    <w:abstractNumId w:val="24"/>
  </w:num>
  <w:num w:numId="23">
    <w:abstractNumId w:val="3"/>
  </w:num>
  <w:num w:numId="24">
    <w:abstractNumId w:val="28"/>
  </w:num>
  <w:num w:numId="25">
    <w:abstractNumId w:val="17"/>
  </w:num>
  <w:num w:numId="26">
    <w:abstractNumId w:val="14"/>
  </w:num>
  <w:num w:numId="27">
    <w:abstractNumId w:val="5"/>
  </w:num>
  <w:num w:numId="28">
    <w:abstractNumId w:val="24"/>
  </w:num>
  <w:num w:numId="29">
    <w:abstractNumId w:val="23"/>
  </w:num>
  <w:num w:numId="30">
    <w:abstractNumId w:val="6"/>
  </w:num>
  <w:num w:numId="31">
    <w:abstractNumId w:val="19"/>
  </w:num>
  <w:num w:numId="32">
    <w:abstractNumId w:val="16"/>
  </w:num>
  <w:num w:numId="33">
    <w:abstractNumId w:val="15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DE1"/>
    <w:rsid w:val="00005665"/>
    <w:rsid w:val="00016922"/>
    <w:rsid w:val="0006055C"/>
    <w:rsid w:val="00061B56"/>
    <w:rsid w:val="0007508D"/>
    <w:rsid w:val="000A0C5F"/>
    <w:rsid w:val="00106A5A"/>
    <w:rsid w:val="00107EDA"/>
    <w:rsid w:val="001117F9"/>
    <w:rsid w:val="00115FED"/>
    <w:rsid w:val="00130DE0"/>
    <w:rsid w:val="00157A90"/>
    <w:rsid w:val="0017106F"/>
    <w:rsid w:val="00211F74"/>
    <w:rsid w:val="00233F6A"/>
    <w:rsid w:val="00243D43"/>
    <w:rsid w:val="00243F84"/>
    <w:rsid w:val="00247C38"/>
    <w:rsid w:val="00283690"/>
    <w:rsid w:val="002966FD"/>
    <w:rsid w:val="002B2743"/>
    <w:rsid w:val="002E4B80"/>
    <w:rsid w:val="0031456C"/>
    <w:rsid w:val="00314D68"/>
    <w:rsid w:val="00385E21"/>
    <w:rsid w:val="0038754C"/>
    <w:rsid w:val="00396B5B"/>
    <w:rsid w:val="003B3686"/>
    <w:rsid w:val="003B4B97"/>
    <w:rsid w:val="003B57FA"/>
    <w:rsid w:val="003E140A"/>
    <w:rsid w:val="003E68D2"/>
    <w:rsid w:val="0042081E"/>
    <w:rsid w:val="00461E98"/>
    <w:rsid w:val="0047123C"/>
    <w:rsid w:val="004A140E"/>
    <w:rsid w:val="004B304A"/>
    <w:rsid w:val="004D4088"/>
    <w:rsid w:val="004D4360"/>
    <w:rsid w:val="004E24E3"/>
    <w:rsid w:val="004E4078"/>
    <w:rsid w:val="004F2DE1"/>
    <w:rsid w:val="005332E6"/>
    <w:rsid w:val="00535AA7"/>
    <w:rsid w:val="005B74FD"/>
    <w:rsid w:val="005C6621"/>
    <w:rsid w:val="006108A0"/>
    <w:rsid w:val="00631334"/>
    <w:rsid w:val="00662AD3"/>
    <w:rsid w:val="00675066"/>
    <w:rsid w:val="00680B40"/>
    <w:rsid w:val="006B180D"/>
    <w:rsid w:val="006B449F"/>
    <w:rsid w:val="006B5C10"/>
    <w:rsid w:val="006B6098"/>
    <w:rsid w:val="006C1CB0"/>
    <w:rsid w:val="006E34A9"/>
    <w:rsid w:val="006F36F3"/>
    <w:rsid w:val="00705F94"/>
    <w:rsid w:val="0071521F"/>
    <w:rsid w:val="007254B7"/>
    <w:rsid w:val="007653F6"/>
    <w:rsid w:val="007675E4"/>
    <w:rsid w:val="007A3C31"/>
    <w:rsid w:val="007A4E80"/>
    <w:rsid w:val="007D015B"/>
    <w:rsid w:val="007D06FE"/>
    <w:rsid w:val="007E5ACC"/>
    <w:rsid w:val="0080549C"/>
    <w:rsid w:val="00812063"/>
    <w:rsid w:val="00843C24"/>
    <w:rsid w:val="00874743"/>
    <w:rsid w:val="008C2ABE"/>
    <w:rsid w:val="008D3A31"/>
    <w:rsid w:val="008E78B3"/>
    <w:rsid w:val="008F1737"/>
    <w:rsid w:val="008F4526"/>
    <w:rsid w:val="009060E1"/>
    <w:rsid w:val="009249F3"/>
    <w:rsid w:val="009259C2"/>
    <w:rsid w:val="00966150"/>
    <w:rsid w:val="009669A2"/>
    <w:rsid w:val="00A07439"/>
    <w:rsid w:val="00A14DB3"/>
    <w:rsid w:val="00A2001B"/>
    <w:rsid w:val="00A46084"/>
    <w:rsid w:val="00A64533"/>
    <w:rsid w:val="00A7322E"/>
    <w:rsid w:val="00A81FF8"/>
    <w:rsid w:val="00A967C8"/>
    <w:rsid w:val="00AB4461"/>
    <w:rsid w:val="00AC0954"/>
    <w:rsid w:val="00AC46F6"/>
    <w:rsid w:val="00AF2F1F"/>
    <w:rsid w:val="00B16274"/>
    <w:rsid w:val="00BB6713"/>
    <w:rsid w:val="00BB775C"/>
    <w:rsid w:val="00BF67ED"/>
    <w:rsid w:val="00C037D5"/>
    <w:rsid w:val="00C25771"/>
    <w:rsid w:val="00C33C45"/>
    <w:rsid w:val="00C8221C"/>
    <w:rsid w:val="00C82A3C"/>
    <w:rsid w:val="00C82C5C"/>
    <w:rsid w:val="00C84303"/>
    <w:rsid w:val="00CA26B0"/>
    <w:rsid w:val="00CA3CFE"/>
    <w:rsid w:val="00CD295E"/>
    <w:rsid w:val="00CE2CF6"/>
    <w:rsid w:val="00D02451"/>
    <w:rsid w:val="00D21BB2"/>
    <w:rsid w:val="00D25EE2"/>
    <w:rsid w:val="00D61A99"/>
    <w:rsid w:val="00D77BC1"/>
    <w:rsid w:val="00D82AD1"/>
    <w:rsid w:val="00D96F67"/>
    <w:rsid w:val="00DC4B42"/>
    <w:rsid w:val="00E172F0"/>
    <w:rsid w:val="00E66CE6"/>
    <w:rsid w:val="00E842EF"/>
    <w:rsid w:val="00E94B60"/>
    <w:rsid w:val="00ED441B"/>
    <w:rsid w:val="00ED5AC8"/>
    <w:rsid w:val="00F17820"/>
    <w:rsid w:val="00F345F1"/>
    <w:rsid w:val="00F74E74"/>
    <w:rsid w:val="00F84556"/>
    <w:rsid w:val="00F8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/>
    <o:shapelayout v:ext="edit">
      <o:idmap v:ext="edit" data="1"/>
    </o:shapelayout>
  </w:shapeDefaults>
  <w:decimalSymbol w:val="."/>
  <w:listSeparator w:val=","/>
  <w14:docId w14:val="45195FF0"/>
  <w15:chartTrackingRefBased/>
  <w15:docId w15:val="{DF20FAE0-0BA7-4F45-BF2A-404B08CD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next w:val="BodyText1"/>
    <w:qFormat/>
    <w:pPr>
      <w:keepNext/>
      <w:spacing w:before="240"/>
      <w:outlineLvl w:val="0"/>
    </w:pPr>
    <w:rPr>
      <w:rFonts w:ascii="Arial" w:hAnsi="Arial"/>
      <w:b/>
      <w:sz w:val="28"/>
    </w:rPr>
  </w:style>
  <w:style w:type="paragraph" w:styleId="Heading2">
    <w:name w:val="heading 2"/>
    <w:next w:val="BodyText1"/>
    <w:qFormat/>
    <w:pPr>
      <w:keepNext/>
      <w:spacing w:before="240"/>
      <w:outlineLvl w:val="1"/>
    </w:pPr>
    <w:rPr>
      <w:rFonts w:ascii="Arial" w:hAnsi="Arial"/>
      <w:b/>
      <w:sz w:val="24"/>
    </w:rPr>
  </w:style>
  <w:style w:type="paragraph" w:styleId="Heading3">
    <w:name w:val="heading 3"/>
    <w:next w:val="BodyText1"/>
    <w:qFormat/>
    <w:pPr>
      <w:keepNext/>
      <w:spacing w:before="200"/>
      <w:outlineLvl w:val="2"/>
    </w:pPr>
    <w:rPr>
      <w:rFonts w:ascii="Arial" w:hAnsi="Arial"/>
      <w:b/>
      <w:i/>
      <w:sz w:val="24"/>
    </w:rPr>
  </w:style>
  <w:style w:type="paragraph" w:styleId="Heading4">
    <w:name w:val="heading 4"/>
    <w:next w:val="BodyText2"/>
    <w:qFormat/>
    <w:pPr>
      <w:keepNext/>
      <w:spacing w:before="240"/>
      <w:ind w:left="360"/>
      <w:outlineLvl w:val="3"/>
    </w:pPr>
    <w:rPr>
      <w:rFonts w:ascii="Arial" w:hAnsi="Arial"/>
      <w:b/>
      <w:sz w:val="24"/>
    </w:rPr>
  </w:style>
  <w:style w:type="paragraph" w:styleId="Heading5">
    <w:name w:val="heading 5"/>
    <w:next w:val="BodyText2"/>
    <w:qFormat/>
    <w:pPr>
      <w:keepNext/>
      <w:spacing w:before="240"/>
      <w:ind w:left="720"/>
      <w:outlineLvl w:val="4"/>
    </w:pPr>
    <w:rPr>
      <w:rFonts w:ascii="Arial" w:hAnsi="Arial"/>
      <w:b/>
      <w:i/>
      <w:sz w:val="24"/>
    </w:rPr>
  </w:style>
  <w:style w:type="paragraph" w:styleId="Heading6">
    <w:name w:val="heading 6"/>
    <w:next w:val="BodyText3"/>
    <w:qFormat/>
    <w:pPr>
      <w:keepNext/>
      <w:spacing w:before="240"/>
      <w:outlineLvl w:val="5"/>
    </w:pPr>
    <w:rPr>
      <w:rFonts w:ascii="Arial" w:hAnsi="Arial"/>
      <w:b/>
      <w:sz w:val="24"/>
    </w:rPr>
  </w:style>
  <w:style w:type="paragraph" w:styleId="Heading7">
    <w:name w:val="heading 7"/>
    <w:next w:val="BodyText3"/>
    <w:qFormat/>
    <w:pPr>
      <w:keepNext/>
      <w:spacing w:before="240"/>
      <w:outlineLvl w:val="6"/>
    </w:pPr>
    <w:rPr>
      <w:rFonts w:ascii="Arial" w:hAnsi="Arial"/>
      <w:b/>
      <w:i/>
      <w:sz w:val="24"/>
    </w:rPr>
  </w:style>
  <w:style w:type="paragraph" w:styleId="Heading8">
    <w:name w:val="heading 8"/>
    <w:basedOn w:val="Normal"/>
    <w:next w:val="Normal"/>
    <w:qFormat/>
    <w:pPr>
      <w:spacing w:before="60" w:after="240"/>
      <w:outlineLvl w:val="7"/>
    </w:pPr>
    <w:rPr>
      <w:b/>
      <w:bCs/>
      <w:iCs/>
      <w:sz w:val="20"/>
    </w:rPr>
  </w:style>
  <w:style w:type="paragraph" w:styleId="Heading9">
    <w:name w:val="heading 9"/>
    <w:basedOn w:val="Normal"/>
    <w:next w:val="Normal"/>
    <w:link w:val="Heading9Char"/>
    <w:qFormat/>
    <w:pPr>
      <w:spacing w:before="60" w:after="60"/>
      <w:outlineLvl w:val="8"/>
    </w:pPr>
    <w:rPr>
      <w:b/>
      <w:bCs/>
      <w:i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 1"/>
    <w:rPr>
      <w:sz w:val="24"/>
    </w:rPr>
  </w:style>
  <w:style w:type="paragraph" w:styleId="BodyText2">
    <w:name w:val="Body Text 2"/>
    <w:semiHidden/>
    <w:pPr>
      <w:spacing w:before="120"/>
      <w:ind w:left="360"/>
    </w:pPr>
    <w:rPr>
      <w:sz w:val="24"/>
    </w:rPr>
  </w:style>
  <w:style w:type="paragraph" w:styleId="BodyText3">
    <w:name w:val="Body Text 3"/>
    <w:semiHidden/>
    <w:pPr>
      <w:spacing w:before="120"/>
      <w:ind w:left="720"/>
    </w:pPr>
    <w:rPr>
      <w:sz w:val="24"/>
    </w:rPr>
  </w:style>
  <w:style w:type="paragraph" w:customStyle="1" w:styleId="ABCList1">
    <w:name w:val="ABC List 1"/>
    <w:pPr>
      <w:numPr>
        <w:numId w:val="2"/>
      </w:numPr>
    </w:pPr>
    <w:rPr>
      <w:sz w:val="24"/>
    </w:rPr>
  </w:style>
  <w:style w:type="paragraph" w:customStyle="1" w:styleId="ABCList2">
    <w:name w:val="ABC List 2"/>
    <w:pPr>
      <w:numPr>
        <w:numId w:val="3"/>
      </w:numPr>
    </w:pPr>
    <w:rPr>
      <w:sz w:val="24"/>
    </w:rPr>
  </w:style>
  <w:style w:type="paragraph" w:customStyle="1" w:styleId="ABCList3">
    <w:name w:val="ABC List 3"/>
    <w:pPr>
      <w:numPr>
        <w:numId w:val="4"/>
      </w:numPr>
    </w:pPr>
    <w:rPr>
      <w:sz w:val="24"/>
    </w:rPr>
  </w:style>
  <w:style w:type="paragraph" w:customStyle="1" w:styleId="ABCList4">
    <w:name w:val="ABC List 4"/>
    <w:pPr>
      <w:numPr>
        <w:numId w:val="5"/>
      </w:numPr>
    </w:pPr>
    <w:rPr>
      <w:sz w:val="24"/>
    </w:rPr>
  </w:style>
  <w:style w:type="paragraph" w:customStyle="1" w:styleId="StepsHeadings">
    <w:name w:val="Steps_Headings"/>
    <w:next w:val="BodyText1"/>
    <w:autoRedefine/>
    <w:rPr>
      <w:rFonts w:ascii="Arial" w:hAnsi="Arial"/>
      <w:b/>
      <w:bCs/>
      <w:iCs/>
      <w:sz w:val="24"/>
    </w:rPr>
  </w:style>
  <w:style w:type="paragraph" w:customStyle="1" w:styleId="ListBullet1">
    <w:name w:val="List Bullet 1"/>
    <w:pPr>
      <w:numPr>
        <w:numId w:val="10"/>
      </w:numPr>
      <w:tabs>
        <w:tab w:val="clear" w:pos="720"/>
        <w:tab w:val="num" w:pos="360"/>
      </w:tabs>
      <w:ind w:left="360"/>
    </w:pPr>
    <w:rPr>
      <w:sz w:val="24"/>
    </w:rPr>
  </w:style>
  <w:style w:type="paragraph" w:customStyle="1" w:styleId="ListNumber1">
    <w:name w:val="List Number 1"/>
    <w:pPr>
      <w:numPr>
        <w:numId w:val="13"/>
      </w:numPr>
    </w:pPr>
    <w:rPr>
      <w:sz w:val="24"/>
    </w:rPr>
  </w:style>
  <w:style w:type="paragraph" w:customStyle="1" w:styleId="BodyText4">
    <w:name w:val="Body Text 4"/>
    <w:pPr>
      <w:spacing w:before="120"/>
      <w:ind w:left="1080"/>
    </w:pPr>
    <w:rPr>
      <w:color w:val="000000"/>
      <w:sz w:val="24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mportant1">
    <w:name w:val="Important 1"/>
    <w:next w:val="BodyText1"/>
    <w:pPr>
      <w:numPr>
        <w:numId w:val="6"/>
      </w:numPr>
      <w:tabs>
        <w:tab w:val="clear" w:pos="1368"/>
        <w:tab w:val="num" w:pos="1440"/>
      </w:tabs>
      <w:spacing w:before="120" w:after="120"/>
      <w:ind w:left="1440" w:hanging="1440"/>
    </w:pPr>
    <w:rPr>
      <w:noProof/>
      <w:sz w:val="24"/>
    </w:rPr>
  </w:style>
  <w:style w:type="paragraph" w:customStyle="1" w:styleId="Important2">
    <w:name w:val="Important 2"/>
    <w:basedOn w:val="Important1"/>
    <w:next w:val="BodyText2"/>
    <w:pPr>
      <w:numPr>
        <w:numId w:val="7"/>
      </w:numPr>
      <w:tabs>
        <w:tab w:val="left" w:pos="1530"/>
      </w:tabs>
    </w:pPr>
  </w:style>
  <w:style w:type="paragraph" w:customStyle="1" w:styleId="Important3">
    <w:name w:val="Important 3"/>
    <w:basedOn w:val="Important1"/>
    <w:next w:val="BodyText3"/>
    <w:pPr>
      <w:numPr>
        <w:numId w:val="8"/>
      </w:numPr>
      <w:tabs>
        <w:tab w:val="clear" w:pos="2520"/>
        <w:tab w:val="num" w:pos="2160"/>
      </w:tabs>
      <w:ind w:left="2160"/>
    </w:pPr>
  </w:style>
  <w:style w:type="paragraph" w:customStyle="1" w:styleId="Important4">
    <w:name w:val="Important 4"/>
    <w:basedOn w:val="Important1"/>
    <w:next w:val="BodyText4"/>
    <w:pPr>
      <w:numPr>
        <w:numId w:val="9"/>
      </w:numPr>
      <w:tabs>
        <w:tab w:val="clear" w:pos="2880"/>
        <w:tab w:val="num" w:pos="2520"/>
      </w:tabs>
      <w:ind w:left="2520" w:hanging="1440"/>
    </w:pPr>
  </w:style>
  <w:style w:type="paragraph" w:styleId="ListBullet2">
    <w:name w:val="List Bullet 2"/>
    <w:basedOn w:val="Normal"/>
    <w:semiHidden/>
    <w:pPr>
      <w:numPr>
        <w:numId w:val="22"/>
      </w:numPr>
      <w:tabs>
        <w:tab w:val="clear" w:pos="0"/>
        <w:tab w:val="left" w:pos="720"/>
      </w:tabs>
      <w:ind w:left="720" w:hanging="360"/>
    </w:pPr>
    <w:rPr>
      <w:rFonts w:ascii="Times New Roman" w:hAnsi="Times New Roman"/>
      <w:color w:val="000000"/>
    </w:rPr>
  </w:style>
  <w:style w:type="paragraph" w:styleId="ListBullet3">
    <w:name w:val="List Bullet 3"/>
    <w:basedOn w:val="Normal"/>
    <w:semiHidden/>
    <w:pPr>
      <w:numPr>
        <w:numId w:val="11"/>
      </w:numPr>
      <w:tabs>
        <w:tab w:val="clear" w:pos="0"/>
        <w:tab w:val="left" w:pos="1080"/>
      </w:tabs>
      <w:ind w:left="1080" w:hanging="360"/>
    </w:pPr>
    <w:rPr>
      <w:rFonts w:ascii="Times New Roman" w:hAnsi="Times New Roman"/>
      <w:color w:val="000000"/>
    </w:rPr>
  </w:style>
  <w:style w:type="paragraph" w:styleId="ListBullet4">
    <w:name w:val="List Bullet 4"/>
    <w:basedOn w:val="Normal"/>
    <w:semiHidden/>
    <w:pPr>
      <w:numPr>
        <w:numId w:val="12"/>
      </w:numPr>
      <w:tabs>
        <w:tab w:val="clear" w:pos="1440"/>
      </w:tabs>
    </w:pPr>
    <w:rPr>
      <w:rFonts w:ascii="Times New Roman" w:hAnsi="Times New Roman"/>
      <w:color w:val="000000"/>
    </w:rPr>
  </w:style>
  <w:style w:type="paragraph" w:styleId="ListNumber2">
    <w:name w:val="List Number 2"/>
    <w:semiHidden/>
    <w:pPr>
      <w:numPr>
        <w:numId w:val="14"/>
      </w:numPr>
    </w:pPr>
    <w:rPr>
      <w:sz w:val="24"/>
    </w:rPr>
  </w:style>
  <w:style w:type="paragraph" w:styleId="ListNumber3">
    <w:name w:val="List Number 3"/>
    <w:semiHidden/>
    <w:pPr>
      <w:numPr>
        <w:numId w:val="15"/>
      </w:numPr>
    </w:pPr>
    <w:rPr>
      <w:sz w:val="24"/>
    </w:rPr>
  </w:style>
  <w:style w:type="paragraph" w:styleId="ListNumber4">
    <w:name w:val="List Number 4"/>
    <w:semiHidden/>
    <w:pPr>
      <w:numPr>
        <w:numId w:val="16"/>
      </w:numPr>
    </w:pPr>
    <w:rPr>
      <w:sz w:val="24"/>
    </w:rPr>
  </w:style>
  <w:style w:type="paragraph" w:customStyle="1" w:styleId="Note1">
    <w:name w:val="Note 1"/>
    <w:next w:val="Normal"/>
    <w:pPr>
      <w:numPr>
        <w:numId w:val="23"/>
      </w:numPr>
      <w:spacing w:before="120"/>
      <w:ind w:left="720" w:hanging="720"/>
    </w:pPr>
    <w:rPr>
      <w:sz w:val="24"/>
    </w:rPr>
  </w:style>
  <w:style w:type="paragraph" w:customStyle="1" w:styleId="Note2">
    <w:name w:val="Note 2"/>
    <w:next w:val="Normal"/>
    <w:pPr>
      <w:numPr>
        <w:numId w:val="24"/>
      </w:numPr>
      <w:spacing w:before="120"/>
      <w:ind w:left="1080" w:hanging="720"/>
    </w:pPr>
    <w:rPr>
      <w:sz w:val="24"/>
    </w:rPr>
  </w:style>
  <w:style w:type="paragraph" w:customStyle="1" w:styleId="Note3">
    <w:name w:val="Note 3"/>
    <w:next w:val="Normal"/>
    <w:pPr>
      <w:numPr>
        <w:numId w:val="25"/>
      </w:numPr>
      <w:spacing w:before="120"/>
      <w:ind w:left="1440" w:hanging="720"/>
    </w:pPr>
    <w:rPr>
      <w:sz w:val="24"/>
    </w:rPr>
  </w:style>
  <w:style w:type="paragraph" w:customStyle="1" w:styleId="Note4">
    <w:name w:val="Note 4"/>
    <w:next w:val="Normal"/>
    <w:pPr>
      <w:numPr>
        <w:numId w:val="26"/>
      </w:numPr>
      <w:spacing w:before="120"/>
      <w:ind w:left="1800" w:hanging="720"/>
    </w:pPr>
    <w:rPr>
      <w:sz w:val="24"/>
    </w:rPr>
  </w:style>
  <w:style w:type="paragraph" w:customStyle="1" w:styleId="Or1">
    <w:name w:val="Or 1"/>
    <w:next w:val="BodyText2"/>
    <w:pPr>
      <w:numPr>
        <w:numId w:val="17"/>
      </w:numPr>
      <w:tabs>
        <w:tab w:val="clear" w:pos="1260"/>
        <w:tab w:val="num" w:pos="720"/>
      </w:tabs>
      <w:spacing w:after="80"/>
      <w:ind w:left="720"/>
    </w:pPr>
    <w:rPr>
      <w:color w:val="000000"/>
      <w:sz w:val="24"/>
    </w:rPr>
  </w:style>
  <w:style w:type="paragraph" w:customStyle="1" w:styleId="Or2">
    <w:name w:val="Or 2"/>
    <w:basedOn w:val="Normal"/>
    <w:next w:val="BodyText3"/>
    <w:pPr>
      <w:numPr>
        <w:numId w:val="18"/>
      </w:numPr>
      <w:tabs>
        <w:tab w:val="clear" w:pos="1260"/>
        <w:tab w:val="num" w:pos="1080"/>
      </w:tabs>
      <w:spacing w:after="80"/>
      <w:ind w:left="1080"/>
    </w:pPr>
    <w:rPr>
      <w:rFonts w:ascii="Times New Roman" w:hAnsi="Times New Roman"/>
      <w:color w:val="000000"/>
    </w:rPr>
  </w:style>
  <w:style w:type="paragraph" w:customStyle="1" w:styleId="Or3">
    <w:name w:val="Or 3"/>
    <w:basedOn w:val="Or1"/>
    <w:next w:val="BodyText4"/>
    <w:pPr>
      <w:numPr>
        <w:numId w:val="19"/>
      </w:numPr>
      <w:tabs>
        <w:tab w:val="clear" w:pos="1627"/>
        <w:tab w:val="right" w:pos="1440"/>
      </w:tabs>
      <w:spacing w:before="60" w:after="60"/>
      <w:ind w:left="1440"/>
    </w:pPr>
  </w:style>
  <w:style w:type="paragraph" w:customStyle="1" w:styleId="Or4">
    <w:name w:val="Or 4"/>
    <w:basedOn w:val="Or1"/>
    <w:next w:val="BodyText4"/>
    <w:pPr>
      <w:numPr>
        <w:numId w:val="20"/>
      </w:numPr>
      <w:tabs>
        <w:tab w:val="clear" w:pos="1987"/>
        <w:tab w:val="num" w:pos="1800"/>
      </w:tabs>
      <w:spacing w:before="60" w:after="60"/>
      <w:ind w:left="1800"/>
    </w:pPr>
  </w:style>
  <w:style w:type="paragraph" w:styleId="Header">
    <w:name w:val="header"/>
    <w:basedOn w:val="Normal"/>
    <w:semiHidden/>
  </w:style>
  <w:style w:type="paragraph" w:styleId="Footer">
    <w:name w:val="footer"/>
    <w:basedOn w:val="Normal"/>
    <w:link w:val="FooterChar"/>
    <w:uiPriority w:val="99"/>
    <w:pPr>
      <w:tabs>
        <w:tab w:val="left" w:pos="360"/>
        <w:tab w:val="center" w:pos="4320"/>
        <w:tab w:val="right" w:pos="8640"/>
      </w:tabs>
      <w:spacing w:before="120"/>
      <w:jc w:val="right"/>
    </w:pPr>
    <w:rPr>
      <w:rFonts w:ascii="Arial Narrow" w:hAnsi="Arial Narrow"/>
      <w:i/>
      <w:sz w:val="22"/>
    </w:rPr>
  </w:style>
  <w:style w:type="paragraph" w:customStyle="1" w:styleId="RevDate">
    <w:name w:val="RevDate"/>
    <w:basedOn w:val="BodyText1"/>
  </w:style>
  <w:style w:type="character" w:styleId="PageNumber">
    <w:name w:val="page number"/>
    <w:basedOn w:val="DefaultParagraphFont"/>
    <w:semiHidden/>
  </w:style>
  <w:style w:type="paragraph" w:styleId="Title">
    <w:name w:val="Title"/>
    <w:basedOn w:val="Normal"/>
    <w:next w:val="Subtitle"/>
    <w:qFormat/>
    <w:pPr>
      <w:spacing w:before="1800" w:after="240"/>
    </w:pPr>
    <w:rPr>
      <w:rFonts w:cs="Arial"/>
      <w:b/>
      <w:bCs/>
      <w:smallCaps/>
      <w:kern w:val="28"/>
      <w:sz w:val="72"/>
      <w:szCs w:val="32"/>
    </w:rPr>
  </w:style>
  <w:style w:type="paragraph" w:styleId="Subtitle">
    <w:name w:val="Subtitle"/>
    <w:basedOn w:val="Normal"/>
    <w:qFormat/>
    <w:pPr>
      <w:spacing w:after="60"/>
      <w:jc w:val="center"/>
    </w:pPr>
    <w:rPr>
      <w:rFonts w:cs="Arial"/>
      <w:szCs w:val="24"/>
    </w:rPr>
  </w:style>
  <w:style w:type="paragraph" w:styleId="TOC1">
    <w:name w:val="toc 1"/>
    <w:basedOn w:val="Normal"/>
    <w:next w:val="Normal"/>
    <w:semiHidden/>
    <w:pPr>
      <w:numPr>
        <w:numId w:val="21"/>
      </w:numPr>
    </w:p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Dept">
    <w:name w:val="Dept"/>
    <w:basedOn w:val="BodyText1"/>
  </w:style>
  <w:style w:type="paragraph" w:styleId="TOCHeading">
    <w:name w:val="TOC Heading"/>
    <w:basedOn w:val="Heading1"/>
    <w:qFormat/>
    <w:pPr>
      <w:outlineLvl w:val="9"/>
    </w:pPr>
  </w:style>
  <w:style w:type="paragraph" w:customStyle="1" w:styleId="BodyText5">
    <w:name w:val="Body Text 5"/>
    <w:pPr>
      <w:spacing w:before="120"/>
      <w:ind w:left="144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semiHidden/>
    <w:pPr>
      <w:spacing w:after="120"/>
    </w:pPr>
    <w:rPr>
      <w:rFonts w:ascii="Times New Roman" w:hAnsi="Times New Roman"/>
    </w:rPr>
  </w:style>
  <w:style w:type="paragraph" w:customStyle="1" w:styleId="Legend">
    <w:name w:val="Legend"/>
    <w:basedOn w:val="BodyText1"/>
    <w:pPr>
      <w:jc w:val="center"/>
    </w:pPr>
  </w:style>
  <w:style w:type="paragraph" w:customStyle="1" w:styleId="StepsNumber">
    <w:name w:val="Steps_Number"/>
    <w:basedOn w:val="StepsHeadings"/>
    <w:pPr>
      <w:jc w:val="center"/>
    </w:pPr>
    <w:rPr>
      <w:color w:val="000000"/>
    </w:rPr>
  </w:style>
  <w:style w:type="paragraph" w:customStyle="1" w:styleId="SSPPProperties">
    <w:name w:val="SSPP Properties"/>
    <w:pPr>
      <w:spacing w:before="30" w:after="30"/>
    </w:pPr>
    <w:rPr>
      <w:rFonts w:ascii="Arial Narrow" w:hAnsi="Arial Narrow"/>
      <w:sz w:val="22"/>
    </w:rPr>
  </w:style>
  <w:style w:type="paragraph" w:customStyle="1" w:styleId="TblHeadings">
    <w:name w:val="Tbl_Headings"/>
    <w:basedOn w:val="StepsHeadings"/>
    <w:pPr>
      <w:jc w:val="center"/>
    </w:pPr>
  </w:style>
  <w:style w:type="paragraph" w:customStyle="1" w:styleId="TeamName">
    <w:name w:val="TeamName"/>
    <w:basedOn w:val="BodyText1"/>
    <w:pPr>
      <w:jc w:val="center"/>
    </w:pPr>
  </w:style>
  <w:style w:type="paragraph" w:customStyle="1" w:styleId="or20">
    <w:name w:val="or 2"/>
    <w:next w:val="Normal"/>
    <w:pPr>
      <w:numPr>
        <w:numId w:val="1"/>
      </w:numPr>
      <w:tabs>
        <w:tab w:val="num" w:pos="1440"/>
      </w:tabs>
      <w:spacing w:before="120"/>
    </w:pPr>
    <w:rPr>
      <w:sz w:val="24"/>
    </w:rPr>
  </w:style>
  <w:style w:type="paragraph" w:customStyle="1" w:styleId="BodyTxt1">
    <w:name w:val="BodyTxt1"/>
    <w:pPr>
      <w:spacing w:before="120"/>
    </w:pPr>
    <w:rPr>
      <w:sz w:val="24"/>
    </w:rPr>
  </w:style>
  <w:style w:type="paragraph" w:customStyle="1" w:styleId="Importantsign">
    <w:name w:val="Important sign"/>
    <w:pPr>
      <w:framePr w:w="1440" w:hSpace="187" w:vSpace="187" w:wrap="around" w:vAnchor="text" w:hAnchor="page" w:y="1" w:anchorLock="1"/>
      <w:spacing w:line="760" w:lineRule="exact"/>
      <w:jc w:val="right"/>
    </w:pPr>
    <w:rPr>
      <w:rFonts w:ascii="Arial" w:hAnsi="Arial"/>
      <w:sz w:val="56"/>
    </w:rPr>
  </w:style>
  <w:style w:type="paragraph" w:customStyle="1" w:styleId="UserInputText">
    <w:name w:val="UserInputText"/>
    <w:basedOn w:val="BodyText1"/>
    <w:rPr>
      <w:rFonts w:ascii="Courier New" w:hAnsi="Courier New" w:cs="Courier New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3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36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E34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4A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34A9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34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34A9"/>
    <w:rPr>
      <w:rFonts w:ascii="Arial" w:hAnsi="Arial"/>
      <w:b/>
      <w:bCs/>
    </w:rPr>
  </w:style>
  <w:style w:type="character" w:customStyle="1" w:styleId="Heading9Char">
    <w:name w:val="Heading 9 Char"/>
    <w:basedOn w:val="DefaultParagraphFont"/>
    <w:link w:val="Heading9"/>
    <w:rsid w:val="00843C24"/>
    <w:rPr>
      <w:rFonts w:ascii="Arial" w:hAnsi="Arial"/>
      <w:b/>
      <w:bCs/>
      <w:iCs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6F36F3"/>
    <w:rPr>
      <w:rFonts w:ascii="Arial Narrow" w:hAnsi="Arial Narrow"/>
      <w:i/>
      <w:sz w:val="22"/>
    </w:rPr>
  </w:style>
  <w:style w:type="paragraph" w:styleId="NoSpacing">
    <w:name w:val="No Spacing"/>
    <w:uiPriority w:val="1"/>
    <w:qFormat/>
    <w:rsid w:val="00A967C8"/>
    <w:rPr>
      <w:rFonts w:ascii="Arial" w:hAnsi="Arial"/>
      <w:sz w:val="24"/>
    </w:rPr>
  </w:style>
  <w:style w:type="character" w:customStyle="1" w:styleId="tableentry">
    <w:name w:val="tableentry"/>
    <w:rsid w:val="00A967C8"/>
    <w:rPr>
      <w:rFonts w:ascii="Arial" w:hAnsi="Arial" w:cs="Arial" w:hint="default"/>
      <w:sz w:val="18"/>
      <w:szCs w:val="18"/>
    </w:rPr>
  </w:style>
  <w:style w:type="character" w:customStyle="1" w:styleId="xuibreadcrumblocation1">
    <w:name w:val="xuibreadcrumb_location1"/>
    <w:rsid w:val="00A967C8"/>
    <w:rPr>
      <w:rFonts w:ascii="Tahoma" w:hAnsi="Tahoma" w:cs="Tahoma" w:hint="default"/>
      <w:strike w:val="0"/>
      <w:dstrike w:val="0"/>
      <w:color w:val="000000"/>
      <w:sz w:val="16"/>
      <w:szCs w:val="16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D77BC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669A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6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harepoint.jackson.com/sites/integrity/_layouts/15/WopiFrame.aspx?sourcedoc=%7be34fe42a-654a-469a-9d38-6612f00486dc%7d&amp;action=view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endeba\Application%20Data\Microsoft\Templates\ITP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452EEBF470E41915B3CA0BB5B538F" ma:contentTypeVersion="20" ma:contentTypeDescription="Create a new document." ma:contentTypeScope="" ma:versionID="790c5b2603d95436a7a4db2e5ea3dd87">
  <xsd:schema xmlns:xsd="http://www.w3.org/2001/XMLSchema" xmlns:xs="http://www.w3.org/2001/XMLSchema" xmlns:p="http://schemas.microsoft.com/office/2006/metadata/properties" xmlns:ns2="ba5e94a0-206e-4392-b45d-0da65212796d" targetNamespace="http://schemas.microsoft.com/office/2006/metadata/properties" ma:root="true" ma:fieldsID="3f53f9d78d1eb9b3754a980596fa77b0" ns2:_="">
    <xsd:import namespace="ba5e94a0-206e-4392-b45d-0da65212796d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5e94a0-206e-4392-b45d-0da65212796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69C658-81ED-4B81-A422-E59745559108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577544A4-4C80-4CB7-876F-A6C398D9E7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F038F8-7778-4D79-9B3D-071E08731E28}">
  <ds:schemaRefs>
    <ds:schemaRef ds:uri="ba5e94a0-206e-4392-b45d-0da65212796d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5014AA48-78DC-4E02-BA5D-D17D728B34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5e94a0-206e-4392-b45d-0da6521279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ITPP.dot</Template>
  <TotalTime>93</TotalTime>
  <Pages>3</Pages>
  <Words>338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PGDS US Policy and Procedure Template</vt:lpstr>
    </vt:vector>
  </TitlesOfParts>
  <Company>JNL</Company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PGDS US Policy and Procedure Template</dc:title>
  <dc:subject/>
  <dc:creator>lendeba</dc:creator>
  <cp:keywords/>
  <cp:lastModifiedBy>Branham, Henry</cp:lastModifiedBy>
  <cp:revision>32</cp:revision>
  <cp:lastPrinted>2010-10-25T17:14:00Z</cp:lastPrinted>
  <dcterms:created xsi:type="dcterms:W3CDTF">2017-02-14T20:54:00Z</dcterms:created>
  <dcterms:modified xsi:type="dcterms:W3CDTF">2017-12-11T19:51:00Z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