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1B6BC" w14:textId="17A3338D" w:rsidR="00D02451" w:rsidRPr="00A2001B" w:rsidRDefault="00314D68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SLM </w:t>
      </w:r>
      <w:r w:rsidR="00A2766C">
        <w:rPr>
          <w:rFonts w:cs="Arial"/>
          <w:color w:val="C00000"/>
        </w:rPr>
        <w:t xml:space="preserve">Run </w:t>
      </w:r>
      <w:r w:rsidR="008276A1">
        <w:rPr>
          <w:rFonts w:cs="Arial"/>
          <w:color w:val="C00000"/>
        </w:rPr>
        <w:t xml:space="preserve">&amp; Review </w:t>
      </w:r>
      <w:r w:rsidR="008916DC">
        <w:rPr>
          <w:rFonts w:cs="Arial"/>
          <w:color w:val="C00000"/>
        </w:rPr>
        <w:t xml:space="preserve">the </w:t>
      </w:r>
      <w:r w:rsidR="00D51FC1">
        <w:rPr>
          <w:rFonts w:cs="Arial"/>
          <w:color w:val="C00000"/>
        </w:rPr>
        <w:t xml:space="preserve">Monthly </w:t>
      </w:r>
      <w:r w:rsidR="008916DC">
        <w:rPr>
          <w:rFonts w:cs="Arial"/>
          <w:color w:val="C00000"/>
        </w:rPr>
        <w:t xml:space="preserve">KPI </w:t>
      </w:r>
      <w:r w:rsidR="00A2766C">
        <w:rPr>
          <w:rFonts w:cs="Arial"/>
          <w:color w:val="C00000"/>
        </w:rPr>
        <w:t xml:space="preserve">Report </w:t>
      </w:r>
      <w:r>
        <w:rPr>
          <w:rFonts w:cs="Arial"/>
          <w:color w:val="C00000"/>
        </w:rPr>
        <w:t xml:space="preserve">Procedure 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168699" w14:textId="46E6D281" w:rsidR="008276A1" w:rsidRPr="00E46434" w:rsidRDefault="008276A1" w:rsidP="008276A1">
      <w:pPr>
        <w:rPr>
          <w:rFonts w:cs="Arial"/>
          <w:sz w:val="22"/>
          <w:szCs w:val="22"/>
        </w:rPr>
      </w:pPr>
      <w:r w:rsidRPr="00E46434">
        <w:rPr>
          <w:rFonts w:cs="Arial"/>
          <w:sz w:val="22"/>
          <w:szCs w:val="22"/>
        </w:rPr>
        <w:t xml:space="preserve">The </w:t>
      </w:r>
      <w:r w:rsidR="00184518" w:rsidRPr="00E46434">
        <w:rPr>
          <w:rFonts w:cs="Arial"/>
          <w:sz w:val="22"/>
          <w:szCs w:val="22"/>
        </w:rPr>
        <w:t>Monthly KPI Report</w:t>
      </w:r>
      <w:r w:rsidRPr="00E46434">
        <w:rPr>
          <w:rFonts w:cs="Arial"/>
          <w:sz w:val="22"/>
          <w:szCs w:val="22"/>
        </w:rPr>
        <w:t xml:space="preserve"> must be produced by the third business day of the month.  It summarizes the availa</w:t>
      </w:r>
      <w:r w:rsidR="00184518" w:rsidRPr="00E46434">
        <w:rPr>
          <w:rFonts w:cs="Arial"/>
          <w:sz w:val="22"/>
          <w:szCs w:val="22"/>
        </w:rPr>
        <w:t>bility percentage of each Tier 1</w:t>
      </w:r>
      <w:r w:rsidR="0023309A">
        <w:rPr>
          <w:rFonts w:cs="Arial"/>
          <w:sz w:val="22"/>
          <w:szCs w:val="22"/>
        </w:rPr>
        <w:t xml:space="preserve"> &amp;</w:t>
      </w:r>
      <w:r w:rsidR="00184518" w:rsidRPr="00E46434">
        <w:rPr>
          <w:rFonts w:cs="Arial"/>
          <w:sz w:val="22"/>
          <w:szCs w:val="22"/>
        </w:rPr>
        <w:t xml:space="preserve"> </w:t>
      </w:r>
      <w:r w:rsidRPr="00E46434">
        <w:rPr>
          <w:rFonts w:cs="Arial"/>
          <w:sz w:val="22"/>
          <w:szCs w:val="22"/>
        </w:rPr>
        <w:t>Tier 2</w:t>
      </w:r>
      <w:r w:rsidR="00184518" w:rsidRPr="00E46434">
        <w:rPr>
          <w:rFonts w:cs="Arial"/>
          <w:sz w:val="22"/>
          <w:szCs w:val="22"/>
        </w:rPr>
        <w:t xml:space="preserve"> </w:t>
      </w:r>
      <w:r w:rsidR="00C67ADB">
        <w:rPr>
          <w:rFonts w:cs="Arial"/>
          <w:sz w:val="22"/>
          <w:szCs w:val="22"/>
        </w:rPr>
        <w:t>s</w:t>
      </w:r>
      <w:r w:rsidRPr="00E46434">
        <w:rPr>
          <w:rFonts w:cs="Arial"/>
          <w:sz w:val="22"/>
          <w:szCs w:val="22"/>
        </w:rPr>
        <w:t>ervice</w:t>
      </w:r>
      <w:r w:rsidR="00184518" w:rsidRPr="00E46434">
        <w:rPr>
          <w:rFonts w:cs="Arial"/>
          <w:sz w:val="22"/>
          <w:szCs w:val="22"/>
        </w:rPr>
        <w:t>s</w:t>
      </w:r>
      <w:r w:rsidR="0023309A">
        <w:rPr>
          <w:rFonts w:cs="Arial"/>
          <w:sz w:val="22"/>
          <w:szCs w:val="22"/>
        </w:rPr>
        <w:t xml:space="preserve"> </w:t>
      </w:r>
      <w:r w:rsidRPr="00E46434">
        <w:rPr>
          <w:rFonts w:cs="Arial"/>
          <w:sz w:val="22"/>
          <w:szCs w:val="22"/>
        </w:rPr>
        <w:t xml:space="preserve">that appear on the Monthly </w:t>
      </w:r>
      <w:r w:rsidR="00D344AF" w:rsidRPr="00E46434">
        <w:rPr>
          <w:rFonts w:cs="Arial"/>
          <w:sz w:val="22"/>
          <w:szCs w:val="22"/>
        </w:rPr>
        <w:t>SLM</w:t>
      </w:r>
      <w:r w:rsidRPr="00E46434">
        <w:rPr>
          <w:rFonts w:cs="Arial"/>
          <w:sz w:val="22"/>
          <w:szCs w:val="22"/>
        </w:rPr>
        <w:t xml:space="preserve"> Report.   </w:t>
      </w:r>
      <w:r w:rsidR="00E46434" w:rsidRPr="00E46434">
        <w:rPr>
          <w:rFonts w:cs="Arial"/>
          <w:sz w:val="22"/>
          <w:szCs w:val="22"/>
        </w:rPr>
        <w:t xml:space="preserve">Breached OLA information is also included as well.  </w:t>
      </w:r>
      <w:r w:rsidRPr="00E46434">
        <w:rPr>
          <w:rFonts w:cs="Arial"/>
          <w:sz w:val="22"/>
          <w:szCs w:val="22"/>
        </w:rPr>
        <w:t>The report contains thirteen months of data to show trending of met and missed</w:t>
      </w:r>
      <w:r w:rsidR="00C01C45">
        <w:rPr>
          <w:rFonts w:cs="Arial"/>
          <w:sz w:val="22"/>
          <w:szCs w:val="22"/>
        </w:rPr>
        <w:t xml:space="preserve"> or breached</w:t>
      </w:r>
      <w:r w:rsidRPr="00E46434">
        <w:rPr>
          <w:rFonts w:cs="Arial"/>
          <w:sz w:val="22"/>
          <w:szCs w:val="22"/>
        </w:rPr>
        <w:t xml:space="preserve"> SLA target percentages.  The </w:t>
      </w:r>
      <w:r w:rsidR="00184518" w:rsidRPr="00E46434">
        <w:rPr>
          <w:rFonts w:cs="Arial"/>
          <w:sz w:val="22"/>
          <w:szCs w:val="22"/>
        </w:rPr>
        <w:t>Monthly KPI Report</w:t>
      </w:r>
      <w:r w:rsidRPr="00E46434">
        <w:rPr>
          <w:rFonts w:cs="Arial"/>
          <w:sz w:val="22"/>
          <w:szCs w:val="22"/>
        </w:rPr>
        <w:t xml:space="preserve"> needs to be compared against the Monthly SLM report to ensure accuracy.</w:t>
      </w:r>
    </w:p>
    <w:p w14:paraId="71CDDC77" w14:textId="11234199" w:rsidR="00115FED" w:rsidRPr="00E46434" w:rsidRDefault="00115FED" w:rsidP="00157A90">
      <w:pPr>
        <w:rPr>
          <w:rFonts w:cs="Arial"/>
          <w:sz w:val="22"/>
          <w:szCs w:val="22"/>
        </w:rPr>
      </w:pPr>
    </w:p>
    <w:p w14:paraId="018FB67F" w14:textId="77777777" w:rsidR="00115FED" w:rsidRPr="00E46434" w:rsidRDefault="00115FED" w:rsidP="00115FED">
      <w:pPr>
        <w:rPr>
          <w:rFonts w:cs="Arial"/>
          <w:b/>
          <w:sz w:val="22"/>
          <w:szCs w:val="22"/>
        </w:rPr>
      </w:pPr>
      <w:r w:rsidRPr="00E46434">
        <w:rPr>
          <w:rFonts w:cs="Arial"/>
          <w:b/>
          <w:sz w:val="22"/>
          <w:szCs w:val="22"/>
        </w:rPr>
        <w:t>Related Policy</w:t>
      </w:r>
    </w:p>
    <w:p w14:paraId="0158E3F5" w14:textId="14E0E6BB" w:rsidR="00115FED" w:rsidRPr="00E46434" w:rsidRDefault="00F604BC" w:rsidP="00DA0EFC">
      <w:pPr>
        <w:numPr>
          <w:ilvl w:val="0"/>
          <w:numId w:val="27"/>
        </w:numPr>
        <w:rPr>
          <w:rFonts w:cs="Arial"/>
          <w:sz w:val="22"/>
          <w:szCs w:val="22"/>
        </w:rPr>
      </w:pPr>
      <w:hyperlink r:id="rId11" w:history="1">
        <w:r w:rsidR="00E94B60" w:rsidRPr="00E46434">
          <w:rPr>
            <w:rStyle w:val="Hyperlink"/>
            <w:rFonts w:cs="Arial"/>
            <w:sz w:val="22"/>
            <w:szCs w:val="22"/>
          </w:rPr>
          <w:t>IT Service Management Policy</w:t>
        </w:r>
      </w:hyperlink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Pr="00E46434" w:rsidRDefault="00157A90" w:rsidP="00115FED">
      <w:pPr>
        <w:rPr>
          <w:rFonts w:cs="Arial"/>
          <w:sz w:val="22"/>
          <w:szCs w:val="22"/>
        </w:rPr>
      </w:pPr>
      <w:r w:rsidRPr="00E46434">
        <w:rPr>
          <w:rFonts w:cs="Arial"/>
          <w:sz w:val="22"/>
          <w:szCs w:val="22"/>
        </w:rPr>
        <w:t>The following groups are responsible</w:t>
      </w:r>
      <w:r w:rsidR="00115FED" w:rsidRPr="00E46434">
        <w:rPr>
          <w:rFonts w:cs="Arial"/>
          <w:sz w:val="22"/>
          <w:szCs w:val="22"/>
        </w:rPr>
        <w:t xml:space="preserve"> for adhering to this document:</w:t>
      </w:r>
    </w:p>
    <w:p w14:paraId="482F84D5" w14:textId="79A15625" w:rsidR="00115FED" w:rsidRPr="00E46434" w:rsidRDefault="00ED5AC8" w:rsidP="00DA0EFC">
      <w:pPr>
        <w:numPr>
          <w:ilvl w:val="0"/>
          <w:numId w:val="27"/>
        </w:numPr>
        <w:rPr>
          <w:rFonts w:cs="Arial"/>
          <w:sz w:val="22"/>
          <w:szCs w:val="22"/>
        </w:rPr>
      </w:pPr>
      <w:r w:rsidRPr="00E46434">
        <w:rPr>
          <w:rFonts w:cs="Arial"/>
          <w:sz w:val="22"/>
          <w:szCs w:val="22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53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751"/>
        <w:gridCol w:w="10166"/>
      </w:tblGrid>
      <w:tr w:rsidR="00016922" w:rsidRPr="006108A0" w14:paraId="563F284C" w14:textId="77777777" w:rsidTr="00DC64B3"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6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DC64B3"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DC4D7E" w:rsidR="00016922" w:rsidRPr="006108A0" w:rsidRDefault="00340441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559933" w14:textId="7F3A95D7" w:rsidR="00016922" w:rsidRPr="00974E82" w:rsidRDefault="00303312" w:rsidP="00314D68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Access the KPI Report</w:t>
            </w:r>
          </w:p>
          <w:p w14:paraId="36485D18" w14:textId="661588D5" w:rsidR="00DA0EFC" w:rsidRPr="00AD08C2" w:rsidRDefault="00DA0EFC" w:rsidP="00314D68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42F4746E" w14:textId="1EA59419" w:rsidR="00F437F0" w:rsidRPr="00303312" w:rsidRDefault="00F437F0" w:rsidP="00DC4556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303312">
              <w:rPr>
                <w:rFonts w:cs="Arial"/>
                <w:sz w:val="22"/>
                <w:szCs w:val="22"/>
              </w:rPr>
              <w:t>In Remedy, open Analytics as follows:</w:t>
            </w:r>
          </w:p>
          <w:p w14:paraId="672B29E3" w14:textId="254F752F" w:rsidR="00F437F0" w:rsidRDefault="00F437F0" w:rsidP="00F437F0">
            <w:pPr>
              <w:pStyle w:val="ListParagraph"/>
              <w:numPr>
                <w:ilvl w:val="0"/>
                <w:numId w:val="44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the Applications tab on the side.</w:t>
            </w:r>
          </w:p>
          <w:p w14:paraId="18F1916C" w14:textId="34AABD8C" w:rsidR="00F437F0" w:rsidRDefault="00F437F0" w:rsidP="00F437F0">
            <w:pPr>
              <w:pStyle w:val="ListParagraph"/>
              <w:numPr>
                <w:ilvl w:val="0"/>
                <w:numId w:val="44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the “Analytics” tab.</w:t>
            </w:r>
          </w:p>
          <w:p w14:paraId="15367396" w14:textId="05FA9F62" w:rsidR="00F437F0" w:rsidRDefault="00F437F0" w:rsidP="00F437F0">
            <w:pPr>
              <w:pStyle w:val="ListParagraph"/>
              <w:numPr>
                <w:ilvl w:val="0"/>
                <w:numId w:val="44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“Analytics”</w:t>
            </w:r>
          </w:p>
          <w:p w14:paraId="2AA56409" w14:textId="77777777" w:rsidR="003F7AF6" w:rsidRDefault="003F7AF6" w:rsidP="00314D68">
            <w:pPr>
              <w:pStyle w:val="NoSpacing"/>
              <w:rPr>
                <w:rFonts w:cs="Arial"/>
                <w:sz w:val="20"/>
              </w:rPr>
            </w:pPr>
          </w:p>
          <w:p w14:paraId="6BF5FDE7" w14:textId="54A6761D" w:rsidR="003F7AF6" w:rsidRDefault="003F7AF6" w:rsidP="00DA0EFC">
            <w:pPr>
              <w:pStyle w:val="NoSpacing"/>
              <w:jc w:val="center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EEA594F" wp14:editId="1CF1042B">
                  <wp:extent cx="2714625" cy="1804565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606" cy="181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E17A5" w14:textId="701E78A6" w:rsidR="00DA0EFC" w:rsidRDefault="00DA0EFC" w:rsidP="00DA0EFC">
            <w:pPr>
              <w:pStyle w:val="NoSpacing"/>
              <w:jc w:val="center"/>
              <w:rPr>
                <w:rFonts w:cs="Arial"/>
                <w:sz w:val="20"/>
              </w:rPr>
            </w:pPr>
          </w:p>
          <w:p w14:paraId="77AD27FE" w14:textId="0212ABFE" w:rsidR="00F437F0" w:rsidRPr="00303312" w:rsidRDefault="00773A99" w:rsidP="008906F3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303312">
              <w:rPr>
                <w:rFonts w:cs="Arial"/>
                <w:sz w:val="22"/>
                <w:szCs w:val="22"/>
              </w:rPr>
              <w:t>A logon screen will appear</w:t>
            </w:r>
            <w:r w:rsidR="00424A28" w:rsidRPr="00303312">
              <w:rPr>
                <w:rFonts w:cs="Arial"/>
                <w:sz w:val="22"/>
                <w:szCs w:val="22"/>
              </w:rPr>
              <w:t>.</w:t>
            </w:r>
            <w:r w:rsidR="00F437F0" w:rsidRPr="00303312">
              <w:rPr>
                <w:rFonts w:cs="Arial"/>
                <w:sz w:val="22"/>
                <w:szCs w:val="22"/>
              </w:rPr>
              <w:t xml:space="preserve">  Click the “Logon” button.</w:t>
            </w:r>
          </w:p>
          <w:p w14:paraId="744DDE48" w14:textId="687932DB" w:rsidR="00F437F0" w:rsidRDefault="00F437F0" w:rsidP="00F437F0">
            <w:pPr>
              <w:pStyle w:val="NoSpacing"/>
              <w:jc w:val="center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CA0ED74" wp14:editId="14C23237">
                  <wp:extent cx="838200" cy="4286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9A94A" w14:textId="0BC15BA9" w:rsidR="00F437F0" w:rsidRDefault="00F437F0" w:rsidP="00F437F0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6B6E39BC" w14:textId="4E2D1D4D" w:rsidR="00424A28" w:rsidRPr="00AD08C2" w:rsidRDefault="00424A28" w:rsidP="00424A28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AD08C2">
              <w:rPr>
                <w:rFonts w:cs="Arial"/>
                <w:sz w:val="22"/>
                <w:szCs w:val="22"/>
              </w:rPr>
              <w:t>Click the “Documents” tab at the top of the screen.</w:t>
            </w:r>
          </w:p>
          <w:p w14:paraId="33C9E29F" w14:textId="77777777" w:rsidR="00424A28" w:rsidRDefault="00424A28" w:rsidP="00424A28">
            <w:pPr>
              <w:pStyle w:val="NoSpacing"/>
              <w:ind w:left="720"/>
              <w:rPr>
                <w:rFonts w:cs="Arial"/>
                <w:sz w:val="20"/>
              </w:rPr>
            </w:pPr>
          </w:p>
          <w:p w14:paraId="5F03152B" w14:textId="65EBFBEA" w:rsidR="00424A28" w:rsidRDefault="00424A28" w:rsidP="00424A28">
            <w:pPr>
              <w:pStyle w:val="NoSpacing"/>
              <w:jc w:val="center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710E198" wp14:editId="6688269A">
                  <wp:extent cx="1936474" cy="1066800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792" cy="1069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C3DD0" w14:textId="77777777" w:rsidR="00AD08C2" w:rsidRDefault="00AD08C2" w:rsidP="00424A28">
            <w:pPr>
              <w:pStyle w:val="NoSpacing"/>
              <w:jc w:val="center"/>
              <w:rPr>
                <w:rFonts w:cs="Arial"/>
                <w:sz w:val="20"/>
              </w:rPr>
            </w:pPr>
          </w:p>
          <w:p w14:paraId="5367E8B7" w14:textId="768EC106" w:rsidR="00424A28" w:rsidRPr="00AD08C2" w:rsidRDefault="00424A28" w:rsidP="00424A28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AD08C2">
              <w:rPr>
                <w:rFonts w:cs="Arial"/>
                <w:sz w:val="22"/>
                <w:szCs w:val="22"/>
              </w:rPr>
              <w:t xml:space="preserve">Click </w:t>
            </w:r>
            <w:r w:rsidR="00C67ADB">
              <w:rPr>
                <w:rFonts w:cs="Arial"/>
                <w:sz w:val="22"/>
                <w:szCs w:val="22"/>
              </w:rPr>
              <w:t xml:space="preserve">the </w:t>
            </w:r>
            <w:r w:rsidRPr="00AD08C2">
              <w:rPr>
                <w:rFonts w:cs="Arial"/>
                <w:sz w:val="22"/>
                <w:szCs w:val="22"/>
              </w:rPr>
              <w:t xml:space="preserve">“Folders” </w:t>
            </w:r>
            <w:r w:rsidR="00C67ADB">
              <w:rPr>
                <w:rFonts w:cs="Arial"/>
                <w:sz w:val="22"/>
                <w:szCs w:val="22"/>
              </w:rPr>
              <w:t xml:space="preserve">option </w:t>
            </w:r>
            <w:r w:rsidRPr="00AD08C2">
              <w:rPr>
                <w:rFonts w:cs="Arial"/>
                <w:sz w:val="22"/>
                <w:szCs w:val="22"/>
              </w:rPr>
              <w:t>at the bottom of the screen.</w:t>
            </w:r>
          </w:p>
          <w:p w14:paraId="5295A8D3" w14:textId="43FBB540" w:rsidR="00424A28" w:rsidRDefault="00424A28" w:rsidP="00424A28">
            <w:pPr>
              <w:pStyle w:val="NoSpacing"/>
              <w:jc w:val="center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F24BD25" wp14:editId="4F79031E">
                  <wp:extent cx="1343025" cy="8572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53E9B" w14:textId="7E2F47A9" w:rsidR="00424A28" w:rsidRDefault="00424A28" w:rsidP="00424A28">
            <w:pPr>
              <w:pStyle w:val="NoSpacing"/>
              <w:rPr>
                <w:rFonts w:cs="Arial"/>
                <w:sz w:val="20"/>
              </w:rPr>
            </w:pPr>
          </w:p>
          <w:p w14:paraId="4DC0443A" w14:textId="5352C126" w:rsidR="008F46E6" w:rsidRPr="00303312" w:rsidRDefault="008F46E6" w:rsidP="008F46E6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AD08C2">
              <w:rPr>
                <w:rFonts w:cs="Arial"/>
                <w:sz w:val="22"/>
                <w:szCs w:val="22"/>
              </w:rPr>
              <w:t>A list of folders will appear.  Double click on “BMC Analytics for BSM”.</w:t>
            </w:r>
          </w:p>
          <w:p w14:paraId="0D5C216C" w14:textId="6FCBFA8F" w:rsidR="008F46E6" w:rsidRDefault="008F46E6" w:rsidP="008F46E6">
            <w:pPr>
              <w:pStyle w:val="NoSpacing"/>
              <w:jc w:val="center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B602D0F" wp14:editId="63AD7DE6">
                  <wp:extent cx="2266950" cy="14097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842D8" w14:textId="1A44529C" w:rsidR="008F46E6" w:rsidRDefault="008F46E6" w:rsidP="008F46E6">
            <w:pPr>
              <w:pStyle w:val="NoSpacing"/>
              <w:jc w:val="center"/>
              <w:rPr>
                <w:rFonts w:cs="Arial"/>
                <w:sz w:val="20"/>
              </w:rPr>
            </w:pPr>
          </w:p>
          <w:p w14:paraId="3E1571F8" w14:textId="53BBE542" w:rsidR="008F46E6" w:rsidRPr="00303312" w:rsidRDefault="008F46E6" w:rsidP="00FA32E0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303312">
              <w:rPr>
                <w:rFonts w:cs="Arial"/>
                <w:sz w:val="22"/>
                <w:szCs w:val="22"/>
              </w:rPr>
              <w:t>A second set of folders will appear. Double click on “SLM Custom Report”.</w:t>
            </w:r>
          </w:p>
          <w:p w14:paraId="75F6589E" w14:textId="592BB75F" w:rsidR="008F46E6" w:rsidRPr="00AD08C2" w:rsidRDefault="008F46E6" w:rsidP="008F46E6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7D26A547" w14:textId="5B78D469" w:rsidR="008F46E6" w:rsidRPr="00AD08C2" w:rsidRDefault="008F46E6" w:rsidP="008F46E6">
            <w:pPr>
              <w:pStyle w:val="NoSpacing"/>
              <w:jc w:val="center"/>
              <w:rPr>
                <w:rFonts w:cs="Arial"/>
                <w:sz w:val="22"/>
                <w:szCs w:val="22"/>
              </w:rPr>
            </w:pPr>
            <w:r w:rsidRPr="00AD08C2">
              <w:rPr>
                <w:noProof/>
                <w:sz w:val="22"/>
                <w:szCs w:val="22"/>
              </w:rPr>
              <w:drawing>
                <wp:inline distT="0" distB="0" distL="0" distR="0" wp14:anchorId="69DBA974" wp14:editId="2B00A3D4">
                  <wp:extent cx="2009775" cy="7810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99B55" w14:textId="076D47A8" w:rsidR="008F46E6" w:rsidRPr="00AD08C2" w:rsidRDefault="008F46E6" w:rsidP="008F46E6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2C1B106F" w14:textId="3A057FD3" w:rsidR="008F46E6" w:rsidRPr="00303312" w:rsidRDefault="008F46E6" w:rsidP="00FB4A9D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0"/>
              </w:rPr>
            </w:pPr>
            <w:r w:rsidRPr="00303312">
              <w:rPr>
                <w:rFonts w:cs="Arial"/>
                <w:sz w:val="22"/>
                <w:szCs w:val="22"/>
              </w:rPr>
              <w:t>A list of reports will appear. Double click on “</w:t>
            </w:r>
            <w:r w:rsidR="009E4E57" w:rsidRPr="00303312">
              <w:rPr>
                <w:rFonts w:cs="Arial"/>
                <w:sz w:val="22"/>
                <w:szCs w:val="22"/>
              </w:rPr>
              <w:t>Green and Red Report</w:t>
            </w:r>
            <w:r w:rsidRPr="00303312">
              <w:rPr>
                <w:rFonts w:cs="Arial"/>
                <w:sz w:val="22"/>
                <w:szCs w:val="22"/>
              </w:rPr>
              <w:t>”.</w:t>
            </w:r>
          </w:p>
          <w:p w14:paraId="59065F14" w14:textId="7B00455D" w:rsidR="008F46E6" w:rsidRDefault="008F46E6" w:rsidP="008F46E6">
            <w:pPr>
              <w:pStyle w:val="NoSpacing"/>
              <w:jc w:val="center"/>
              <w:rPr>
                <w:rFonts w:cs="Arial"/>
                <w:sz w:val="20"/>
              </w:rPr>
            </w:pPr>
          </w:p>
          <w:p w14:paraId="7E11A89F" w14:textId="77777777" w:rsidR="003F7AF6" w:rsidRDefault="009E4E57" w:rsidP="009E4E57">
            <w:pPr>
              <w:pStyle w:val="NoSpacing"/>
              <w:jc w:val="center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8E981C7" wp14:editId="11249D4A">
                  <wp:extent cx="3067050" cy="16573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B1D4B" w14:textId="1AB112FB" w:rsidR="00AD08C2" w:rsidRPr="00316018" w:rsidRDefault="00AD08C2" w:rsidP="00AD08C2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316018">
              <w:rPr>
                <w:rFonts w:cs="Arial"/>
                <w:sz w:val="22"/>
                <w:szCs w:val="22"/>
              </w:rPr>
              <w:t>The last version of the report that was saved will appear.</w:t>
            </w:r>
          </w:p>
          <w:p w14:paraId="1631EBBF" w14:textId="77777777" w:rsidR="00AD08C2" w:rsidRDefault="00AD08C2" w:rsidP="00AD08C2">
            <w:pPr>
              <w:pStyle w:val="NoSpacing"/>
              <w:ind w:left="720"/>
              <w:rPr>
                <w:rFonts w:cs="Arial"/>
                <w:sz w:val="20"/>
              </w:rPr>
            </w:pPr>
          </w:p>
          <w:p w14:paraId="0C776B3E" w14:textId="3DE4B07B" w:rsidR="00AD08C2" w:rsidRDefault="00AD08C2" w:rsidP="00AD08C2">
            <w:pPr>
              <w:pStyle w:val="NoSpacing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953220C" wp14:editId="68424302">
                  <wp:extent cx="6028047" cy="8572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221" cy="86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ED710" w14:textId="34BB0F6A" w:rsidR="00AD08C2" w:rsidRPr="00314D68" w:rsidRDefault="00AD08C2" w:rsidP="009E4E57">
            <w:pPr>
              <w:pStyle w:val="NoSpacing"/>
              <w:jc w:val="center"/>
              <w:rPr>
                <w:rFonts w:cs="Arial"/>
                <w:sz w:val="20"/>
              </w:rPr>
            </w:pPr>
          </w:p>
        </w:tc>
      </w:tr>
      <w:tr w:rsidR="00F04363" w:rsidRPr="006108A0" w14:paraId="4A8F5F6F" w14:textId="77777777" w:rsidTr="00DC64B3"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52D45C1B" w:rsidR="00F04363" w:rsidRPr="006108A0" w:rsidRDefault="00340441" w:rsidP="00F04363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2</w:t>
            </w:r>
          </w:p>
        </w:tc>
        <w:tc>
          <w:tcPr>
            <w:tcW w:w="4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AFAF7D" w14:textId="177C943B" w:rsidR="00F04363" w:rsidRDefault="00F04363" w:rsidP="00F04363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2727A9">
              <w:rPr>
                <w:rFonts w:ascii="Arial" w:hAnsi="Arial" w:cs="Arial"/>
                <w:b/>
                <w:sz w:val="22"/>
                <w:szCs w:val="22"/>
              </w:rPr>
              <w:t>Run the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C6F85">
              <w:rPr>
                <w:rFonts w:ascii="Arial" w:hAnsi="Arial" w:cs="Arial"/>
                <w:b/>
                <w:sz w:val="22"/>
                <w:szCs w:val="22"/>
              </w:rPr>
              <w:t>KPI</w:t>
            </w:r>
            <w:r w:rsidRPr="002727A9">
              <w:rPr>
                <w:rFonts w:ascii="Arial" w:hAnsi="Arial" w:cs="Arial"/>
                <w:b/>
                <w:sz w:val="22"/>
                <w:szCs w:val="22"/>
              </w:rPr>
              <w:t xml:space="preserve"> Report</w:t>
            </w:r>
          </w:p>
          <w:p w14:paraId="5A9479DE" w14:textId="77777777" w:rsidR="00F04363" w:rsidRPr="00C72088" w:rsidRDefault="00F04363" w:rsidP="00F04363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722FE53B" w14:textId="77777777" w:rsidR="00F04363" w:rsidRPr="00FF1510" w:rsidRDefault="00F04363" w:rsidP="00F04363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 w:rsidRPr="00FF1510">
              <w:rPr>
                <w:rFonts w:ascii="Arial" w:hAnsi="Arial" w:cs="Arial"/>
                <w:sz w:val="22"/>
                <w:szCs w:val="22"/>
              </w:rPr>
              <w:t>Click the “Refresh” button</w:t>
            </w:r>
          </w:p>
          <w:p w14:paraId="3279EDBD" w14:textId="77777777" w:rsidR="00F04363" w:rsidRDefault="00F04363" w:rsidP="00F04363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4750C81" wp14:editId="396D7799">
                  <wp:extent cx="1530937" cy="885825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937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23551" w14:textId="77777777" w:rsidR="00F04363" w:rsidRDefault="00F04363" w:rsidP="00F04363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</w:p>
          <w:p w14:paraId="4BA345FD" w14:textId="5EF0D72F" w:rsidR="00F04363" w:rsidRPr="00303312" w:rsidRDefault="00F04363" w:rsidP="00863140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303312">
              <w:rPr>
                <w:rFonts w:ascii="Arial" w:hAnsi="Arial" w:cs="Arial"/>
                <w:sz w:val="22"/>
                <w:szCs w:val="22"/>
              </w:rPr>
              <w:t>A refresh box will appear on the screen for a few seconds.</w:t>
            </w:r>
          </w:p>
          <w:p w14:paraId="51C0EB4D" w14:textId="77777777" w:rsidR="00F04363" w:rsidRPr="00E05067" w:rsidRDefault="00F04363" w:rsidP="00F04363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791EE0B" wp14:editId="7465DE14">
                  <wp:extent cx="2085975" cy="155005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55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FD47E" w14:textId="77777777" w:rsidR="00F04363" w:rsidRPr="00E05067" w:rsidRDefault="00F04363" w:rsidP="00F04363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0757D8B8" w14:textId="6D0072C5" w:rsidR="00F04363" w:rsidRDefault="00F04363" w:rsidP="00F04363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E05067">
              <w:rPr>
                <w:rFonts w:ascii="Arial" w:hAnsi="Arial" w:cs="Arial"/>
                <w:sz w:val="22"/>
                <w:szCs w:val="22"/>
              </w:rPr>
              <w:t>A prompt screen w</w:t>
            </w:r>
            <w:r w:rsidR="00C67A0D">
              <w:rPr>
                <w:rFonts w:ascii="Arial" w:hAnsi="Arial" w:cs="Arial"/>
                <w:sz w:val="22"/>
                <w:szCs w:val="22"/>
              </w:rPr>
              <w:t xml:space="preserve">ill appear. </w:t>
            </w:r>
          </w:p>
          <w:p w14:paraId="453FE7AD" w14:textId="745F29A8" w:rsidR="00AE405B" w:rsidRDefault="00AE405B" w:rsidP="00AE405B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a new Business Unit or Service needs to be added to the report, see the </w:t>
            </w:r>
            <w:r w:rsidRPr="00AE405B">
              <w:rPr>
                <w:rFonts w:ascii="Arial" w:hAnsi="Arial" w:cs="Arial"/>
                <w:b/>
                <w:i/>
                <w:sz w:val="22"/>
                <w:szCs w:val="22"/>
              </w:rPr>
              <w:t>SLM Add New Servi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c</w:t>
            </w:r>
            <w:r w:rsidRPr="00AE405B">
              <w:rPr>
                <w:rFonts w:ascii="Arial" w:hAnsi="Arial" w:cs="Arial"/>
                <w:b/>
                <w:i/>
                <w:sz w:val="22"/>
                <w:szCs w:val="22"/>
              </w:rPr>
              <w:t>e to</w:t>
            </w:r>
            <w:r w:rsidR="00CC2ECD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the Monthly KPI</w:t>
            </w:r>
            <w:r w:rsidRPr="00AE405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Report Procedure </w:t>
            </w:r>
            <w:r>
              <w:rPr>
                <w:rFonts w:ascii="Arial" w:hAnsi="Arial" w:cs="Arial"/>
                <w:sz w:val="22"/>
                <w:szCs w:val="22"/>
              </w:rPr>
              <w:t>for more information.  Using that procedure will also show how to run the report for only a specific Business Unit or Service if necessary.</w:t>
            </w:r>
          </w:p>
          <w:p w14:paraId="501849F6" w14:textId="6FB85EE0" w:rsidR="001954E6" w:rsidRDefault="001954E6" w:rsidP="001954E6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2549E719" w14:textId="746A92B7" w:rsidR="00F04363" w:rsidRPr="00303312" w:rsidRDefault="00F04363" w:rsidP="00901D5C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 w:rsidRPr="00303312">
              <w:rPr>
                <w:rFonts w:ascii="Arial" w:hAnsi="Arial" w:cs="Arial"/>
                <w:sz w:val="22"/>
                <w:szCs w:val="22"/>
              </w:rPr>
              <w:t>Click the “OK” button.</w:t>
            </w:r>
          </w:p>
          <w:p w14:paraId="1F33626E" w14:textId="77777777" w:rsidR="00F04363" w:rsidRDefault="00F04363" w:rsidP="00F04363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F8FEB69" wp14:editId="1F46D8D0">
                  <wp:extent cx="1104900" cy="5429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3E038" w14:textId="77777777" w:rsidR="00F04363" w:rsidRPr="004D46FE" w:rsidRDefault="00F04363" w:rsidP="00F04363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A832493" w14:textId="721FB838" w:rsidR="00F04363" w:rsidRPr="00303312" w:rsidRDefault="00F04363" w:rsidP="00762D6E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303312">
              <w:rPr>
                <w:rFonts w:ascii="Arial" w:hAnsi="Arial" w:cs="Arial"/>
                <w:sz w:val="22"/>
                <w:szCs w:val="22"/>
              </w:rPr>
              <w:t>An updated report will appear.</w:t>
            </w:r>
          </w:p>
          <w:p w14:paraId="436B2540" w14:textId="605AFDD9" w:rsidR="00F04363" w:rsidRPr="00303312" w:rsidRDefault="00F04363" w:rsidP="001817D1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 w:rsidRPr="00303312">
              <w:rPr>
                <w:rFonts w:ascii="Arial" w:hAnsi="Arial" w:cs="Arial"/>
                <w:sz w:val="22"/>
                <w:szCs w:val="22"/>
              </w:rPr>
              <w:t>To save the prompt settings, click the “Save” icon at the top of the screen.</w:t>
            </w:r>
          </w:p>
          <w:p w14:paraId="6548CD52" w14:textId="77777777" w:rsidR="00F04363" w:rsidRDefault="00F04363" w:rsidP="00910324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BF869D8" wp14:editId="04016BD9">
                  <wp:extent cx="1457325" cy="101917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A2F8F" w14:textId="3AAFF418" w:rsidR="004556F4" w:rsidRPr="00314D68" w:rsidRDefault="004556F4" w:rsidP="004556F4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4556F4" w:rsidRPr="006108A0" w14:paraId="496FE6AC" w14:textId="77777777" w:rsidTr="00DC64B3"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B4B7B8" w14:textId="2B6B1791" w:rsidR="004556F4" w:rsidRDefault="000D57E9" w:rsidP="00F04363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8482E" w14:textId="77777777" w:rsidR="004556F4" w:rsidRDefault="004556F4" w:rsidP="00F04363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4556F4">
              <w:rPr>
                <w:rFonts w:ascii="Arial" w:hAnsi="Arial" w:cs="Arial"/>
                <w:sz w:val="22"/>
                <w:szCs w:val="22"/>
              </w:rPr>
              <w:t>The repor</w:t>
            </w:r>
            <w:r>
              <w:rPr>
                <w:rFonts w:ascii="Arial" w:hAnsi="Arial" w:cs="Arial"/>
                <w:sz w:val="22"/>
                <w:szCs w:val="22"/>
              </w:rPr>
              <w:t>t can be saved to a drive as a PDF, Excel, CSV, or test fie.</w:t>
            </w:r>
          </w:p>
          <w:p w14:paraId="7FBC7087" w14:textId="77777777" w:rsidR="005B5F1F" w:rsidRDefault="005B5F1F" w:rsidP="00F04363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71E5AD36" w14:textId="6347243B" w:rsidR="005B5F1F" w:rsidRPr="00303312" w:rsidRDefault="005B5F1F" w:rsidP="000B5FBB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 w:rsidRPr="00303312">
              <w:rPr>
                <w:rFonts w:ascii="Arial" w:hAnsi="Arial" w:cs="Arial"/>
                <w:sz w:val="22"/>
                <w:szCs w:val="22"/>
              </w:rPr>
              <w:t>Click the “Export” icon at the top of the screen.</w:t>
            </w:r>
          </w:p>
          <w:p w14:paraId="22C59DD0" w14:textId="31B1228B" w:rsidR="005B5F1F" w:rsidRPr="00303312" w:rsidRDefault="005B5F1F" w:rsidP="00150382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 w:rsidRPr="00303312">
              <w:rPr>
                <w:rFonts w:ascii="Arial" w:hAnsi="Arial" w:cs="Arial"/>
                <w:sz w:val="22"/>
                <w:szCs w:val="22"/>
              </w:rPr>
              <w:t>Select “Export Document As”.</w:t>
            </w:r>
          </w:p>
          <w:p w14:paraId="59402A4E" w14:textId="7436DB01" w:rsidR="005B5F1F" w:rsidRDefault="005B5F1F" w:rsidP="005B5F1F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r w:rsidR="00A4258B">
              <w:rPr>
                <w:rFonts w:ascii="Arial" w:hAnsi="Arial" w:cs="Arial"/>
                <w:sz w:val="22"/>
                <w:szCs w:val="22"/>
              </w:rPr>
              <w:t>“PDF”.</w:t>
            </w:r>
          </w:p>
          <w:p w14:paraId="786AFC89" w14:textId="77777777" w:rsidR="005B5F1F" w:rsidRDefault="005B5F1F" w:rsidP="005B5F1F">
            <w:pPr>
              <w:pStyle w:val="ListParagraph"/>
              <w:rPr>
                <w:rFonts w:cs="Arial"/>
                <w:sz w:val="22"/>
                <w:szCs w:val="22"/>
              </w:rPr>
            </w:pPr>
          </w:p>
          <w:p w14:paraId="04B6F950" w14:textId="77777777" w:rsidR="005B5F1F" w:rsidRDefault="005B5F1F" w:rsidP="005B5F1F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E15D430" wp14:editId="1E16227F">
                  <wp:extent cx="5057775" cy="1754357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58" cy="1757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95F5E" w14:textId="77777777" w:rsidR="005B5F1F" w:rsidRDefault="005B5F1F" w:rsidP="005B5F1F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F8A334C" w14:textId="6BF2C453" w:rsidR="005B5F1F" w:rsidRPr="00303312" w:rsidRDefault="005B5F1F" w:rsidP="00B63866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 w:rsidRPr="00303312">
              <w:rPr>
                <w:rFonts w:ascii="Arial" w:hAnsi="Arial" w:cs="Arial"/>
                <w:sz w:val="22"/>
                <w:szCs w:val="22"/>
              </w:rPr>
              <w:t>Select “Save File”</w:t>
            </w:r>
          </w:p>
          <w:p w14:paraId="22ED32C6" w14:textId="77777777" w:rsidR="005B5F1F" w:rsidRDefault="005B5F1F" w:rsidP="005B5F1F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the “OK” button.</w:t>
            </w:r>
          </w:p>
          <w:p w14:paraId="53748AC4" w14:textId="77777777" w:rsidR="005B5F1F" w:rsidRDefault="005B5F1F" w:rsidP="005B5F1F">
            <w:pPr>
              <w:pStyle w:val="ListParagraph"/>
              <w:rPr>
                <w:rFonts w:cs="Arial"/>
                <w:sz w:val="22"/>
                <w:szCs w:val="22"/>
              </w:rPr>
            </w:pPr>
          </w:p>
          <w:p w14:paraId="14CF173A" w14:textId="77777777" w:rsidR="005B5F1F" w:rsidRDefault="005B5F1F" w:rsidP="005B5F1F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E0B1748" wp14:editId="005FD9DC">
                  <wp:extent cx="3657600" cy="2793394"/>
                  <wp:effectExtent l="0" t="0" r="0" b="698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643" cy="2795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B77CD" w14:textId="77777777" w:rsidR="005B5F1F" w:rsidRDefault="005B5F1F" w:rsidP="005B5F1F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3FA7227B" w14:textId="77777777" w:rsidR="005B5F1F" w:rsidRDefault="005B5F1F" w:rsidP="005B5F1F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to the desired destination.</w:t>
            </w:r>
          </w:p>
          <w:p w14:paraId="3FF8DE2B" w14:textId="1D50CBCC" w:rsidR="00347FEC" w:rsidRPr="005B5F1F" w:rsidRDefault="00347FEC" w:rsidP="00347FEC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0754" w:rsidRPr="006108A0" w14:paraId="0EC6DC9C" w14:textId="77777777" w:rsidTr="00DC64B3"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691D82" w14:textId="795D288E" w:rsidR="00A90754" w:rsidRDefault="00A90754" w:rsidP="00F04363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022BA8" w14:textId="005C45E5" w:rsidR="004F6BC1" w:rsidRPr="004F6BC1" w:rsidRDefault="004F6BC1" w:rsidP="004F6BC1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4F6BC1">
              <w:rPr>
                <w:rFonts w:cs="Arial"/>
                <w:b/>
                <w:sz w:val="22"/>
                <w:szCs w:val="22"/>
              </w:rPr>
              <w:t xml:space="preserve">Review the </w:t>
            </w:r>
            <w:r w:rsidR="00184518">
              <w:rPr>
                <w:rFonts w:cs="Arial"/>
                <w:b/>
                <w:sz w:val="22"/>
                <w:szCs w:val="22"/>
              </w:rPr>
              <w:t>Monthly KPI Report</w:t>
            </w:r>
          </w:p>
          <w:p w14:paraId="26BFB8B4" w14:textId="77777777" w:rsidR="004F6BC1" w:rsidRDefault="004F6BC1" w:rsidP="004F6BC1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70ACD22A" w14:textId="34406F82" w:rsidR="004F6BC1" w:rsidRDefault="004F6BC1" w:rsidP="004F6BC1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 </w:t>
            </w:r>
            <w:r w:rsidR="00184518">
              <w:rPr>
                <w:rFonts w:cs="Arial"/>
                <w:sz w:val="22"/>
                <w:szCs w:val="22"/>
              </w:rPr>
              <w:t>Monthly KPI Report</w:t>
            </w:r>
            <w:r>
              <w:rPr>
                <w:rFonts w:cs="Arial"/>
                <w:sz w:val="22"/>
                <w:szCs w:val="22"/>
              </w:rPr>
              <w:t xml:space="preserve"> is separated by Tier 1 and Tier 2 services.  Each page contains the following columns:</w:t>
            </w:r>
          </w:p>
          <w:p w14:paraId="3107849A" w14:textId="77777777" w:rsidR="004F6BC1" w:rsidRDefault="004F6BC1" w:rsidP="004F6BC1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0876DECA" w14:textId="77777777" w:rsidR="004F6BC1" w:rsidRDefault="004F6BC1" w:rsidP="004F6BC1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2"/>
                <w:szCs w:val="22"/>
              </w:rPr>
            </w:pPr>
            <w:r w:rsidRPr="005F34BA">
              <w:rPr>
                <w:rFonts w:cs="Arial"/>
                <w:b/>
                <w:sz w:val="22"/>
                <w:szCs w:val="22"/>
              </w:rPr>
              <w:t>Application</w:t>
            </w:r>
            <w:r>
              <w:rPr>
                <w:rFonts w:cs="Arial"/>
                <w:sz w:val="22"/>
                <w:szCs w:val="22"/>
              </w:rPr>
              <w:t xml:space="preserve"> – contains the service name.</w:t>
            </w:r>
          </w:p>
          <w:p w14:paraId="534DB2DD" w14:textId="18442D73" w:rsidR="004F6BC1" w:rsidRDefault="004F6BC1" w:rsidP="004F6BC1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2"/>
                <w:szCs w:val="22"/>
              </w:rPr>
            </w:pPr>
            <w:r w:rsidRPr="005F34BA">
              <w:rPr>
                <w:rFonts w:cs="Arial"/>
                <w:b/>
                <w:sz w:val="22"/>
                <w:szCs w:val="22"/>
              </w:rPr>
              <w:t>Service Target</w:t>
            </w:r>
            <w:r>
              <w:rPr>
                <w:rFonts w:cs="Arial"/>
                <w:sz w:val="22"/>
                <w:szCs w:val="22"/>
              </w:rPr>
              <w:t xml:space="preserve"> – contains the </w:t>
            </w:r>
            <w:r w:rsidR="00C73B68">
              <w:rPr>
                <w:rFonts w:cs="Arial"/>
                <w:sz w:val="22"/>
                <w:szCs w:val="22"/>
              </w:rPr>
              <w:t>compliance target</w:t>
            </w:r>
            <w:r>
              <w:rPr>
                <w:rFonts w:cs="Arial"/>
                <w:sz w:val="22"/>
                <w:szCs w:val="22"/>
              </w:rPr>
              <w:t xml:space="preserve"> percentage for the month.</w:t>
            </w:r>
          </w:p>
          <w:p w14:paraId="66D3AD10" w14:textId="50519C35" w:rsidR="004F6BC1" w:rsidRPr="00F967CB" w:rsidRDefault="004F6BC1" w:rsidP="004F6BC1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0"/>
              </w:rPr>
            </w:pPr>
            <w:r w:rsidRPr="005F34BA">
              <w:rPr>
                <w:rFonts w:cs="Arial"/>
                <w:b/>
                <w:sz w:val="22"/>
                <w:szCs w:val="22"/>
              </w:rPr>
              <w:t>Months</w:t>
            </w:r>
            <w:r w:rsidRPr="005F34BA">
              <w:rPr>
                <w:rFonts w:cs="Arial"/>
                <w:sz w:val="22"/>
                <w:szCs w:val="22"/>
              </w:rPr>
              <w:t xml:space="preserve"> – Each month shows the “Percentage of SLA Met” for each service, as found on the SL</w:t>
            </w:r>
            <w:r w:rsidR="00FE5588">
              <w:rPr>
                <w:rFonts w:cs="Arial"/>
                <w:sz w:val="22"/>
                <w:szCs w:val="22"/>
              </w:rPr>
              <w:t>M</w:t>
            </w:r>
            <w:r w:rsidRPr="005F34BA">
              <w:rPr>
                <w:rFonts w:cs="Arial"/>
                <w:sz w:val="22"/>
                <w:szCs w:val="22"/>
              </w:rPr>
              <w:t xml:space="preserve"> Report, for the first date of the month to the last date of the month.  Thirteen months will appear on the report in a descending order.</w:t>
            </w:r>
          </w:p>
          <w:p w14:paraId="61A3246A" w14:textId="77777777" w:rsidR="004F6BC1" w:rsidRPr="005F34BA" w:rsidRDefault="004F6BC1" w:rsidP="004F6BC1">
            <w:pPr>
              <w:pStyle w:val="NoSpacing"/>
              <w:ind w:left="720"/>
              <w:rPr>
                <w:rFonts w:cs="Arial"/>
                <w:sz w:val="20"/>
              </w:rPr>
            </w:pPr>
          </w:p>
          <w:p w14:paraId="77CDA25D" w14:textId="7AD6941F" w:rsidR="004F6BC1" w:rsidRDefault="004F6BC1" w:rsidP="004F6BC1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5115EB2" wp14:editId="166AB4F9">
                  <wp:extent cx="5447198" cy="1223645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753" cy="123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82A7D" w14:textId="77777777" w:rsidR="00A90754" w:rsidRDefault="00A90754" w:rsidP="00F04363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2E685F2E" w14:textId="065BE8C3" w:rsidR="004F6BC1" w:rsidRDefault="004F6BC1" w:rsidP="004F6BC1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following is a breakdown of each component of the </w:t>
            </w:r>
            <w:r w:rsidR="00184518">
              <w:rPr>
                <w:rFonts w:ascii="Arial" w:hAnsi="Arial" w:cs="Arial"/>
                <w:sz w:val="22"/>
                <w:szCs w:val="22"/>
              </w:rPr>
              <w:t>Monthly KPI Report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751823F3" w14:textId="77777777" w:rsidR="004F6BC1" w:rsidRDefault="004F6BC1" w:rsidP="004F6BC1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3A2822FB" w14:textId="77777777" w:rsidR="004F6BC1" w:rsidRPr="00F967CB" w:rsidRDefault="004F6BC1" w:rsidP="004F6BC1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2"/>
                <w:szCs w:val="22"/>
              </w:rPr>
            </w:pPr>
            <w:r w:rsidRPr="00F967CB">
              <w:rPr>
                <w:rFonts w:ascii="Arial" w:hAnsi="Arial" w:cs="Arial"/>
                <w:b/>
                <w:sz w:val="22"/>
                <w:szCs w:val="22"/>
              </w:rPr>
              <w:t>Header</w:t>
            </w:r>
            <w:r>
              <w:rPr>
                <w:rFonts w:ascii="Arial" w:hAnsi="Arial" w:cs="Arial"/>
                <w:sz w:val="22"/>
                <w:szCs w:val="22"/>
              </w:rPr>
              <w:t xml:space="preserve"> – The header on</w:t>
            </w:r>
            <w:r w:rsidRPr="00F967CB">
              <w:rPr>
                <w:rFonts w:ascii="Arial" w:hAnsi="Arial" w:cs="Arial"/>
                <w:sz w:val="22"/>
                <w:szCs w:val="22"/>
              </w:rPr>
              <w:t xml:space="preserve"> each page indicates the Service Tier.</w:t>
            </w:r>
          </w:p>
          <w:p w14:paraId="30D2BAD8" w14:textId="77777777" w:rsidR="004F6BC1" w:rsidRDefault="004F6BC1" w:rsidP="004F6BC1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1F56CB22" w14:textId="77777777" w:rsidR="004F6BC1" w:rsidRDefault="004F6BC1" w:rsidP="004F6BC1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7ADCC4C" wp14:editId="118361B2">
                  <wp:extent cx="3506502" cy="8667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733" cy="87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BA8F2" w14:textId="77777777" w:rsidR="004F6BC1" w:rsidRDefault="004F6BC1" w:rsidP="004F6BC1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D4D44B3" w14:textId="77777777" w:rsidR="004F6BC1" w:rsidRDefault="004F6BC1" w:rsidP="004F6BC1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5851595F" w14:textId="77777777" w:rsidR="004F6BC1" w:rsidRDefault="004F6BC1" w:rsidP="004F6BC1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2"/>
                <w:szCs w:val="22"/>
              </w:rPr>
            </w:pPr>
            <w:r w:rsidRPr="00147DFE">
              <w:rPr>
                <w:rFonts w:ascii="Arial" w:hAnsi="Arial" w:cs="Arial"/>
                <w:b/>
                <w:sz w:val="22"/>
                <w:szCs w:val="22"/>
              </w:rPr>
              <w:t>Application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– The service name that is being reported on.</w:t>
            </w:r>
          </w:p>
          <w:p w14:paraId="43DE8341" w14:textId="77777777" w:rsidR="004F6BC1" w:rsidRDefault="004F6BC1" w:rsidP="004F6BC1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4A5E241D" w14:textId="77777777" w:rsidR="004F6BC1" w:rsidRDefault="004F6BC1" w:rsidP="004F6BC1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8479438" wp14:editId="6D0E2F23">
                  <wp:extent cx="2667000" cy="9810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C3BAA" w14:textId="77777777" w:rsidR="004F6BC1" w:rsidRDefault="004F6BC1" w:rsidP="004F6BC1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50C787E2" w14:textId="36FC31CB" w:rsidR="004F6BC1" w:rsidRPr="00303312" w:rsidRDefault="004F6BC1" w:rsidP="00DA18CD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2"/>
                <w:szCs w:val="22"/>
              </w:rPr>
            </w:pPr>
            <w:r w:rsidRPr="00303312">
              <w:rPr>
                <w:rFonts w:ascii="Arial" w:hAnsi="Arial" w:cs="Arial"/>
                <w:b/>
                <w:sz w:val="22"/>
                <w:szCs w:val="22"/>
              </w:rPr>
              <w:t>SLA Target</w:t>
            </w:r>
            <w:r w:rsidRPr="00303312">
              <w:rPr>
                <w:rFonts w:ascii="Arial" w:hAnsi="Arial" w:cs="Arial"/>
                <w:sz w:val="22"/>
                <w:szCs w:val="22"/>
              </w:rPr>
              <w:t xml:space="preserve"> – This is the compliance target percentage of availability expected for each service.  </w:t>
            </w:r>
          </w:p>
          <w:p w14:paraId="11B4CE7C" w14:textId="77777777" w:rsidR="004F6BC1" w:rsidRDefault="004F6BC1" w:rsidP="004F6BC1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 w:rsidRPr="00147DFE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147DFE">
              <w:rPr>
                <w:rFonts w:ascii="Arial" w:hAnsi="Arial" w:cs="Arial"/>
                <w:i/>
                <w:sz w:val="22"/>
                <w:szCs w:val="22"/>
              </w:rPr>
              <w:t xml:space="preserve"> Services can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147DFE">
              <w:rPr>
                <w:rFonts w:ascii="Arial" w:hAnsi="Arial" w:cs="Arial"/>
                <w:i/>
                <w:sz w:val="22"/>
                <w:szCs w:val="22"/>
              </w:rPr>
              <w:t>have differen</w:t>
            </w:r>
            <w:r>
              <w:rPr>
                <w:rFonts w:ascii="Arial" w:hAnsi="Arial" w:cs="Arial"/>
                <w:i/>
                <w:sz w:val="22"/>
                <w:szCs w:val="22"/>
              </w:rPr>
              <w:t>t</w:t>
            </w:r>
            <w:r w:rsidRPr="00147DFE">
              <w:rPr>
                <w:rFonts w:ascii="Arial" w:hAnsi="Arial" w:cs="Arial"/>
                <w:i/>
                <w:sz w:val="22"/>
                <w:szCs w:val="22"/>
              </w:rPr>
              <w:t xml:space="preserve"> compliance targets based on the Business </w:t>
            </w:r>
          </w:p>
          <w:p w14:paraId="6062154E" w14:textId="77777777" w:rsidR="004F6BC1" w:rsidRDefault="004F6BC1" w:rsidP="004F6BC1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                        </w:t>
            </w:r>
            <w:r w:rsidRPr="00147DFE">
              <w:rPr>
                <w:rFonts w:ascii="Arial" w:hAnsi="Arial" w:cs="Arial"/>
                <w:i/>
                <w:sz w:val="22"/>
                <w:szCs w:val="22"/>
              </w:rPr>
              <w:t>Unit they are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147DFE">
              <w:rPr>
                <w:rFonts w:ascii="Arial" w:hAnsi="Arial" w:cs="Arial"/>
                <w:i/>
                <w:sz w:val="22"/>
                <w:szCs w:val="22"/>
              </w:rPr>
              <w:t>being reported on for</w:t>
            </w:r>
            <w:r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  <w:p w14:paraId="2DD83C43" w14:textId="245C6720" w:rsidR="004F6BC1" w:rsidRPr="00147DFE" w:rsidRDefault="004F6BC1" w:rsidP="004F6BC1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                        </w:t>
            </w:r>
            <w:r w:rsidRPr="00147DFE">
              <w:rPr>
                <w:rFonts w:ascii="Arial" w:hAnsi="Arial" w:cs="Arial"/>
                <w:i/>
                <w:sz w:val="22"/>
                <w:szCs w:val="22"/>
              </w:rPr>
              <w:t xml:space="preserve">When comparing the </w:t>
            </w:r>
            <w:r w:rsidR="00184518">
              <w:rPr>
                <w:rFonts w:ascii="Arial" w:hAnsi="Arial" w:cs="Arial"/>
                <w:i/>
                <w:sz w:val="22"/>
                <w:szCs w:val="22"/>
              </w:rPr>
              <w:t>Monthly KPI Report</w:t>
            </w:r>
            <w:r w:rsidRPr="00147DFE">
              <w:rPr>
                <w:rFonts w:ascii="Arial" w:hAnsi="Arial" w:cs="Arial"/>
                <w:i/>
                <w:sz w:val="22"/>
                <w:szCs w:val="22"/>
              </w:rPr>
              <w:t xml:space="preserve"> to the SLM Report,</w:t>
            </w:r>
          </w:p>
          <w:p w14:paraId="5B8C9188" w14:textId="77777777" w:rsidR="004F6BC1" w:rsidRDefault="004F6BC1" w:rsidP="004F6BC1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 w:rsidRPr="00147DFE">
              <w:rPr>
                <w:rFonts w:ascii="Arial" w:hAnsi="Arial" w:cs="Arial"/>
                <w:i/>
                <w:sz w:val="22"/>
                <w:szCs w:val="22"/>
              </w:rPr>
              <w:t xml:space="preserve">                         ensure that the Service Target being reviewed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on the SLM Report</w:t>
            </w:r>
            <w:r w:rsidRPr="00147DFE">
              <w:rPr>
                <w:rFonts w:ascii="Arial" w:hAnsi="Arial" w:cs="Arial"/>
                <w:i/>
                <w:sz w:val="22"/>
                <w:szCs w:val="22"/>
              </w:rPr>
              <w:t xml:space="preserve"> is one</w:t>
            </w:r>
          </w:p>
          <w:p w14:paraId="3AB7FB47" w14:textId="2731155E" w:rsidR="004F6BC1" w:rsidRDefault="004F6BC1" w:rsidP="004F6BC1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                       </w:t>
            </w:r>
            <w:r w:rsidRPr="00147DFE">
              <w:rPr>
                <w:rFonts w:ascii="Arial" w:hAnsi="Arial" w:cs="Arial"/>
                <w:i/>
                <w:sz w:val="22"/>
                <w:szCs w:val="22"/>
              </w:rPr>
              <w:t xml:space="preserve"> with the same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147DFE">
              <w:rPr>
                <w:rFonts w:ascii="Arial" w:hAnsi="Arial" w:cs="Arial"/>
                <w:i/>
                <w:sz w:val="22"/>
                <w:szCs w:val="22"/>
              </w:rPr>
              <w:t xml:space="preserve">compliance target on the </w:t>
            </w:r>
            <w:r w:rsidR="00184518">
              <w:rPr>
                <w:rFonts w:ascii="Arial" w:hAnsi="Arial" w:cs="Arial"/>
                <w:i/>
                <w:sz w:val="22"/>
                <w:szCs w:val="22"/>
              </w:rPr>
              <w:t>Monthly KPI Report</w:t>
            </w:r>
            <w:r w:rsidRPr="00147DFE">
              <w:rPr>
                <w:rFonts w:ascii="Arial" w:hAnsi="Arial" w:cs="Arial"/>
                <w:i/>
                <w:sz w:val="22"/>
                <w:szCs w:val="22"/>
              </w:rPr>
              <w:t xml:space="preserve">.  </w:t>
            </w:r>
          </w:p>
          <w:p w14:paraId="3F2FA9B6" w14:textId="77777777" w:rsidR="004F6BC1" w:rsidRPr="00147DFE" w:rsidRDefault="004F6BC1" w:rsidP="004F6BC1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                       </w:t>
            </w:r>
          </w:p>
          <w:p w14:paraId="228E7992" w14:textId="77777777" w:rsidR="004F6BC1" w:rsidRDefault="004F6BC1" w:rsidP="004F6BC1">
            <w:pPr>
              <w:pStyle w:val="BodyText1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147DFE"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>
              <w:rPr>
                <w:noProof/>
              </w:rPr>
              <w:drawing>
                <wp:inline distT="0" distB="0" distL="0" distR="0" wp14:anchorId="54334939" wp14:editId="4E8D051E">
                  <wp:extent cx="1143000" cy="11906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A9055" w14:textId="77777777" w:rsidR="004F6BC1" w:rsidRDefault="004F6BC1" w:rsidP="004F6BC1">
            <w:pPr>
              <w:pStyle w:val="BodyText1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1DFF2DC" w14:textId="11A28683" w:rsidR="004F6BC1" w:rsidRDefault="004F6BC1" w:rsidP="004F6BC1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2"/>
                <w:szCs w:val="22"/>
              </w:rPr>
            </w:pPr>
            <w:r w:rsidRPr="00147DFE">
              <w:rPr>
                <w:rFonts w:ascii="Arial" w:hAnsi="Arial" w:cs="Arial"/>
                <w:b/>
                <w:sz w:val="22"/>
                <w:szCs w:val="22"/>
              </w:rPr>
              <w:t>Monthly Percentages</w:t>
            </w:r>
            <w:r>
              <w:rPr>
                <w:rFonts w:ascii="Arial" w:hAnsi="Arial" w:cs="Arial"/>
                <w:sz w:val="22"/>
                <w:szCs w:val="22"/>
              </w:rPr>
              <w:t xml:space="preserve">  – The monthly percentages should match exactly to the  “Percentage of SLA Met” section of the SLM Report for each service, based on the Service Target percentage being reviewed. </w:t>
            </w:r>
          </w:p>
          <w:p w14:paraId="230F150D" w14:textId="7BC2AE59" w:rsidR="00347FEC" w:rsidRPr="00347FEC" w:rsidRDefault="00347FEC" w:rsidP="00347FEC">
            <w:pPr>
              <w:pStyle w:val="BodyText1"/>
              <w:ind w:left="720"/>
              <w:rPr>
                <w:rFonts w:ascii="Arial" w:hAnsi="Arial" w:cs="Arial"/>
                <w:i/>
                <w:sz w:val="22"/>
                <w:szCs w:val="22"/>
              </w:rPr>
            </w:pPr>
            <w:r w:rsidRPr="00347FEC">
              <w:rPr>
                <w:rFonts w:ascii="Arial" w:hAnsi="Arial" w:cs="Arial"/>
                <w:i/>
                <w:sz w:val="22"/>
                <w:szCs w:val="22"/>
              </w:rPr>
              <w:t>See the</w:t>
            </w:r>
            <w:r w:rsidRPr="00347FEC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SLM Run &amp; Review the SLM Report Procedure </w:t>
            </w:r>
            <w:r w:rsidRPr="00347FEC">
              <w:rPr>
                <w:rFonts w:ascii="Arial" w:hAnsi="Arial" w:cs="Arial"/>
                <w:i/>
                <w:sz w:val="22"/>
                <w:szCs w:val="22"/>
              </w:rPr>
              <w:t>for more information.</w:t>
            </w:r>
          </w:p>
          <w:p w14:paraId="77749D90" w14:textId="77777777" w:rsidR="004F6BC1" w:rsidRDefault="004F6BC1" w:rsidP="004F6BC1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4FCD8DA1" w14:textId="42FCA766" w:rsidR="004F6BC1" w:rsidRDefault="004F6BC1" w:rsidP="004F6BC1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30A41F1" wp14:editId="0B907F90">
                  <wp:extent cx="2628900" cy="1219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EC653" w14:textId="28322B7C" w:rsidR="007E165E" w:rsidRDefault="007E165E" w:rsidP="004F6BC1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7A4599D" w14:textId="07CDCB88" w:rsidR="007E165E" w:rsidRDefault="007E165E" w:rsidP="007E165E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Note: </w:t>
            </w:r>
            <w:r>
              <w:rPr>
                <w:rFonts w:ascii="Arial" w:hAnsi="Arial" w:cs="Arial"/>
                <w:i/>
                <w:sz w:val="22"/>
                <w:szCs w:val="22"/>
              </w:rPr>
              <w:t>If the “Act</w:t>
            </w:r>
            <w:r w:rsidR="00303312">
              <w:rPr>
                <w:rFonts w:ascii="Arial" w:hAnsi="Arial" w:cs="Arial"/>
                <w:i/>
                <w:sz w:val="22"/>
                <w:szCs w:val="22"/>
              </w:rPr>
              <w:t xml:space="preserve">ual %” is less than 100% but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is above the compliance target </w:t>
            </w:r>
            <w:r w:rsidR="00303312">
              <w:rPr>
                <w:rFonts w:ascii="Arial" w:hAnsi="Arial" w:cs="Arial"/>
                <w:i/>
                <w:sz w:val="22"/>
                <w:szCs w:val="22"/>
              </w:rPr>
              <w:t>percentage,</w:t>
            </w:r>
          </w:p>
          <w:p w14:paraId="6CFA41FE" w14:textId="41121E68" w:rsidR="007E165E" w:rsidRDefault="007E165E" w:rsidP="007E165E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             the SLA is considered “Missed” and the box will be green.</w:t>
            </w:r>
            <w:r w:rsidR="00303312">
              <w:rPr>
                <w:rFonts w:ascii="Arial" w:hAnsi="Arial" w:cs="Arial"/>
                <w:i/>
                <w:sz w:val="22"/>
                <w:szCs w:val="22"/>
              </w:rPr>
              <w:t xml:space="preserve">  If the “Actual % is less than the</w:t>
            </w:r>
          </w:p>
          <w:p w14:paraId="47C0A270" w14:textId="4B1E7F48" w:rsidR="007E165E" w:rsidRDefault="00303312" w:rsidP="007E165E">
            <w:pPr>
              <w:pStyle w:val="BodyText1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            </w:t>
            </w:r>
            <w:r w:rsidR="007E165E">
              <w:rPr>
                <w:rFonts w:ascii="Arial" w:hAnsi="Arial" w:cs="Arial"/>
                <w:i/>
                <w:sz w:val="22"/>
                <w:szCs w:val="22"/>
              </w:rPr>
              <w:t>the</w:t>
            </w:r>
            <w:r w:rsidR="00EC36D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7E165E">
              <w:rPr>
                <w:rFonts w:ascii="Arial" w:hAnsi="Arial" w:cs="Arial"/>
                <w:i/>
                <w:sz w:val="22"/>
                <w:szCs w:val="22"/>
              </w:rPr>
              <w:t>compliance target, the SLA is considered “Breached” and the box will be red.</w:t>
            </w:r>
          </w:p>
          <w:p w14:paraId="757FC93F" w14:textId="77777777" w:rsidR="007E165E" w:rsidRDefault="007E165E" w:rsidP="004F6BC1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6C82528" w14:textId="72BDA363" w:rsidR="00303312" w:rsidRDefault="00303312" w:rsidP="00303312">
            <w:pPr>
              <w:pStyle w:val="BodyText1"/>
              <w:numPr>
                <w:ilvl w:val="0"/>
                <w:numId w:val="4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Take note of the Service’s percentage for the month.</w:t>
            </w:r>
          </w:p>
          <w:p w14:paraId="3F281DBF" w14:textId="72F30E91" w:rsidR="00303312" w:rsidRDefault="00303312" w:rsidP="00303312">
            <w:pPr>
              <w:pStyle w:val="BodyText1"/>
              <w:numPr>
                <w:ilvl w:val="0"/>
                <w:numId w:val="4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Find the service with the same compliance target percentage on the Monthly SLM Report.</w:t>
            </w:r>
          </w:p>
          <w:p w14:paraId="7182CEDA" w14:textId="42FEFE43" w:rsidR="00303312" w:rsidRDefault="00303312" w:rsidP="00303312">
            <w:pPr>
              <w:pStyle w:val="BodyText1"/>
              <w:numPr>
                <w:ilvl w:val="0"/>
                <w:numId w:val="4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Ensure that the percentages match perfectly.</w:t>
            </w:r>
          </w:p>
          <w:p w14:paraId="3443717A" w14:textId="1BFCDC1F" w:rsidR="00982C0F" w:rsidRDefault="00982C0F" w:rsidP="00982C0F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  <w:p w14:paraId="5E0D5DAA" w14:textId="5CA5316C" w:rsidR="00982C0F" w:rsidRDefault="00982C0F" w:rsidP="00982C0F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865D33A" wp14:editId="05652D7E">
                  <wp:extent cx="6309360" cy="51308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2D293" w14:textId="5DA46270" w:rsidR="00982C0F" w:rsidRDefault="00982C0F" w:rsidP="004F6BC1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</w:p>
          <w:p w14:paraId="689DF4D7" w14:textId="5D5F8F0B" w:rsidR="004F6BC1" w:rsidRPr="004556F4" w:rsidRDefault="007B7CAB" w:rsidP="007B7CA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     </w:t>
            </w:r>
          </w:p>
        </w:tc>
      </w:tr>
    </w:tbl>
    <w:p w14:paraId="47356575" w14:textId="0069C1AC" w:rsidR="00535AA7" w:rsidRDefault="00535AA7" w:rsidP="00535AA7">
      <w:pPr>
        <w:rPr>
          <w:rFonts w:cs="Arial"/>
        </w:rPr>
      </w:pPr>
    </w:p>
    <w:p w14:paraId="74378397" w14:textId="78831E89" w:rsidR="00A2766C" w:rsidRDefault="00A2766C" w:rsidP="00535AA7">
      <w:pPr>
        <w:rPr>
          <w:rFonts w:cs="Arial"/>
        </w:rPr>
      </w:pPr>
    </w:p>
    <w:p w14:paraId="593770BE" w14:textId="758A4547" w:rsidR="00026BAC" w:rsidRDefault="00026BAC">
      <w:pPr>
        <w:rPr>
          <w:rFonts w:cs="Arial"/>
        </w:rPr>
      </w:pPr>
      <w:r>
        <w:rPr>
          <w:rFonts w:cs="Arial"/>
        </w:rPr>
        <w:br w:type="page"/>
      </w:r>
    </w:p>
    <w:p w14:paraId="43F3DB47" w14:textId="7A82831D" w:rsidR="00A2766C" w:rsidRPr="0032393F" w:rsidRDefault="00A2766C" w:rsidP="00535AA7">
      <w:pPr>
        <w:rPr>
          <w:rFonts w:cs="Arial"/>
          <w:b/>
        </w:rPr>
      </w:pPr>
      <w:r w:rsidRPr="0032393F">
        <w:rPr>
          <w:rFonts w:cs="Arial"/>
          <w:b/>
        </w:rPr>
        <w:t>Appendix A – Formulas</w:t>
      </w:r>
    </w:p>
    <w:p w14:paraId="0CECCA65" w14:textId="4CD0E149" w:rsidR="00A2766C" w:rsidRDefault="00A2766C" w:rsidP="00535AA7">
      <w:pPr>
        <w:rPr>
          <w:rFonts w:cs="Arial"/>
        </w:rPr>
      </w:pPr>
    </w:p>
    <w:p w14:paraId="045F7D8C" w14:textId="69326321" w:rsidR="00A2766C" w:rsidRPr="0023785F" w:rsidRDefault="00566C19" w:rsidP="00535AA7">
      <w:pPr>
        <w:rPr>
          <w:rFonts w:cs="Arial"/>
          <w:sz w:val="22"/>
          <w:szCs w:val="22"/>
        </w:rPr>
      </w:pPr>
      <w:r w:rsidRPr="0023785F">
        <w:rPr>
          <w:rFonts w:cs="Arial"/>
          <w:sz w:val="22"/>
          <w:szCs w:val="22"/>
        </w:rPr>
        <w:t>The following information shows the formulas being used for each section of the report.</w:t>
      </w:r>
    </w:p>
    <w:p w14:paraId="4D11E631" w14:textId="77AEDD9A" w:rsidR="00566C19" w:rsidRPr="0023785F" w:rsidRDefault="00566C19" w:rsidP="00535AA7">
      <w:pPr>
        <w:rPr>
          <w:rFonts w:cs="Arial"/>
          <w:sz w:val="22"/>
          <w:szCs w:val="22"/>
        </w:rPr>
      </w:pPr>
    </w:p>
    <w:p w14:paraId="0A784626" w14:textId="25868541" w:rsidR="00566C19" w:rsidRPr="0023785F" w:rsidRDefault="0032393F" w:rsidP="00DA0EFC">
      <w:pPr>
        <w:pStyle w:val="ListParagraph"/>
        <w:numPr>
          <w:ilvl w:val="0"/>
          <w:numId w:val="27"/>
        </w:numPr>
        <w:rPr>
          <w:rFonts w:cs="Arial"/>
          <w:b/>
          <w:sz w:val="22"/>
          <w:szCs w:val="22"/>
        </w:rPr>
      </w:pPr>
      <w:r w:rsidRPr="0023785F">
        <w:rPr>
          <w:rFonts w:cs="Arial"/>
          <w:b/>
          <w:sz w:val="22"/>
          <w:szCs w:val="22"/>
        </w:rPr>
        <w:t>Service Names</w:t>
      </w:r>
    </w:p>
    <w:p w14:paraId="04097885" w14:textId="5433468C" w:rsidR="00566C19" w:rsidRPr="0023785F" w:rsidRDefault="007F4526" w:rsidP="00FB5440">
      <w:pPr>
        <w:pStyle w:val="ListParagraph"/>
        <w:rPr>
          <w:rFonts w:cs="Arial"/>
          <w:sz w:val="22"/>
          <w:szCs w:val="22"/>
        </w:rPr>
      </w:pPr>
      <w:r w:rsidRPr="0023785F">
        <w:rPr>
          <w:noProof/>
          <w:sz w:val="22"/>
          <w:szCs w:val="22"/>
        </w:rPr>
        <w:drawing>
          <wp:inline distT="0" distB="0" distL="0" distR="0" wp14:anchorId="4E264685" wp14:editId="2D6C381B">
            <wp:extent cx="25050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C73C" w14:textId="0168646A" w:rsidR="00396043" w:rsidRDefault="007F4526" w:rsidP="00535AA7">
      <w:pPr>
        <w:rPr>
          <w:rFonts w:cs="Arial"/>
          <w:sz w:val="22"/>
          <w:szCs w:val="22"/>
        </w:rPr>
      </w:pPr>
      <w:r w:rsidRPr="0023785F">
        <w:rPr>
          <w:rFonts w:cs="Arial"/>
          <w:sz w:val="22"/>
          <w:szCs w:val="22"/>
        </w:rPr>
        <w:t xml:space="preserve">             =</w:t>
      </w:r>
      <w:proofErr w:type="spellStart"/>
      <w:r w:rsidRPr="0023785F">
        <w:rPr>
          <w:rFonts w:cs="Arial"/>
          <w:sz w:val="22"/>
          <w:szCs w:val="22"/>
        </w:rPr>
        <w:t>Substr</w:t>
      </w:r>
      <w:proofErr w:type="spellEnd"/>
      <w:r w:rsidRPr="0023785F">
        <w:rPr>
          <w:rFonts w:cs="Arial"/>
          <w:sz w:val="22"/>
          <w:szCs w:val="22"/>
        </w:rPr>
        <w:t>([Service];0;Length([Service])-10)</w:t>
      </w:r>
    </w:p>
    <w:p w14:paraId="1CE0E51E" w14:textId="77777777" w:rsidR="00396043" w:rsidRPr="0023785F" w:rsidRDefault="00396043" w:rsidP="00535AA7">
      <w:pPr>
        <w:rPr>
          <w:rFonts w:cs="Arial"/>
          <w:sz w:val="22"/>
          <w:szCs w:val="22"/>
        </w:rPr>
      </w:pPr>
    </w:p>
    <w:p w14:paraId="6CC7B033" w14:textId="33317C9D" w:rsidR="00566C19" w:rsidRPr="0023785F" w:rsidRDefault="00E61F90" w:rsidP="00DA0EFC">
      <w:pPr>
        <w:pStyle w:val="ListParagraph"/>
        <w:numPr>
          <w:ilvl w:val="0"/>
          <w:numId w:val="27"/>
        </w:numPr>
        <w:rPr>
          <w:rFonts w:cs="Arial"/>
          <w:b/>
          <w:sz w:val="22"/>
          <w:szCs w:val="22"/>
        </w:rPr>
      </w:pPr>
      <w:r w:rsidRPr="0023785F">
        <w:rPr>
          <w:rFonts w:cs="Arial"/>
          <w:b/>
          <w:sz w:val="22"/>
          <w:szCs w:val="22"/>
        </w:rPr>
        <w:t>SLA Target Percentage</w:t>
      </w:r>
    </w:p>
    <w:p w14:paraId="73D04D0A" w14:textId="1B0D6CA0" w:rsidR="00FB5440" w:rsidRPr="0023785F" w:rsidRDefault="00E61F90" w:rsidP="00FB5440">
      <w:pPr>
        <w:pStyle w:val="ListParagraph"/>
        <w:rPr>
          <w:rFonts w:cs="Arial"/>
          <w:sz w:val="22"/>
          <w:szCs w:val="22"/>
        </w:rPr>
      </w:pPr>
      <w:r w:rsidRPr="0023785F">
        <w:rPr>
          <w:noProof/>
          <w:sz w:val="22"/>
          <w:szCs w:val="22"/>
        </w:rPr>
        <w:drawing>
          <wp:inline distT="0" distB="0" distL="0" distR="0" wp14:anchorId="6D0CF61D" wp14:editId="5A468B6A">
            <wp:extent cx="735211" cy="361950"/>
            <wp:effectExtent l="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5952" cy="36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6828" w14:textId="117C9431" w:rsidR="00FB5440" w:rsidRPr="0023785F" w:rsidRDefault="00E61F90" w:rsidP="00FB5440">
      <w:pPr>
        <w:pStyle w:val="ListParagraph"/>
        <w:rPr>
          <w:rFonts w:cs="Arial"/>
          <w:sz w:val="22"/>
          <w:szCs w:val="22"/>
        </w:rPr>
      </w:pPr>
      <w:r w:rsidRPr="0023785F">
        <w:rPr>
          <w:rFonts w:cs="Arial"/>
          <w:sz w:val="22"/>
          <w:szCs w:val="22"/>
        </w:rPr>
        <w:t>=[</w:t>
      </w:r>
      <w:proofErr w:type="spellStart"/>
      <w:r w:rsidRPr="0023785F">
        <w:rPr>
          <w:rFonts w:cs="Arial"/>
          <w:sz w:val="22"/>
          <w:szCs w:val="22"/>
        </w:rPr>
        <w:t>ComplianceTarget</w:t>
      </w:r>
      <w:proofErr w:type="spellEnd"/>
      <w:r w:rsidRPr="0023785F">
        <w:rPr>
          <w:rFonts w:cs="Arial"/>
          <w:sz w:val="22"/>
          <w:szCs w:val="22"/>
        </w:rPr>
        <w:t>]</w:t>
      </w:r>
    </w:p>
    <w:p w14:paraId="74F47376" w14:textId="2E882A79" w:rsidR="00FB5440" w:rsidRPr="0023785F" w:rsidRDefault="00FB5440" w:rsidP="00FB5440">
      <w:pPr>
        <w:pStyle w:val="ListParagraph"/>
        <w:rPr>
          <w:rFonts w:cs="Arial"/>
          <w:sz w:val="22"/>
          <w:szCs w:val="22"/>
        </w:rPr>
      </w:pPr>
    </w:p>
    <w:p w14:paraId="38D22A2A" w14:textId="0DC65D52" w:rsidR="00FB5440" w:rsidRPr="0023785F" w:rsidRDefault="00FB5440" w:rsidP="00FB5440">
      <w:pPr>
        <w:pStyle w:val="ListParagraph"/>
        <w:rPr>
          <w:rFonts w:cs="Arial"/>
          <w:sz w:val="22"/>
          <w:szCs w:val="22"/>
        </w:rPr>
      </w:pPr>
    </w:p>
    <w:p w14:paraId="0DF6BCE7" w14:textId="223ACAB7" w:rsidR="00FB5440" w:rsidRPr="0023785F" w:rsidRDefault="00E61F90" w:rsidP="00DA0EFC">
      <w:pPr>
        <w:pStyle w:val="ListParagraph"/>
        <w:numPr>
          <w:ilvl w:val="0"/>
          <w:numId w:val="27"/>
        </w:numPr>
        <w:rPr>
          <w:rFonts w:cs="Arial"/>
          <w:b/>
          <w:sz w:val="22"/>
          <w:szCs w:val="22"/>
        </w:rPr>
      </w:pPr>
      <w:r w:rsidRPr="0023785F">
        <w:rPr>
          <w:rFonts w:cs="Arial"/>
          <w:b/>
          <w:sz w:val="22"/>
          <w:szCs w:val="22"/>
        </w:rPr>
        <w:t>Month / Year</w:t>
      </w:r>
    </w:p>
    <w:p w14:paraId="47D38E83" w14:textId="5F5D38F5" w:rsidR="00E61F90" w:rsidRPr="0023785F" w:rsidRDefault="00E61F90" w:rsidP="00E61F90">
      <w:pPr>
        <w:rPr>
          <w:rFonts w:cs="Arial"/>
          <w:b/>
          <w:sz w:val="22"/>
          <w:szCs w:val="22"/>
        </w:rPr>
      </w:pPr>
      <w:r w:rsidRPr="0023785F">
        <w:rPr>
          <w:rFonts w:cs="Arial"/>
          <w:b/>
          <w:sz w:val="22"/>
          <w:szCs w:val="22"/>
        </w:rPr>
        <w:t xml:space="preserve">           </w:t>
      </w:r>
      <w:r w:rsidRPr="0023785F">
        <w:rPr>
          <w:noProof/>
          <w:sz w:val="22"/>
          <w:szCs w:val="22"/>
        </w:rPr>
        <w:drawing>
          <wp:inline distT="0" distB="0" distL="0" distR="0" wp14:anchorId="165F058B" wp14:editId="5664669C">
            <wp:extent cx="2381250" cy="3524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1CFB" w14:textId="3416DF4B" w:rsidR="003518F1" w:rsidRPr="0023785F" w:rsidRDefault="00E61F90" w:rsidP="00E61F90">
      <w:pPr>
        <w:pStyle w:val="ListParagraph"/>
        <w:rPr>
          <w:rFonts w:cs="Arial"/>
          <w:sz w:val="22"/>
          <w:szCs w:val="22"/>
        </w:rPr>
      </w:pPr>
      <w:r w:rsidRPr="0023785F">
        <w:rPr>
          <w:rFonts w:cs="Arial"/>
          <w:sz w:val="22"/>
          <w:szCs w:val="22"/>
        </w:rPr>
        <w:t>=</w:t>
      </w:r>
      <w:proofErr w:type="spellStart"/>
      <w:r w:rsidRPr="0023785F">
        <w:rPr>
          <w:rFonts w:cs="Arial"/>
          <w:sz w:val="22"/>
          <w:szCs w:val="22"/>
        </w:rPr>
        <w:t>Substr</w:t>
      </w:r>
      <w:proofErr w:type="spellEnd"/>
      <w:r w:rsidRPr="0023785F">
        <w:rPr>
          <w:rFonts w:cs="Arial"/>
          <w:sz w:val="22"/>
          <w:szCs w:val="22"/>
        </w:rPr>
        <w:t>([Month];1;3)+"-"+[</w:t>
      </w:r>
      <w:proofErr w:type="spellStart"/>
      <w:r w:rsidRPr="0023785F">
        <w:rPr>
          <w:rFonts w:cs="Arial"/>
          <w:sz w:val="22"/>
          <w:szCs w:val="22"/>
        </w:rPr>
        <w:t>formattedYear</w:t>
      </w:r>
      <w:proofErr w:type="spellEnd"/>
      <w:r w:rsidRPr="0023785F">
        <w:rPr>
          <w:rFonts w:cs="Arial"/>
          <w:sz w:val="22"/>
          <w:szCs w:val="22"/>
        </w:rPr>
        <w:t>]</w:t>
      </w:r>
    </w:p>
    <w:p w14:paraId="6C811B95" w14:textId="77777777" w:rsidR="00E61F90" w:rsidRPr="0023785F" w:rsidRDefault="00E61F90" w:rsidP="00E61F90">
      <w:pPr>
        <w:pStyle w:val="ListParagraph"/>
        <w:rPr>
          <w:rFonts w:cs="Arial"/>
          <w:sz w:val="22"/>
          <w:szCs w:val="22"/>
        </w:rPr>
      </w:pPr>
    </w:p>
    <w:p w14:paraId="6BAB4A1A" w14:textId="29ECC908" w:rsidR="009138C4" w:rsidRPr="0023785F" w:rsidRDefault="009138C4" w:rsidP="003518F1">
      <w:pPr>
        <w:pStyle w:val="ListParagraph"/>
        <w:rPr>
          <w:rFonts w:cs="Arial"/>
          <w:sz w:val="22"/>
          <w:szCs w:val="22"/>
        </w:rPr>
      </w:pPr>
    </w:p>
    <w:p w14:paraId="7BE907F7" w14:textId="26CB3D85" w:rsidR="009138C4" w:rsidRPr="0023785F" w:rsidRDefault="00E61F90" w:rsidP="00DA0EFC">
      <w:pPr>
        <w:pStyle w:val="ListParagraph"/>
        <w:numPr>
          <w:ilvl w:val="0"/>
          <w:numId w:val="27"/>
        </w:numPr>
        <w:rPr>
          <w:rFonts w:cs="Arial"/>
          <w:b/>
          <w:sz w:val="22"/>
          <w:szCs w:val="22"/>
        </w:rPr>
      </w:pPr>
      <w:r w:rsidRPr="0023785F">
        <w:rPr>
          <w:rFonts w:cs="Arial"/>
          <w:b/>
          <w:sz w:val="22"/>
          <w:szCs w:val="22"/>
        </w:rPr>
        <w:t>Monthly Percentage</w:t>
      </w:r>
    </w:p>
    <w:p w14:paraId="5261335B" w14:textId="50EBF084" w:rsidR="009138C4" w:rsidRPr="0023785F" w:rsidRDefault="00E61F90" w:rsidP="009138C4">
      <w:pPr>
        <w:pStyle w:val="ListParagraph"/>
        <w:rPr>
          <w:rFonts w:cs="Arial"/>
          <w:sz w:val="22"/>
          <w:szCs w:val="22"/>
        </w:rPr>
      </w:pPr>
      <w:r w:rsidRPr="0023785F">
        <w:rPr>
          <w:noProof/>
          <w:sz w:val="22"/>
          <w:szCs w:val="22"/>
        </w:rPr>
        <w:drawing>
          <wp:inline distT="0" distB="0" distL="0" distR="0" wp14:anchorId="0676D8B0" wp14:editId="18639E86">
            <wp:extent cx="2362200" cy="704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83D8" w14:textId="3550A3E1" w:rsidR="00E61F90" w:rsidRPr="0023785F" w:rsidRDefault="00E61F90" w:rsidP="003518F1">
      <w:pPr>
        <w:pStyle w:val="ListParagraph"/>
        <w:rPr>
          <w:rFonts w:cs="Arial"/>
          <w:sz w:val="22"/>
          <w:szCs w:val="22"/>
        </w:rPr>
      </w:pPr>
      <w:r w:rsidRPr="0023785F">
        <w:rPr>
          <w:rFonts w:cs="Arial"/>
          <w:sz w:val="22"/>
          <w:szCs w:val="22"/>
        </w:rPr>
        <w:t xml:space="preserve">=[Percentage of SLA Met] </w:t>
      </w:r>
    </w:p>
    <w:p w14:paraId="71ABC55A" w14:textId="43A752BA" w:rsidR="00E61F90" w:rsidRPr="0023785F" w:rsidRDefault="00E61F90" w:rsidP="003518F1">
      <w:pPr>
        <w:pStyle w:val="ListParagraph"/>
        <w:rPr>
          <w:rFonts w:cs="Arial"/>
          <w:sz w:val="22"/>
          <w:szCs w:val="22"/>
        </w:rPr>
      </w:pPr>
    </w:p>
    <w:p w14:paraId="586D9C01" w14:textId="6EC5B7E4" w:rsidR="00385E21" w:rsidRDefault="00385E21" w:rsidP="00385E21">
      <w:pPr>
        <w:rPr>
          <w:rFonts w:cs="Arial"/>
          <w:b/>
        </w:rPr>
      </w:pPr>
    </w:p>
    <w:p w14:paraId="322C861D" w14:textId="2CFD81AF" w:rsidR="00E61F90" w:rsidRDefault="00E61F90" w:rsidP="00385E21">
      <w:pPr>
        <w:rPr>
          <w:rFonts w:cs="Arial"/>
          <w:b/>
        </w:rPr>
      </w:pPr>
    </w:p>
    <w:p w14:paraId="2D58BDE9" w14:textId="2EE767A9" w:rsidR="00E61F90" w:rsidRDefault="00E61F90" w:rsidP="00385E21">
      <w:pPr>
        <w:rPr>
          <w:rFonts w:cs="Arial"/>
          <w:b/>
        </w:rPr>
      </w:pPr>
      <w:bookmarkStart w:id="1" w:name="_GoBack"/>
      <w:bookmarkEnd w:id="1"/>
    </w:p>
    <w:p w14:paraId="7E808858" w14:textId="77777777" w:rsidR="00E61F90" w:rsidRDefault="00E61F90" w:rsidP="00385E21">
      <w:pPr>
        <w:rPr>
          <w:rFonts w:cs="Arial"/>
          <w:b/>
        </w:rPr>
      </w:pPr>
    </w:p>
    <w:p w14:paraId="0F6BA5FA" w14:textId="77777777" w:rsidR="00843C24" w:rsidRDefault="00843C24" w:rsidP="00843C24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2FCB3094" w14:textId="77777777" w:rsidR="00843C24" w:rsidRDefault="00843C24" w:rsidP="00843C24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1135F8E" w14:textId="77777777" w:rsidR="00843C24" w:rsidRDefault="00843C24" w:rsidP="00DA0EFC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7F45907E" w14:textId="77777777" w:rsidR="00843C24" w:rsidRDefault="00843C24" w:rsidP="00DA0EFC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2AC51DAC" w14:textId="77777777" w:rsidR="00843C24" w:rsidRDefault="00843C24" w:rsidP="00DA0EFC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710188A" w14:textId="77777777" w:rsidR="00843C24" w:rsidRDefault="00843C24" w:rsidP="00DA0EFC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7777777" w:rsidR="00843C24" w:rsidRDefault="00843C24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77777777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Anna Carter,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Abdul Golden,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2A42210D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E61F90">
              <w:rPr>
                <w:rFonts w:ascii="Arial" w:hAnsi="Arial" w:cs="Arial"/>
                <w:sz w:val="18"/>
                <w:szCs w:val="18"/>
              </w:rPr>
              <w:t>10-11-2017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D6D9B" w14:textId="77777777" w:rsidR="00D344E6" w:rsidRDefault="00D344E6">
      <w:r>
        <w:separator/>
      </w:r>
    </w:p>
  </w:endnote>
  <w:endnote w:type="continuationSeparator" w:id="0">
    <w:p w14:paraId="5C54B699" w14:textId="77777777" w:rsidR="00D344E6" w:rsidRDefault="00D34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57960" w14:textId="77777777" w:rsidR="00D344E6" w:rsidRDefault="00D34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33F17" w14:textId="10BBF6D7" w:rsidR="00D344E6" w:rsidRDefault="00D344E6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303312">
      <w:rPr>
        <w:noProof/>
      </w:rPr>
      <w:t>1/5/2018 2:28 PM</w:t>
    </w:r>
    <w:r>
      <w:fldChar w:fldCharType="end"/>
    </w:r>
    <w:r>
      <w:t xml:space="preserve">        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04B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04B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D344E6" w:rsidRDefault="00D344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4FF84" w14:textId="77777777" w:rsidR="00D344E6" w:rsidRDefault="00D34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5B635" w14:textId="77777777" w:rsidR="00D344E6" w:rsidRDefault="00D344E6">
      <w:r>
        <w:separator/>
      </w:r>
    </w:p>
  </w:footnote>
  <w:footnote w:type="continuationSeparator" w:id="0">
    <w:p w14:paraId="5435A3AD" w14:textId="77777777" w:rsidR="00D344E6" w:rsidRDefault="00D34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4E704" w14:textId="77777777" w:rsidR="00D344E6" w:rsidRDefault="00D344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52B6A" w14:textId="77777777" w:rsidR="00D344E6" w:rsidRDefault="00D344E6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46641" w14:textId="77777777" w:rsidR="00D344E6" w:rsidRDefault="00D344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6E6CA3"/>
    <w:multiLevelType w:val="hybridMultilevel"/>
    <w:tmpl w:val="FBC07A06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4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5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6" w15:restartNumberingAfterBreak="0">
    <w:nsid w:val="063B3C96"/>
    <w:multiLevelType w:val="hybridMultilevel"/>
    <w:tmpl w:val="A35EC7F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" w15:restartNumberingAfterBreak="0">
    <w:nsid w:val="065F13E9"/>
    <w:multiLevelType w:val="hybridMultilevel"/>
    <w:tmpl w:val="C9F424CE"/>
    <w:lvl w:ilvl="0" w:tplc="A5121270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 w15:restartNumberingAfterBreak="0">
    <w:nsid w:val="08083E2D"/>
    <w:multiLevelType w:val="hybridMultilevel"/>
    <w:tmpl w:val="0ED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DE3894"/>
    <w:multiLevelType w:val="hybridMultilevel"/>
    <w:tmpl w:val="91FC0D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12960"/>
    <w:multiLevelType w:val="hybridMultilevel"/>
    <w:tmpl w:val="FCAE3C76"/>
    <w:lvl w:ilvl="0" w:tplc="0409000B">
      <w:start w:val="1"/>
      <w:numFmt w:val="bullet"/>
      <w:lvlText w:val=""/>
      <w:lvlJc w:val="left"/>
      <w:pPr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1" w15:restartNumberingAfterBreak="0">
    <w:nsid w:val="16225680"/>
    <w:multiLevelType w:val="hybridMultilevel"/>
    <w:tmpl w:val="2A8A5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13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5" w15:restartNumberingAfterBreak="0">
    <w:nsid w:val="28A16918"/>
    <w:multiLevelType w:val="hybridMultilevel"/>
    <w:tmpl w:val="710AE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7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8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0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1" w15:restartNumberingAfterBreak="0">
    <w:nsid w:val="39E42456"/>
    <w:multiLevelType w:val="hybridMultilevel"/>
    <w:tmpl w:val="536E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8E2DEA"/>
    <w:multiLevelType w:val="hybridMultilevel"/>
    <w:tmpl w:val="5872A232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3" w15:restartNumberingAfterBreak="0">
    <w:nsid w:val="42EA3E92"/>
    <w:multiLevelType w:val="hybridMultilevel"/>
    <w:tmpl w:val="65500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5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72EE3"/>
    <w:multiLevelType w:val="hybridMultilevel"/>
    <w:tmpl w:val="0C60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8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9" w15:restartNumberingAfterBreak="0">
    <w:nsid w:val="519209AD"/>
    <w:multiLevelType w:val="hybridMultilevel"/>
    <w:tmpl w:val="D8E8BA82"/>
    <w:lvl w:ilvl="0" w:tplc="76ECA4D2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0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31" w15:restartNumberingAfterBreak="0">
    <w:nsid w:val="57453E76"/>
    <w:multiLevelType w:val="hybridMultilevel"/>
    <w:tmpl w:val="617AD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33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BC2C46"/>
    <w:multiLevelType w:val="hybridMultilevel"/>
    <w:tmpl w:val="0E40ED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8" w15:restartNumberingAfterBreak="0">
    <w:nsid w:val="6E7F49F8"/>
    <w:multiLevelType w:val="hybridMultilevel"/>
    <w:tmpl w:val="CC6A776E"/>
    <w:lvl w:ilvl="0" w:tplc="76ECA4D2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9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40" w15:restartNumberingAfterBreak="0">
    <w:nsid w:val="737B00E4"/>
    <w:multiLevelType w:val="hybridMultilevel"/>
    <w:tmpl w:val="C002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870A62"/>
    <w:multiLevelType w:val="hybridMultilevel"/>
    <w:tmpl w:val="1826D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350520"/>
    <w:multiLevelType w:val="hybridMultilevel"/>
    <w:tmpl w:val="617AD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4"/>
  </w:num>
  <w:num w:numId="3">
    <w:abstractNumId w:val="43"/>
  </w:num>
  <w:num w:numId="4">
    <w:abstractNumId w:val="41"/>
  </w:num>
  <w:num w:numId="5">
    <w:abstractNumId w:val="33"/>
  </w:num>
  <w:num w:numId="6">
    <w:abstractNumId w:val="14"/>
  </w:num>
  <w:num w:numId="7">
    <w:abstractNumId w:val="27"/>
  </w:num>
  <w:num w:numId="8">
    <w:abstractNumId w:val="3"/>
  </w:num>
  <w:num w:numId="9">
    <w:abstractNumId w:val="16"/>
  </w:num>
  <w:num w:numId="10">
    <w:abstractNumId w:val="25"/>
  </w:num>
  <w:num w:numId="11">
    <w:abstractNumId w:val="30"/>
  </w:num>
  <w:num w:numId="12">
    <w:abstractNumId w:val="0"/>
  </w:num>
  <w:num w:numId="13">
    <w:abstractNumId w:val="36"/>
  </w:num>
  <w:num w:numId="14">
    <w:abstractNumId w:val="1"/>
  </w:num>
  <w:num w:numId="15">
    <w:abstractNumId w:val="19"/>
  </w:num>
  <w:num w:numId="16">
    <w:abstractNumId w:val="18"/>
  </w:num>
  <w:num w:numId="17">
    <w:abstractNumId w:val="17"/>
  </w:num>
  <w:num w:numId="18">
    <w:abstractNumId w:val="12"/>
  </w:num>
  <w:num w:numId="19">
    <w:abstractNumId w:val="5"/>
  </w:num>
  <w:num w:numId="20">
    <w:abstractNumId w:val="39"/>
  </w:num>
  <w:num w:numId="21">
    <w:abstractNumId w:val="13"/>
  </w:num>
  <w:num w:numId="22">
    <w:abstractNumId w:val="32"/>
  </w:num>
  <w:num w:numId="23">
    <w:abstractNumId w:val="4"/>
  </w:num>
  <w:num w:numId="24">
    <w:abstractNumId w:val="37"/>
  </w:num>
  <w:num w:numId="25">
    <w:abstractNumId w:val="24"/>
  </w:num>
  <w:num w:numId="26">
    <w:abstractNumId w:val="20"/>
  </w:num>
  <w:num w:numId="27">
    <w:abstractNumId w:val="8"/>
  </w:num>
  <w:num w:numId="28">
    <w:abstractNumId w:val="32"/>
  </w:num>
  <w:num w:numId="29">
    <w:abstractNumId w:val="11"/>
  </w:num>
  <w:num w:numId="30">
    <w:abstractNumId w:val="15"/>
  </w:num>
  <w:num w:numId="31">
    <w:abstractNumId w:val="6"/>
  </w:num>
  <w:num w:numId="32">
    <w:abstractNumId w:val="26"/>
  </w:num>
  <w:num w:numId="33">
    <w:abstractNumId w:val="40"/>
  </w:num>
  <w:num w:numId="34">
    <w:abstractNumId w:val="2"/>
  </w:num>
  <w:num w:numId="35">
    <w:abstractNumId w:val="9"/>
  </w:num>
  <w:num w:numId="36">
    <w:abstractNumId w:val="42"/>
  </w:num>
  <w:num w:numId="37">
    <w:abstractNumId w:val="23"/>
  </w:num>
  <w:num w:numId="38">
    <w:abstractNumId w:val="22"/>
  </w:num>
  <w:num w:numId="39">
    <w:abstractNumId w:val="35"/>
  </w:num>
  <w:num w:numId="40">
    <w:abstractNumId w:val="10"/>
  </w:num>
  <w:num w:numId="41">
    <w:abstractNumId w:val="44"/>
  </w:num>
  <w:num w:numId="42">
    <w:abstractNumId w:val="21"/>
  </w:num>
  <w:num w:numId="43">
    <w:abstractNumId w:val="7"/>
  </w:num>
  <w:num w:numId="44">
    <w:abstractNumId w:val="38"/>
  </w:num>
  <w:num w:numId="45">
    <w:abstractNumId w:val="29"/>
  </w:num>
  <w:num w:numId="46">
    <w:abstractNumId w:val="3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1"/>
    <w:rsid w:val="00005665"/>
    <w:rsid w:val="00016922"/>
    <w:rsid w:val="00026BAC"/>
    <w:rsid w:val="0003060B"/>
    <w:rsid w:val="00056AE3"/>
    <w:rsid w:val="0006055C"/>
    <w:rsid w:val="00061B56"/>
    <w:rsid w:val="00063B3A"/>
    <w:rsid w:val="000866CC"/>
    <w:rsid w:val="000A0C5F"/>
    <w:rsid w:val="000D57E9"/>
    <w:rsid w:val="00106A5A"/>
    <w:rsid w:val="00107EDA"/>
    <w:rsid w:val="0011029A"/>
    <w:rsid w:val="001117F9"/>
    <w:rsid w:val="00115FED"/>
    <w:rsid w:val="00123FF0"/>
    <w:rsid w:val="00130DE0"/>
    <w:rsid w:val="00150F74"/>
    <w:rsid w:val="00157A90"/>
    <w:rsid w:val="00184518"/>
    <w:rsid w:val="00187AD1"/>
    <w:rsid w:val="001954E6"/>
    <w:rsid w:val="001A1B63"/>
    <w:rsid w:val="00211F74"/>
    <w:rsid w:val="0023309A"/>
    <w:rsid w:val="002337EC"/>
    <w:rsid w:val="0023785F"/>
    <w:rsid w:val="00243F84"/>
    <w:rsid w:val="00252F4F"/>
    <w:rsid w:val="00260F6A"/>
    <w:rsid w:val="002966FD"/>
    <w:rsid w:val="002B2743"/>
    <w:rsid w:val="002C4B94"/>
    <w:rsid w:val="002E4B80"/>
    <w:rsid w:val="00303312"/>
    <w:rsid w:val="0031456C"/>
    <w:rsid w:val="00314D68"/>
    <w:rsid w:val="00316018"/>
    <w:rsid w:val="0032168F"/>
    <w:rsid w:val="0032393F"/>
    <w:rsid w:val="00340441"/>
    <w:rsid w:val="00347FEC"/>
    <w:rsid w:val="003518F1"/>
    <w:rsid w:val="00385E21"/>
    <w:rsid w:val="0038754C"/>
    <w:rsid w:val="00396043"/>
    <w:rsid w:val="00396B5B"/>
    <w:rsid w:val="003B3686"/>
    <w:rsid w:val="003B4B97"/>
    <w:rsid w:val="003B57FA"/>
    <w:rsid w:val="003C6DCF"/>
    <w:rsid w:val="003E140A"/>
    <w:rsid w:val="003E68D2"/>
    <w:rsid w:val="003F7AF6"/>
    <w:rsid w:val="00424A28"/>
    <w:rsid w:val="00430679"/>
    <w:rsid w:val="004556F4"/>
    <w:rsid w:val="00461E98"/>
    <w:rsid w:val="00463A85"/>
    <w:rsid w:val="0047123C"/>
    <w:rsid w:val="004A140E"/>
    <w:rsid w:val="004B304A"/>
    <w:rsid w:val="004C7A88"/>
    <w:rsid w:val="004D4088"/>
    <w:rsid w:val="004D4360"/>
    <w:rsid w:val="004D44C0"/>
    <w:rsid w:val="004D6C58"/>
    <w:rsid w:val="004E12E1"/>
    <w:rsid w:val="004E4078"/>
    <w:rsid w:val="004F2DE1"/>
    <w:rsid w:val="004F6BC1"/>
    <w:rsid w:val="005332E6"/>
    <w:rsid w:val="00535AA7"/>
    <w:rsid w:val="00542E52"/>
    <w:rsid w:val="00566C19"/>
    <w:rsid w:val="005B5F1F"/>
    <w:rsid w:val="005C6621"/>
    <w:rsid w:val="006108A0"/>
    <w:rsid w:val="00631334"/>
    <w:rsid w:val="00662AD3"/>
    <w:rsid w:val="00675066"/>
    <w:rsid w:val="00680B40"/>
    <w:rsid w:val="006B180D"/>
    <w:rsid w:val="006B449F"/>
    <w:rsid w:val="006B5C10"/>
    <w:rsid w:val="006B6098"/>
    <w:rsid w:val="006C1CB0"/>
    <w:rsid w:val="006E34A9"/>
    <w:rsid w:val="006F36F3"/>
    <w:rsid w:val="00705F94"/>
    <w:rsid w:val="0071521F"/>
    <w:rsid w:val="007254B7"/>
    <w:rsid w:val="007653F6"/>
    <w:rsid w:val="007675E4"/>
    <w:rsid w:val="00773A99"/>
    <w:rsid w:val="007A3C31"/>
    <w:rsid w:val="007A4E80"/>
    <w:rsid w:val="007B7CAB"/>
    <w:rsid w:val="007C419B"/>
    <w:rsid w:val="007D015B"/>
    <w:rsid w:val="007D06FE"/>
    <w:rsid w:val="007D7B1A"/>
    <w:rsid w:val="007E165E"/>
    <w:rsid w:val="007F4526"/>
    <w:rsid w:val="0080549C"/>
    <w:rsid w:val="00812063"/>
    <w:rsid w:val="00813417"/>
    <w:rsid w:val="008276A1"/>
    <w:rsid w:val="00843C24"/>
    <w:rsid w:val="00877D19"/>
    <w:rsid w:val="008916DC"/>
    <w:rsid w:val="008C2ABE"/>
    <w:rsid w:val="008D3A31"/>
    <w:rsid w:val="008F1737"/>
    <w:rsid w:val="008F4526"/>
    <w:rsid w:val="008F46E6"/>
    <w:rsid w:val="00905AA9"/>
    <w:rsid w:val="009060E1"/>
    <w:rsid w:val="00910324"/>
    <w:rsid w:val="009138C4"/>
    <w:rsid w:val="009214B4"/>
    <w:rsid w:val="009249F3"/>
    <w:rsid w:val="009316B3"/>
    <w:rsid w:val="00966150"/>
    <w:rsid w:val="00974E82"/>
    <w:rsid w:val="00982C0F"/>
    <w:rsid w:val="009C30B4"/>
    <w:rsid w:val="009E4E57"/>
    <w:rsid w:val="00A07439"/>
    <w:rsid w:val="00A14DB3"/>
    <w:rsid w:val="00A2001B"/>
    <w:rsid w:val="00A2766C"/>
    <w:rsid w:val="00A41528"/>
    <w:rsid w:val="00A4258B"/>
    <w:rsid w:val="00A46084"/>
    <w:rsid w:val="00A64533"/>
    <w:rsid w:val="00A7322E"/>
    <w:rsid w:val="00A81FF8"/>
    <w:rsid w:val="00A90754"/>
    <w:rsid w:val="00A967C8"/>
    <w:rsid w:val="00AC0954"/>
    <w:rsid w:val="00AC46F6"/>
    <w:rsid w:val="00AD08C2"/>
    <w:rsid w:val="00AD62F6"/>
    <w:rsid w:val="00AE405B"/>
    <w:rsid w:val="00AF2F1F"/>
    <w:rsid w:val="00B16274"/>
    <w:rsid w:val="00BB6713"/>
    <w:rsid w:val="00BB775C"/>
    <w:rsid w:val="00BF31E7"/>
    <w:rsid w:val="00BF67ED"/>
    <w:rsid w:val="00C01C45"/>
    <w:rsid w:val="00C037D5"/>
    <w:rsid w:val="00C15698"/>
    <w:rsid w:val="00C33C45"/>
    <w:rsid w:val="00C67A0D"/>
    <w:rsid w:val="00C67ADB"/>
    <w:rsid w:val="00C73B68"/>
    <w:rsid w:val="00C803E0"/>
    <w:rsid w:val="00C80DB8"/>
    <w:rsid w:val="00C8221C"/>
    <w:rsid w:val="00C82A3C"/>
    <w:rsid w:val="00C82C5C"/>
    <w:rsid w:val="00C84303"/>
    <w:rsid w:val="00CA027A"/>
    <w:rsid w:val="00CA26B0"/>
    <w:rsid w:val="00CA3CFE"/>
    <w:rsid w:val="00CB375D"/>
    <w:rsid w:val="00CC2ECD"/>
    <w:rsid w:val="00CC6F85"/>
    <w:rsid w:val="00CD295E"/>
    <w:rsid w:val="00CE2CF6"/>
    <w:rsid w:val="00D02451"/>
    <w:rsid w:val="00D05AC3"/>
    <w:rsid w:val="00D1617F"/>
    <w:rsid w:val="00D21BB2"/>
    <w:rsid w:val="00D25EE2"/>
    <w:rsid w:val="00D344AF"/>
    <w:rsid w:val="00D344E6"/>
    <w:rsid w:val="00D51FC1"/>
    <w:rsid w:val="00D60815"/>
    <w:rsid w:val="00D61A99"/>
    <w:rsid w:val="00D82AD1"/>
    <w:rsid w:val="00D96F67"/>
    <w:rsid w:val="00DA0EFC"/>
    <w:rsid w:val="00DC4B42"/>
    <w:rsid w:val="00DC64B3"/>
    <w:rsid w:val="00E172F0"/>
    <w:rsid w:val="00E21449"/>
    <w:rsid w:val="00E46434"/>
    <w:rsid w:val="00E61F90"/>
    <w:rsid w:val="00E66CE6"/>
    <w:rsid w:val="00E842EF"/>
    <w:rsid w:val="00E94B60"/>
    <w:rsid w:val="00EC36DD"/>
    <w:rsid w:val="00ED441B"/>
    <w:rsid w:val="00ED5AC8"/>
    <w:rsid w:val="00ED649F"/>
    <w:rsid w:val="00F04363"/>
    <w:rsid w:val="00F17820"/>
    <w:rsid w:val="00F345F1"/>
    <w:rsid w:val="00F437F0"/>
    <w:rsid w:val="00F45228"/>
    <w:rsid w:val="00F604BC"/>
    <w:rsid w:val="00F84556"/>
    <w:rsid w:val="00FB0426"/>
    <w:rsid w:val="00FB5440"/>
    <w:rsid w:val="00FE1F1B"/>
    <w:rsid w:val="00FE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FB54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66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F038F8-7778-4D79-9B3D-071E08731E28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271</TotalTime>
  <Pages>7</Pages>
  <Words>774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103</cp:revision>
  <cp:lastPrinted>2017-12-29T20:12:00Z</cp:lastPrinted>
  <dcterms:created xsi:type="dcterms:W3CDTF">2017-02-14T20:54:00Z</dcterms:created>
  <dcterms:modified xsi:type="dcterms:W3CDTF">2018-01-05T19:34:00Z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