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77EF788C" w:rsidR="00D02451" w:rsidRPr="00A2001B" w:rsidRDefault="00E4247D" w:rsidP="00F345F1">
      <w:pPr>
        <w:pStyle w:val="Heading1"/>
        <w:keepNext w:val="0"/>
        <w:spacing w:before="0"/>
        <w:rPr>
          <w:rFonts w:cs="Arial"/>
          <w:color w:val="C00000"/>
        </w:rPr>
      </w:pPr>
      <w:bookmarkStart w:id="0" w:name="_Toc63667416"/>
      <w:bookmarkStart w:id="1" w:name="_GoBack"/>
      <w:bookmarkEnd w:id="1"/>
      <w:r>
        <w:rPr>
          <w:rFonts w:cs="Arial"/>
          <w:color w:val="C00000"/>
        </w:rPr>
        <w:t>Manually Monitor Services Procedure</w:t>
      </w:r>
    </w:p>
    <w:p w14:paraId="664C0E08" w14:textId="41C0DF62" w:rsidR="00D02451" w:rsidRPr="006108A0" w:rsidRDefault="006A3D9A" w:rsidP="00C037D5">
      <w:pPr>
        <w:pStyle w:val="Heading8"/>
        <w:pBdr>
          <w:bottom w:val="single" w:sz="18" w:space="6" w:color="C00000"/>
        </w:pBdr>
        <w:rPr>
          <w:rFonts w:cs="Arial"/>
        </w:rPr>
      </w:pPr>
      <w:r>
        <w:rPr>
          <w:rFonts w:cs="Arial"/>
        </w:rPr>
        <w:t xml:space="preserve">Continuous Performance </w:t>
      </w:r>
      <w:r w:rsidR="009E70C4">
        <w:rPr>
          <w:rFonts w:cs="Arial"/>
        </w:rPr>
        <w:t>Enablement</w:t>
      </w:r>
    </w:p>
    <w:bookmarkEnd w:id="0"/>
    <w:p w14:paraId="0EC32A8B" w14:textId="77777777" w:rsidR="00157A90" w:rsidRDefault="00115FED" w:rsidP="00C037D5">
      <w:pPr>
        <w:spacing w:before="120"/>
        <w:rPr>
          <w:rFonts w:cs="Arial"/>
          <w:b/>
        </w:rPr>
      </w:pPr>
      <w:r>
        <w:rPr>
          <w:rFonts w:cs="Arial"/>
          <w:b/>
        </w:rPr>
        <w:t>Purpose</w:t>
      </w:r>
    </w:p>
    <w:p w14:paraId="72A17819" w14:textId="101676E1" w:rsidR="00C5266A" w:rsidRDefault="00E4247D" w:rsidP="00157A90">
      <w:pPr>
        <w:rPr>
          <w:rFonts w:cs="Arial"/>
          <w:sz w:val="20"/>
        </w:rPr>
      </w:pPr>
      <w:r>
        <w:rPr>
          <w:rFonts w:cs="Arial"/>
          <w:sz w:val="20"/>
        </w:rPr>
        <w:t>When it is requested to create an SLA for a new or existing service, it may be necessary to manually monitor the service until the SLA is fully approved and the monitoring tools are set up.  SLM uses the Remedy tool to manually monitor services and report them on the Monthly KPI Report.</w:t>
      </w:r>
    </w:p>
    <w:p w14:paraId="70DC8EFB" w14:textId="77777777" w:rsidR="00E4247D" w:rsidRDefault="00E4247D"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457516D9" w:rsidR="00115FED" w:rsidRPr="00115FED" w:rsidRDefault="009E70C4" w:rsidP="00AC7746">
      <w:pPr>
        <w:numPr>
          <w:ilvl w:val="0"/>
          <w:numId w:val="27"/>
        </w:numPr>
        <w:rPr>
          <w:rFonts w:cs="Arial"/>
          <w:sz w:val="20"/>
        </w:rPr>
      </w:pPr>
      <w:hyperlink r:id="rId11" w:history="1">
        <w:r w:rsidR="00E94B60" w:rsidRPr="00896AD4">
          <w:rPr>
            <w:rStyle w:val="Hyperlink"/>
            <w:rFonts w:cs="Arial"/>
            <w:sz w:val="20"/>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3328A7C9" w:rsidR="00115FED" w:rsidRPr="00115FED" w:rsidRDefault="006A3D9A" w:rsidP="00AC7746">
      <w:pPr>
        <w:numPr>
          <w:ilvl w:val="0"/>
          <w:numId w:val="27"/>
        </w:numPr>
        <w:rPr>
          <w:rFonts w:cs="Arial"/>
          <w:sz w:val="20"/>
        </w:rPr>
      </w:pPr>
      <w:r>
        <w:rPr>
          <w:rFonts w:cs="Arial"/>
          <w:sz w:val="20"/>
        </w:rPr>
        <w:t xml:space="preserve">Continuous Performance </w:t>
      </w:r>
      <w:r w:rsidR="009E70C4">
        <w:rPr>
          <w:rFonts w:cs="Arial"/>
          <w:sz w:val="20"/>
        </w:rPr>
        <w:t>Enablement</w:t>
      </w:r>
      <w:r>
        <w:rPr>
          <w:rFonts w:cs="Arial"/>
          <w:sz w:val="20"/>
        </w:rPr>
        <w:t xml:space="preserve"> </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4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00" w:firstRow="0" w:lastRow="0" w:firstColumn="0" w:lastColumn="0" w:noHBand="0" w:noVBand="0"/>
      </w:tblPr>
      <w:tblGrid>
        <w:gridCol w:w="752"/>
        <w:gridCol w:w="10049"/>
      </w:tblGrid>
      <w:tr w:rsidR="00016922" w:rsidRPr="006108A0" w14:paraId="563F284C" w14:textId="77777777" w:rsidTr="005167BB">
        <w:tc>
          <w:tcPr>
            <w:tcW w:w="348"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652"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016922" w:rsidRPr="006108A0" w14:paraId="28268E73" w14:textId="77777777" w:rsidTr="005167BB">
        <w:tc>
          <w:tcPr>
            <w:tcW w:w="348" w:type="pct"/>
            <w:tcBorders>
              <w:top w:val="single" w:sz="4" w:space="0" w:color="auto"/>
              <w:left w:val="nil"/>
              <w:bottom w:val="single" w:sz="4" w:space="0" w:color="auto"/>
              <w:right w:val="nil"/>
            </w:tcBorders>
          </w:tcPr>
          <w:p w14:paraId="794D0109" w14:textId="1EABBF21" w:rsidR="00016922" w:rsidRPr="006108A0" w:rsidRDefault="00C5266A" w:rsidP="0006055C">
            <w:pPr>
              <w:pStyle w:val="StepsNumber"/>
              <w:rPr>
                <w:rFonts w:cs="Arial"/>
              </w:rPr>
            </w:pPr>
            <w:r>
              <w:rPr>
                <w:rFonts w:cs="Arial"/>
              </w:rPr>
              <w:t>1</w:t>
            </w:r>
          </w:p>
        </w:tc>
        <w:tc>
          <w:tcPr>
            <w:tcW w:w="4652" w:type="pct"/>
            <w:tcBorders>
              <w:top w:val="single" w:sz="4" w:space="0" w:color="auto"/>
              <w:left w:val="nil"/>
              <w:bottom w:val="single" w:sz="4" w:space="0" w:color="auto"/>
              <w:right w:val="single" w:sz="4" w:space="0" w:color="auto"/>
            </w:tcBorders>
          </w:tcPr>
          <w:p w14:paraId="273A6FC1" w14:textId="77777777" w:rsidR="00C5266A" w:rsidRDefault="00C5266A" w:rsidP="00DE0D50">
            <w:pPr>
              <w:pStyle w:val="BodyText1"/>
              <w:rPr>
                <w:rFonts w:ascii="Arial" w:hAnsi="Arial" w:cs="Arial"/>
                <w:sz w:val="20"/>
              </w:rPr>
            </w:pPr>
            <w:r>
              <w:rPr>
                <w:rFonts w:ascii="Arial" w:hAnsi="Arial" w:cs="Arial"/>
                <w:sz w:val="20"/>
              </w:rPr>
              <w:t>Research outages for services that are manually monitored.</w:t>
            </w:r>
          </w:p>
          <w:p w14:paraId="6E75DA0D" w14:textId="77777777" w:rsidR="00C5266A" w:rsidRDefault="00C5266A" w:rsidP="00DE0D50">
            <w:pPr>
              <w:pStyle w:val="BodyText1"/>
              <w:rPr>
                <w:rFonts w:ascii="Arial" w:hAnsi="Arial" w:cs="Arial"/>
                <w:sz w:val="20"/>
              </w:rPr>
            </w:pPr>
          </w:p>
          <w:p w14:paraId="74D8413F" w14:textId="590A06E3" w:rsidR="00C5266A" w:rsidRDefault="00C5266A" w:rsidP="00C5266A">
            <w:pPr>
              <w:pStyle w:val="BodyText1"/>
              <w:numPr>
                <w:ilvl w:val="0"/>
                <w:numId w:val="37"/>
              </w:numPr>
              <w:rPr>
                <w:rFonts w:ascii="Arial" w:hAnsi="Arial" w:cs="Arial"/>
                <w:sz w:val="20"/>
              </w:rPr>
            </w:pPr>
            <w:r>
              <w:rPr>
                <w:rFonts w:ascii="Arial" w:hAnsi="Arial" w:cs="Arial"/>
                <w:sz w:val="20"/>
              </w:rPr>
              <w:t xml:space="preserve">Open Tier 1 </w:t>
            </w:r>
            <w:r w:rsidR="00095AA6">
              <w:rPr>
                <w:rFonts w:ascii="Arial" w:hAnsi="Arial" w:cs="Arial"/>
                <w:sz w:val="20"/>
              </w:rPr>
              <w:t xml:space="preserve">Tracking YYYY </w:t>
            </w:r>
            <w:r>
              <w:rPr>
                <w:rFonts w:ascii="Arial" w:hAnsi="Arial" w:cs="Arial"/>
                <w:sz w:val="20"/>
              </w:rPr>
              <w:t xml:space="preserve">and Tier 2 </w:t>
            </w:r>
            <w:r w:rsidR="00095AA6">
              <w:rPr>
                <w:rFonts w:ascii="Arial" w:hAnsi="Arial" w:cs="Arial"/>
                <w:sz w:val="20"/>
              </w:rPr>
              <w:t>Tracking YYYY</w:t>
            </w:r>
            <w:r>
              <w:rPr>
                <w:rFonts w:ascii="Arial" w:hAnsi="Arial" w:cs="Arial"/>
                <w:sz w:val="20"/>
              </w:rPr>
              <w:t xml:space="preserve"> spreadsheets.</w:t>
            </w:r>
          </w:p>
          <w:p w14:paraId="09DEE81C" w14:textId="442286AE" w:rsidR="00C5266A" w:rsidRDefault="00C5266A" w:rsidP="00C5266A">
            <w:pPr>
              <w:pStyle w:val="BodyText1"/>
              <w:ind w:left="720"/>
              <w:rPr>
                <w:rFonts w:ascii="Arial" w:hAnsi="Arial" w:cs="Arial"/>
                <w:sz w:val="20"/>
              </w:rPr>
            </w:pPr>
            <w:r>
              <w:rPr>
                <w:rFonts w:ascii="Arial" w:hAnsi="Arial" w:cs="Arial"/>
                <w:sz w:val="20"/>
              </w:rPr>
              <w:t>For more information see:</w:t>
            </w:r>
          </w:p>
          <w:p w14:paraId="07DBC563" w14:textId="037E57C7" w:rsidR="00C83A5C" w:rsidRDefault="009E70C4" w:rsidP="00C83A5C">
            <w:pPr>
              <w:pStyle w:val="BodyText1"/>
              <w:ind w:left="720"/>
              <w:rPr>
                <w:rFonts w:ascii="Arial" w:hAnsi="Arial" w:cs="Arial"/>
                <w:sz w:val="20"/>
              </w:rPr>
            </w:pPr>
            <w:hyperlink r:id="rId12" w:history="1">
              <w:r w:rsidR="00C5266A" w:rsidRPr="00C83A5C">
                <w:rPr>
                  <w:rStyle w:val="Hyperlink"/>
                  <w:rFonts w:ascii="Arial" w:hAnsi="Arial" w:cs="Arial"/>
                  <w:sz w:val="20"/>
                </w:rPr>
                <w:t>Spreadsheet for Manually Monitored Services</w:t>
              </w:r>
              <w:r w:rsidR="00C83A5C" w:rsidRPr="00C83A5C">
                <w:rPr>
                  <w:rStyle w:val="Hyperlink"/>
                  <w:rFonts w:ascii="Arial" w:hAnsi="Arial" w:cs="Arial"/>
                  <w:sz w:val="20"/>
                </w:rPr>
                <w:t xml:space="preserve"> </w:t>
              </w:r>
              <w:r w:rsidR="00C83A5C" w:rsidRPr="00C83A5C">
                <w:rPr>
                  <w:rStyle w:val="Hyperlink"/>
                  <w:rFonts w:ascii="Arial" w:hAnsi="Arial"/>
                  <w:sz w:val="20"/>
                </w:rPr>
                <w:t>Documentation</w:t>
              </w:r>
            </w:hyperlink>
          </w:p>
          <w:p w14:paraId="65E5F5BC" w14:textId="72D8F27E" w:rsidR="00AC7746" w:rsidRDefault="00A94FFD" w:rsidP="00C5266A">
            <w:pPr>
              <w:pStyle w:val="BodyText1"/>
              <w:numPr>
                <w:ilvl w:val="0"/>
                <w:numId w:val="37"/>
              </w:numPr>
              <w:rPr>
                <w:rFonts w:ascii="Arial" w:hAnsi="Arial" w:cs="Arial"/>
                <w:sz w:val="20"/>
              </w:rPr>
            </w:pPr>
            <w:r>
              <w:rPr>
                <w:rFonts w:ascii="Arial" w:hAnsi="Arial" w:cs="Arial"/>
                <w:sz w:val="20"/>
              </w:rPr>
              <w:t>Access Remedy to investigate if any outages for the service has occurred during the month so far:</w:t>
            </w:r>
          </w:p>
          <w:p w14:paraId="102A37CF" w14:textId="6896FAB5" w:rsidR="00525E67" w:rsidRDefault="009E70C4" w:rsidP="00C5266A">
            <w:pPr>
              <w:pStyle w:val="BodyText1"/>
              <w:ind w:left="720"/>
              <w:rPr>
                <w:rFonts w:ascii="Arial" w:hAnsi="Arial" w:cs="Arial"/>
                <w:sz w:val="20"/>
              </w:rPr>
            </w:pPr>
            <w:hyperlink r:id="rId13" w:history="1">
              <w:r w:rsidR="00525E67" w:rsidRPr="006A6488">
                <w:rPr>
                  <w:rStyle w:val="Hyperlink"/>
                  <w:rFonts w:ascii="Arial" w:hAnsi="Arial" w:cs="Arial"/>
                  <w:sz w:val="20"/>
                </w:rPr>
                <w:t>https://remedy.jacksonnational.com/arsys</w:t>
              </w:r>
            </w:hyperlink>
          </w:p>
          <w:p w14:paraId="5F26A257" w14:textId="76B881B8" w:rsidR="00525E67" w:rsidRDefault="00511E9F" w:rsidP="00C5266A">
            <w:pPr>
              <w:pStyle w:val="BodyText1"/>
              <w:numPr>
                <w:ilvl w:val="0"/>
                <w:numId w:val="37"/>
              </w:numPr>
              <w:rPr>
                <w:rFonts w:ascii="Arial" w:hAnsi="Arial" w:cs="Arial"/>
                <w:sz w:val="20"/>
              </w:rPr>
            </w:pPr>
            <w:r>
              <w:rPr>
                <w:rFonts w:ascii="Arial" w:hAnsi="Arial" w:cs="Arial"/>
                <w:sz w:val="20"/>
              </w:rPr>
              <w:t>In Remedy, click on the “Applications” tab on the side.</w:t>
            </w:r>
          </w:p>
          <w:p w14:paraId="584104ED" w14:textId="2C20BE05" w:rsidR="00511E9F" w:rsidRDefault="00511E9F" w:rsidP="00C5266A">
            <w:pPr>
              <w:pStyle w:val="BodyText1"/>
              <w:numPr>
                <w:ilvl w:val="0"/>
                <w:numId w:val="37"/>
              </w:numPr>
              <w:rPr>
                <w:rFonts w:ascii="Arial" w:hAnsi="Arial" w:cs="Arial"/>
                <w:sz w:val="20"/>
              </w:rPr>
            </w:pPr>
            <w:r>
              <w:rPr>
                <w:rFonts w:ascii="Arial" w:hAnsi="Arial" w:cs="Arial"/>
                <w:sz w:val="20"/>
              </w:rPr>
              <w:t>Click “Incident Management”</w:t>
            </w:r>
          </w:p>
          <w:p w14:paraId="7F269F5A" w14:textId="12666267" w:rsidR="00511E9F" w:rsidRDefault="00511E9F" w:rsidP="00C5266A">
            <w:pPr>
              <w:pStyle w:val="BodyText1"/>
              <w:numPr>
                <w:ilvl w:val="0"/>
                <w:numId w:val="37"/>
              </w:numPr>
              <w:rPr>
                <w:rFonts w:ascii="Arial" w:hAnsi="Arial" w:cs="Arial"/>
                <w:sz w:val="20"/>
              </w:rPr>
            </w:pPr>
            <w:r>
              <w:rPr>
                <w:rFonts w:ascii="Arial" w:hAnsi="Arial" w:cs="Arial"/>
                <w:sz w:val="20"/>
              </w:rPr>
              <w:t>Click “Search Incident”</w:t>
            </w:r>
          </w:p>
          <w:p w14:paraId="0092E5C5" w14:textId="7F260ACF" w:rsidR="00511E9F" w:rsidRDefault="00511E9F" w:rsidP="00C5266A">
            <w:pPr>
              <w:pStyle w:val="BodyText1"/>
              <w:ind w:left="720"/>
              <w:rPr>
                <w:rFonts w:ascii="Arial" w:hAnsi="Arial" w:cs="Arial"/>
                <w:sz w:val="20"/>
              </w:rPr>
            </w:pPr>
            <w:r>
              <w:rPr>
                <w:noProof/>
              </w:rPr>
              <w:drawing>
                <wp:inline distT="0" distB="0" distL="0" distR="0" wp14:anchorId="453DBCAE" wp14:editId="74E8FB7F">
                  <wp:extent cx="1269241" cy="1601196"/>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6774" cy="1610699"/>
                          </a:xfrm>
                          <a:prstGeom prst="rect">
                            <a:avLst/>
                          </a:prstGeom>
                        </pic:spPr>
                      </pic:pic>
                    </a:graphicData>
                  </a:graphic>
                </wp:inline>
              </w:drawing>
            </w:r>
          </w:p>
          <w:p w14:paraId="7179B4D0" w14:textId="5064522E" w:rsidR="00FB6BF5" w:rsidRDefault="00FB6BF5" w:rsidP="00C5266A">
            <w:pPr>
              <w:pStyle w:val="BodyText1"/>
              <w:numPr>
                <w:ilvl w:val="0"/>
                <w:numId w:val="37"/>
              </w:numPr>
              <w:rPr>
                <w:rFonts w:ascii="Arial" w:hAnsi="Arial" w:cs="Arial"/>
                <w:sz w:val="20"/>
              </w:rPr>
            </w:pPr>
            <w:r>
              <w:rPr>
                <w:rFonts w:ascii="Arial" w:hAnsi="Arial" w:cs="Arial"/>
                <w:sz w:val="20"/>
              </w:rPr>
              <w:t>Set the “Environment” field to “Production”.</w:t>
            </w:r>
          </w:p>
          <w:p w14:paraId="468AE8FA" w14:textId="6AB909C1" w:rsidR="00511E9F" w:rsidRDefault="00511E9F" w:rsidP="00C5266A">
            <w:pPr>
              <w:pStyle w:val="BodyText1"/>
              <w:numPr>
                <w:ilvl w:val="0"/>
                <w:numId w:val="37"/>
              </w:numPr>
              <w:rPr>
                <w:rFonts w:ascii="Arial" w:hAnsi="Arial" w:cs="Arial"/>
                <w:sz w:val="20"/>
              </w:rPr>
            </w:pPr>
            <w:r>
              <w:rPr>
                <w:rFonts w:ascii="Arial" w:hAnsi="Arial" w:cs="Arial"/>
                <w:sz w:val="20"/>
              </w:rPr>
              <w:t xml:space="preserve">In the “Service” field, type in the service name or use the </w:t>
            </w:r>
            <w:r w:rsidR="009042A0">
              <w:rPr>
                <w:rFonts w:ascii="Arial" w:hAnsi="Arial" w:cs="Arial"/>
                <w:sz w:val="20"/>
              </w:rPr>
              <w:t>drop-down</w:t>
            </w:r>
            <w:r>
              <w:rPr>
                <w:rFonts w:ascii="Arial" w:hAnsi="Arial" w:cs="Arial"/>
                <w:sz w:val="20"/>
              </w:rPr>
              <w:t xml:space="preserve"> arrow to find the service in the list.</w:t>
            </w:r>
          </w:p>
          <w:p w14:paraId="7E7A47F1" w14:textId="4B76E6DA" w:rsidR="00511E9F" w:rsidRDefault="004D4140" w:rsidP="00C5266A">
            <w:pPr>
              <w:pStyle w:val="BodyText1"/>
              <w:ind w:left="720"/>
              <w:rPr>
                <w:rFonts w:ascii="Arial" w:hAnsi="Arial" w:cs="Arial"/>
                <w:sz w:val="20"/>
              </w:rPr>
            </w:pPr>
            <w:r>
              <w:rPr>
                <w:noProof/>
              </w:rPr>
              <w:drawing>
                <wp:inline distT="0" distB="0" distL="0" distR="0" wp14:anchorId="3AAE6DA9" wp14:editId="50B1AE41">
                  <wp:extent cx="3419475" cy="304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475" cy="304800"/>
                          </a:xfrm>
                          <a:prstGeom prst="rect">
                            <a:avLst/>
                          </a:prstGeom>
                        </pic:spPr>
                      </pic:pic>
                    </a:graphicData>
                  </a:graphic>
                </wp:inline>
              </w:drawing>
            </w:r>
          </w:p>
          <w:p w14:paraId="2B8320F9" w14:textId="77777777" w:rsidR="004D4140" w:rsidRDefault="004D4140" w:rsidP="00511E9F">
            <w:pPr>
              <w:pStyle w:val="BodyText1"/>
              <w:jc w:val="center"/>
              <w:rPr>
                <w:rFonts w:ascii="Arial" w:hAnsi="Arial" w:cs="Arial"/>
                <w:sz w:val="20"/>
              </w:rPr>
            </w:pPr>
          </w:p>
          <w:p w14:paraId="311AB583" w14:textId="031CE9CB" w:rsidR="00511E9F" w:rsidRDefault="00511E9F" w:rsidP="00C5266A">
            <w:pPr>
              <w:pStyle w:val="BodyText1"/>
              <w:ind w:left="720"/>
              <w:rPr>
                <w:rFonts w:ascii="Arial" w:hAnsi="Arial" w:cs="Arial"/>
                <w:sz w:val="20"/>
              </w:rPr>
            </w:pPr>
            <w:r>
              <w:rPr>
                <w:noProof/>
              </w:rPr>
              <w:drawing>
                <wp:inline distT="0" distB="0" distL="0" distR="0" wp14:anchorId="411C29B1" wp14:editId="70784FA1">
                  <wp:extent cx="3448050" cy="352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8050" cy="352425"/>
                          </a:xfrm>
                          <a:prstGeom prst="rect">
                            <a:avLst/>
                          </a:prstGeom>
                        </pic:spPr>
                      </pic:pic>
                    </a:graphicData>
                  </a:graphic>
                </wp:inline>
              </w:drawing>
            </w:r>
          </w:p>
          <w:p w14:paraId="50721A80" w14:textId="43BA7AD4" w:rsidR="00B377E9" w:rsidRPr="00B377E9" w:rsidRDefault="00511E9F" w:rsidP="00B377E9">
            <w:pPr>
              <w:pStyle w:val="BodyText1"/>
              <w:numPr>
                <w:ilvl w:val="0"/>
                <w:numId w:val="34"/>
              </w:numPr>
              <w:rPr>
                <w:rFonts w:ascii="Arial" w:hAnsi="Arial" w:cs="Arial"/>
                <w:sz w:val="20"/>
              </w:rPr>
            </w:pPr>
            <w:r>
              <w:rPr>
                <w:rFonts w:ascii="Arial" w:hAnsi="Arial" w:cs="Arial"/>
                <w:sz w:val="20"/>
              </w:rPr>
              <w:t>Services will be suffixed with “Tech Service” or SLM Service”.</w:t>
            </w:r>
          </w:p>
          <w:p w14:paraId="26BE7AA5" w14:textId="65F9341E" w:rsidR="00511E9F" w:rsidRDefault="00511E9F" w:rsidP="00511E9F">
            <w:pPr>
              <w:pStyle w:val="BodyText1"/>
              <w:numPr>
                <w:ilvl w:val="0"/>
                <w:numId w:val="34"/>
              </w:numPr>
              <w:rPr>
                <w:rFonts w:ascii="Arial" w:hAnsi="Arial" w:cs="Arial"/>
                <w:sz w:val="20"/>
              </w:rPr>
            </w:pPr>
            <w:r>
              <w:rPr>
                <w:rFonts w:ascii="Arial" w:hAnsi="Arial" w:cs="Arial"/>
                <w:sz w:val="20"/>
              </w:rPr>
              <w:t xml:space="preserve">Services that are suffixed with “SLM Service” are only used </w:t>
            </w:r>
            <w:r w:rsidR="00CF49EB">
              <w:rPr>
                <w:rFonts w:ascii="Arial" w:hAnsi="Arial" w:cs="Arial"/>
                <w:sz w:val="20"/>
              </w:rPr>
              <w:t xml:space="preserve">by </w:t>
            </w:r>
            <w:r>
              <w:rPr>
                <w:rFonts w:ascii="Arial" w:hAnsi="Arial" w:cs="Arial"/>
                <w:sz w:val="20"/>
              </w:rPr>
              <w:t xml:space="preserve">the SLM Team, mainly in the case of auto-created incidents from Event Manager / True Sight or for testing purposes. See </w:t>
            </w:r>
            <w:r w:rsidR="006D0CF3">
              <w:rPr>
                <w:rFonts w:ascii="Arial" w:hAnsi="Arial" w:cs="Arial"/>
                <w:sz w:val="20"/>
              </w:rPr>
              <w:t>q</w:t>
            </w:r>
            <w:r w:rsidR="00B377E9">
              <w:rPr>
                <w:rFonts w:ascii="Arial" w:hAnsi="Arial" w:cs="Arial"/>
                <w:sz w:val="20"/>
              </w:rPr>
              <w:t>) below.</w:t>
            </w:r>
          </w:p>
          <w:p w14:paraId="484B9133" w14:textId="2ABDA255" w:rsidR="00511E9F" w:rsidRDefault="00511E9F" w:rsidP="00C5266A">
            <w:pPr>
              <w:pStyle w:val="BodyText1"/>
              <w:numPr>
                <w:ilvl w:val="0"/>
                <w:numId w:val="37"/>
              </w:numPr>
              <w:rPr>
                <w:rFonts w:ascii="Arial" w:hAnsi="Arial" w:cs="Arial"/>
                <w:sz w:val="20"/>
              </w:rPr>
            </w:pPr>
            <w:r>
              <w:rPr>
                <w:rFonts w:ascii="Arial" w:hAnsi="Arial" w:cs="Arial"/>
                <w:sz w:val="20"/>
              </w:rPr>
              <w:t>Click the “</w:t>
            </w:r>
            <w:r w:rsidR="0063540F">
              <w:rPr>
                <w:rFonts w:ascii="Arial" w:hAnsi="Arial" w:cs="Arial"/>
                <w:sz w:val="20"/>
              </w:rPr>
              <w:t xml:space="preserve">Advanced </w:t>
            </w:r>
            <w:r>
              <w:rPr>
                <w:rFonts w:ascii="Arial" w:hAnsi="Arial" w:cs="Arial"/>
                <w:sz w:val="20"/>
              </w:rPr>
              <w:t>Search” button</w:t>
            </w:r>
            <w:r w:rsidR="0063540F">
              <w:rPr>
                <w:rFonts w:ascii="Arial" w:hAnsi="Arial" w:cs="Arial"/>
                <w:sz w:val="20"/>
              </w:rPr>
              <w:t>.</w:t>
            </w:r>
          </w:p>
          <w:p w14:paraId="3E7DE0C9" w14:textId="48096D1F" w:rsidR="00511E9F" w:rsidRDefault="0063540F" w:rsidP="00C5266A">
            <w:pPr>
              <w:pStyle w:val="BodyText1"/>
              <w:ind w:left="720"/>
              <w:rPr>
                <w:rFonts w:ascii="Arial" w:hAnsi="Arial" w:cs="Arial"/>
                <w:sz w:val="20"/>
              </w:rPr>
            </w:pPr>
            <w:r>
              <w:rPr>
                <w:noProof/>
              </w:rPr>
              <w:lastRenderedPageBreak/>
              <w:drawing>
                <wp:inline distT="0" distB="0" distL="0" distR="0" wp14:anchorId="7B4249A9" wp14:editId="3910C8CA">
                  <wp:extent cx="1038225" cy="428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38225" cy="428625"/>
                          </a:xfrm>
                          <a:prstGeom prst="rect">
                            <a:avLst/>
                          </a:prstGeom>
                        </pic:spPr>
                      </pic:pic>
                    </a:graphicData>
                  </a:graphic>
                </wp:inline>
              </w:drawing>
            </w:r>
          </w:p>
          <w:p w14:paraId="2CAC1ABA" w14:textId="57B82F71" w:rsidR="0063540F" w:rsidRDefault="0063540F" w:rsidP="00C5266A">
            <w:pPr>
              <w:pStyle w:val="BodyText1"/>
              <w:numPr>
                <w:ilvl w:val="0"/>
                <w:numId w:val="37"/>
              </w:numPr>
              <w:rPr>
                <w:rFonts w:ascii="Arial" w:hAnsi="Arial" w:cs="Arial"/>
                <w:sz w:val="20"/>
              </w:rPr>
            </w:pPr>
            <w:r>
              <w:rPr>
                <w:rFonts w:ascii="Arial" w:hAnsi="Arial" w:cs="Arial"/>
                <w:sz w:val="20"/>
              </w:rPr>
              <w:t>Click the “Fields” button at the bottom of the screen.</w:t>
            </w:r>
          </w:p>
          <w:p w14:paraId="7ACE0629" w14:textId="76C774F5" w:rsidR="0063540F" w:rsidRDefault="0063540F" w:rsidP="0063540F">
            <w:pPr>
              <w:pStyle w:val="BodyText1"/>
              <w:ind w:left="720"/>
              <w:rPr>
                <w:rFonts w:ascii="Arial" w:hAnsi="Arial" w:cs="Arial"/>
                <w:sz w:val="20"/>
              </w:rPr>
            </w:pPr>
            <w:r>
              <w:rPr>
                <w:noProof/>
              </w:rPr>
              <w:drawing>
                <wp:inline distT="0" distB="0" distL="0" distR="0" wp14:anchorId="202A96D7" wp14:editId="1CE98B9A">
                  <wp:extent cx="762000" cy="35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2000" cy="352425"/>
                          </a:xfrm>
                          <a:prstGeom prst="rect">
                            <a:avLst/>
                          </a:prstGeom>
                        </pic:spPr>
                      </pic:pic>
                    </a:graphicData>
                  </a:graphic>
                </wp:inline>
              </w:drawing>
            </w:r>
          </w:p>
          <w:p w14:paraId="5CDEC7E0" w14:textId="31A5F3DB" w:rsidR="0063540F" w:rsidRDefault="0063540F" w:rsidP="00C5266A">
            <w:pPr>
              <w:pStyle w:val="BodyText1"/>
              <w:numPr>
                <w:ilvl w:val="0"/>
                <w:numId w:val="37"/>
              </w:numPr>
              <w:rPr>
                <w:rFonts w:ascii="Arial" w:hAnsi="Arial" w:cs="Arial"/>
                <w:sz w:val="20"/>
              </w:rPr>
            </w:pPr>
            <w:r>
              <w:rPr>
                <w:rFonts w:ascii="Arial" w:hAnsi="Arial" w:cs="Arial"/>
                <w:sz w:val="20"/>
              </w:rPr>
              <w:t>Select “Fields”</w:t>
            </w:r>
          </w:p>
          <w:p w14:paraId="4688F94A" w14:textId="25620C27" w:rsidR="0063540F" w:rsidRDefault="0063540F" w:rsidP="00C5266A">
            <w:pPr>
              <w:pStyle w:val="BodyText1"/>
              <w:numPr>
                <w:ilvl w:val="0"/>
                <w:numId w:val="37"/>
              </w:numPr>
              <w:rPr>
                <w:rFonts w:ascii="Arial" w:hAnsi="Arial" w:cs="Arial"/>
                <w:sz w:val="20"/>
              </w:rPr>
            </w:pPr>
            <w:r>
              <w:rPr>
                <w:rFonts w:ascii="Arial" w:hAnsi="Arial" w:cs="Arial"/>
                <w:sz w:val="20"/>
              </w:rPr>
              <w:t>Select “Reported Date+”</w:t>
            </w:r>
          </w:p>
          <w:p w14:paraId="3D790205" w14:textId="1D77C4CC" w:rsidR="0063540F" w:rsidRDefault="0063540F" w:rsidP="00C5266A">
            <w:pPr>
              <w:pStyle w:val="BodyText1"/>
              <w:numPr>
                <w:ilvl w:val="0"/>
                <w:numId w:val="37"/>
              </w:numPr>
              <w:rPr>
                <w:rFonts w:ascii="Arial" w:hAnsi="Arial" w:cs="Arial"/>
                <w:sz w:val="20"/>
              </w:rPr>
            </w:pPr>
            <w:r>
              <w:rPr>
                <w:rFonts w:ascii="Arial" w:hAnsi="Arial" w:cs="Arial"/>
                <w:sz w:val="20"/>
              </w:rPr>
              <w:t>Select the “&gt;</w:t>
            </w:r>
            <w:r w:rsidR="004825CF">
              <w:rPr>
                <w:rFonts w:ascii="Arial" w:hAnsi="Arial" w:cs="Arial"/>
                <w:sz w:val="20"/>
              </w:rPr>
              <w:t>=</w:t>
            </w:r>
            <w:r>
              <w:rPr>
                <w:rFonts w:ascii="Arial" w:hAnsi="Arial" w:cs="Arial"/>
                <w:sz w:val="20"/>
              </w:rPr>
              <w:t>” button.</w:t>
            </w:r>
          </w:p>
          <w:p w14:paraId="26B5A631" w14:textId="4D69BD05" w:rsidR="0063540F" w:rsidRDefault="004825CF" w:rsidP="0063540F">
            <w:pPr>
              <w:pStyle w:val="BodyText1"/>
              <w:ind w:left="720"/>
              <w:rPr>
                <w:rFonts w:ascii="Arial" w:hAnsi="Arial" w:cs="Arial"/>
                <w:sz w:val="20"/>
              </w:rPr>
            </w:pPr>
            <w:r>
              <w:rPr>
                <w:noProof/>
              </w:rPr>
              <w:drawing>
                <wp:inline distT="0" distB="0" distL="0" distR="0" wp14:anchorId="6C853491" wp14:editId="4D3E9104">
                  <wp:extent cx="714375" cy="428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4375" cy="428625"/>
                          </a:xfrm>
                          <a:prstGeom prst="rect">
                            <a:avLst/>
                          </a:prstGeom>
                        </pic:spPr>
                      </pic:pic>
                    </a:graphicData>
                  </a:graphic>
                </wp:inline>
              </w:drawing>
            </w:r>
          </w:p>
          <w:p w14:paraId="1A6AFF0A" w14:textId="355C11F2" w:rsidR="0063540F" w:rsidRDefault="004825CF" w:rsidP="00C5266A">
            <w:pPr>
              <w:pStyle w:val="BodyText1"/>
              <w:numPr>
                <w:ilvl w:val="0"/>
                <w:numId w:val="37"/>
              </w:numPr>
              <w:rPr>
                <w:rFonts w:ascii="Arial" w:hAnsi="Arial" w:cs="Arial"/>
                <w:sz w:val="20"/>
              </w:rPr>
            </w:pPr>
            <w:r>
              <w:rPr>
                <w:rFonts w:ascii="Arial" w:hAnsi="Arial" w:cs="Arial"/>
                <w:sz w:val="20"/>
              </w:rPr>
              <w:t>Type in the first date in which to perform a search: Example: “12012018”.</w:t>
            </w:r>
          </w:p>
          <w:p w14:paraId="40498CBF" w14:textId="7F21FC29" w:rsidR="0063540F" w:rsidRDefault="004825CF" w:rsidP="0063540F">
            <w:pPr>
              <w:pStyle w:val="BodyText1"/>
              <w:ind w:left="720"/>
              <w:rPr>
                <w:rFonts w:ascii="Arial" w:hAnsi="Arial" w:cs="Arial"/>
                <w:sz w:val="20"/>
              </w:rPr>
            </w:pPr>
            <w:r>
              <w:rPr>
                <w:rFonts w:ascii="Arial" w:hAnsi="Arial" w:cs="Arial"/>
                <w:sz w:val="20"/>
              </w:rPr>
              <w:t>This will show all tickets for the service starting at the date that was typed in.</w:t>
            </w:r>
          </w:p>
          <w:p w14:paraId="01A14BF8" w14:textId="5C6FB709" w:rsidR="00511E9F" w:rsidRPr="00511E9F" w:rsidRDefault="004825CF" w:rsidP="00C5266A">
            <w:pPr>
              <w:pStyle w:val="BodyText1"/>
              <w:numPr>
                <w:ilvl w:val="0"/>
                <w:numId w:val="37"/>
              </w:numPr>
              <w:rPr>
                <w:rFonts w:ascii="Arial" w:hAnsi="Arial" w:cs="Arial"/>
                <w:sz w:val="20"/>
              </w:rPr>
            </w:pPr>
            <w:r>
              <w:rPr>
                <w:rFonts w:ascii="Arial" w:hAnsi="Arial" w:cs="Arial"/>
                <w:sz w:val="20"/>
              </w:rPr>
              <w:t>If an outage is found, c</w:t>
            </w:r>
            <w:r w:rsidR="00511E9F" w:rsidRPr="00511E9F">
              <w:rPr>
                <w:rFonts w:ascii="Arial" w:hAnsi="Arial" w:cs="Arial"/>
                <w:sz w:val="20"/>
              </w:rPr>
              <w:t>lick the “Date/System” tab</w:t>
            </w:r>
            <w:r>
              <w:rPr>
                <w:rFonts w:ascii="Arial" w:hAnsi="Arial" w:cs="Arial"/>
                <w:sz w:val="20"/>
              </w:rPr>
              <w:t>.</w:t>
            </w:r>
          </w:p>
          <w:p w14:paraId="2134D52F" w14:textId="6035333E" w:rsidR="00511E9F" w:rsidRDefault="00511E9F" w:rsidP="00C5266A">
            <w:pPr>
              <w:pStyle w:val="BodyText1"/>
              <w:ind w:left="720"/>
              <w:rPr>
                <w:rFonts w:ascii="Arial" w:hAnsi="Arial" w:cs="Arial"/>
                <w:sz w:val="20"/>
              </w:rPr>
            </w:pPr>
            <w:r>
              <w:rPr>
                <w:noProof/>
              </w:rPr>
              <w:drawing>
                <wp:inline distT="0" distB="0" distL="0" distR="0" wp14:anchorId="14A340FE" wp14:editId="5600FE21">
                  <wp:extent cx="3886200" cy="34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6200" cy="342900"/>
                          </a:xfrm>
                          <a:prstGeom prst="rect">
                            <a:avLst/>
                          </a:prstGeom>
                        </pic:spPr>
                      </pic:pic>
                    </a:graphicData>
                  </a:graphic>
                </wp:inline>
              </w:drawing>
            </w:r>
          </w:p>
          <w:p w14:paraId="73FBC73C" w14:textId="7669974B" w:rsidR="00FB6BF5" w:rsidRDefault="0063540F" w:rsidP="00C5266A">
            <w:pPr>
              <w:pStyle w:val="BodyText1"/>
              <w:numPr>
                <w:ilvl w:val="0"/>
                <w:numId w:val="37"/>
              </w:numPr>
              <w:rPr>
                <w:rFonts w:ascii="Arial" w:hAnsi="Arial" w:cs="Arial"/>
                <w:sz w:val="20"/>
              </w:rPr>
            </w:pPr>
            <w:r>
              <w:rPr>
                <w:rFonts w:ascii="Arial" w:hAnsi="Arial" w:cs="Arial"/>
                <w:sz w:val="20"/>
              </w:rPr>
              <w:t>Use the date in the “Reported Date” f</w:t>
            </w:r>
            <w:r w:rsidR="004825CF">
              <w:rPr>
                <w:rFonts w:ascii="Arial" w:hAnsi="Arial" w:cs="Arial"/>
                <w:sz w:val="20"/>
              </w:rPr>
              <w:t>ield as the start time of the outage.</w:t>
            </w:r>
          </w:p>
          <w:p w14:paraId="48815FF3" w14:textId="0E618EC6" w:rsidR="00FB6BF5" w:rsidRDefault="00FB6BF5" w:rsidP="00C5266A">
            <w:pPr>
              <w:pStyle w:val="BodyText1"/>
              <w:numPr>
                <w:ilvl w:val="0"/>
                <w:numId w:val="37"/>
              </w:numPr>
              <w:rPr>
                <w:rFonts w:ascii="Arial" w:hAnsi="Arial" w:cs="Arial"/>
                <w:sz w:val="20"/>
              </w:rPr>
            </w:pPr>
            <w:r>
              <w:rPr>
                <w:rFonts w:ascii="Arial" w:hAnsi="Arial" w:cs="Arial"/>
                <w:sz w:val="20"/>
              </w:rPr>
              <w:t>When reviewing Incident tickets look over the following fields:</w:t>
            </w:r>
          </w:p>
          <w:p w14:paraId="4FAF06A3" w14:textId="6BAF67FB" w:rsidR="00FB6BF5" w:rsidRDefault="00FB6BF5" w:rsidP="00FB6BF5">
            <w:pPr>
              <w:pStyle w:val="BodyText1"/>
              <w:numPr>
                <w:ilvl w:val="0"/>
                <w:numId w:val="35"/>
              </w:numPr>
              <w:rPr>
                <w:rFonts w:ascii="Arial" w:hAnsi="Arial" w:cs="Arial"/>
                <w:sz w:val="20"/>
              </w:rPr>
            </w:pPr>
            <w:r w:rsidRPr="004563AB">
              <w:rPr>
                <w:rFonts w:ascii="Arial" w:hAnsi="Arial" w:cs="Arial"/>
                <w:b/>
                <w:sz w:val="20"/>
              </w:rPr>
              <w:t>Incident Type</w:t>
            </w:r>
            <w:r>
              <w:rPr>
                <w:rFonts w:ascii="Arial" w:hAnsi="Arial" w:cs="Arial"/>
                <w:sz w:val="20"/>
              </w:rPr>
              <w:t xml:space="preserve"> – “Infrastructure Restoration” and “Infrastructure Event” most likely indicate that there was an actual issue with the service.  “User Service Restoration” could be linked to a bigger issue, but these ticket are normally individual problems.  “User Service Request” can be ignored.</w:t>
            </w:r>
          </w:p>
          <w:p w14:paraId="4334ECAA" w14:textId="0B5394D8" w:rsidR="00FB6BF5" w:rsidRDefault="00FB6BF5" w:rsidP="00FB6BF5">
            <w:pPr>
              <w:pStyle w:val="BodyText1"/>
              <w:numPr>
                <w:ilvl w:val="0"/>
                <w:numId w:val="35"/>
              </w:numPr>
              <w:rPr>
                <w:rFonts w:ascii="Arial" w:hAnsi="Arial" w:cs="Arial"/>
                <w:sz w:val="20"/>
              </w:rPr>
            </w:pPr>
            <w:r w:rsidRPr="004563AB">
              <w:rPr>
                <w:rFonts w:ascii="Arial" w:hAnsi="Arial" w:cs="Arial"/>
                <w:b/>
                <w:sz w:val="20"/>
              </w:rPr>
              <w:t>Resolution</w:t>
            </w:r>
            <w:r>
              <w:rPr>
                <w:rFonts w:ascii="Arial" w:hAnsi="Arial" w:cs="Arial"/>
                <w:sz w:val="20"/>
              </w:rPr>
              <w:t xml:space="preserve"> – Read the comments in this field.  This is usually a good indicator if a server was rebooted or if there was a more widespread issue.  Statements regarding “VDI reboots” or “Cleared Cache” indicate an individual issue.</w:t>
            </w:r>
          </w:p>
          <w:p w14:paraId="2081E755" w14:textId="677CE582" w:rsidR="00FB6BF5" w:rsidRDefault="00FB6BF5" w:rsidP="00FB6BF5">
            <w:pPr>
              <w:pStyle w:val="BodyText1"/>
              <w:numPr>
                <w:ilvl w:val="0"/>
                <w:numId w:val="35"/>
              </w:numPr>
              <w:rPr>
                <w:rFonts w:ascii="Arial" w:hAnsi="Arial" w:cs="Arial"/>
                <w:sz w:val="20"/>
              </w:rPr>
            </w:pPr>
            <w:r>
              <w:rPr>
                <w:rFonts w:ascii="Arial" w:hAnsi="Arial" w:cs="Arial"/>
                <w:sz w:val="20"/>
              </w:rPr>
              <w:t xml:space="preserve">Click on the “Relationships” tab. If there are other incident tickets related, review them as well to get a clearer picture if this was a true service outage or not. </w:t>
            </w:r>
          </w:p>
          <w:p w14:paraId="3D7DA430" w14:textId="58321AC6" w:rsidR="00FB6BF5" w:rsidRDefault="00FB6BF5" w:rsidP="00FB6BF5">
            <w:pPr>
              <w:pStyle w:val="BodyText1"/>
              <w:numPr>
                <w:ilvl w:val="0"/>
                <w:numId w:val="35"/>
              </w:numPr>
              <w:rPr>
                <w:rFonts w:ascii="Arial" w:hAnsi="Arial" w:cs="Arial"/>
                <w:sz w:val="20"/>
              </w:rPr>
            </w:pPr>
            <w:r>
              <w:rPr>
                <w:rFonts w:ascii="Arial" w:hAnsi="Arial" w:cs="Arial"/>
                <w:sz w:val="20"/>
              </w:rPr>
              <w:t>Click on the “Work Detail” tab to see if any additional comments appear that will help determine if this was a true service outage.</w:t>
            </w:r>
          </w:p>
          <w:p w14:paraId="62753A5D" w14:textId="0C482439" w:rsidR="00FB6BF5" w:rsidRDefault="00FB6BF5" w:rsidP="00FB6BF5">
            <w:pPr>
              <w:pStyle w:val="BodyText1"/>
              <w:numPr>
                <w:ilvl w:val="0"/>
                <w:numId w:val="35"/>
              </w:numPr>
              <w:rPr>
                <w:rFonts w:ascii="Arial" w:hAnsi="Arial" w:cs="Arial"/>
                <w:sz w:val="20"/>
              </w:rPr>
            </w:pPr>
            <w:r>
              <w:rPr>
                <w:rFonts w:ascii="Arial" w:hAnsi="Arial" w:cs="Arial"/>
                <w:sz w:val="20"/>
              </w:rPr>
              <w:t xml:space="preserve">In the event that you cannot determine if this was a true outage, contact the person who resolved the incident ticket </w:t>
            </w:r>
            <w:r w:rsidR="00B377E9">
              <w:rPr>
                <w:rFonts w:ascii="Arial" w:hAnsi="Arial" w:cs="Arial"/>
                <w:sz w:val="20"/>
              </w:rPr>
              <w:t xml:space="preserve">(Found in the “Assignee+” field) </w:t>
            </w:r>
            <w:r>
              <w:rPr>
                <w:rFonts w:ascii="Arial" w:hAnsi="Arial" w:cs="Arial"/>
                <w:sz w:val="20"/>
              </w:rPr>
              <w:t>and / or discuss with SLM management.</w:t>
            </w:r>
          </w:p>
          <w:p w14:paraId="604B4BCD" w14:textId="77777777" w:rsidR="000435D9" w:rsidRDefault="00FB6BF5" w:rsidP="00FB6BF5">
            <w:pPr>
              <w:pStyle w:val="BodyText1"/>
              <w:numPr>
                <w:ilvl w:val="0"/>
                <w:numId w:val="35"/>
              </w:numPr>
              <w:rPr>
                <w:rFonts w:ascii="Arial" w:hAnsi="Arial" w:cs="Arial"/>
                <w:sz w:val="20"/>
              </w:rPr>
            </w:pPr>
            <w:r>
              <w:rPr>
                <w:rFonts w:ascii="Arial" w:hAnsi="Arial" w:cs="Arial"/>
                <w:sz w:val="20"/>
              </w:rPr>
              <w:t xml:space="preserve">If it is determined that there was a true outage, use the start time of the Remedy incident ticket from the “Date/System” tab </w:t>
            </w:r>
            <w:r w:rsidR="00B377E9">
              <w:rPr>
                <w:rFonts w:ascii="Arial" w:hAnsi="Arial" w:cs="Arial"/>
                <w:sz w:val="20"/>
              </w:rPr>
              <w:t>and look at the times in the “Work Detail” tab to calculate how long the outage occurred.  In many cases, comments and the resolution of the ticket may not have been documented in real-time so contacting the person who worked on the</w:t>
            </w:r>
            <w:r w:rsidR="000435D9">
              <w:rPr>
                <w:rFonts w:ascii="Arial" w:hAnsi="Arial" w:cs="Arial"/>
                <w:sz w:val="20"/>
              </w:rPr>
              <w:t xml:space="preserve"> incident will be necessary to determine the true outage time frame.</w:t>
            </w:r>
          </w:p>
          <w:p w14:paraId="5B432FB9" w14:textId="186C3A85" w:rsidR="00FB6BF5" w:rsidRDefault="000435D9" w:rsidP="00FB6BF5">
            <w:pPr>
              <w:pStyle w:val="BodyText1"/>
              <w:numPr>
                <w:ilvl w:val="0"/>
                <w:numId w:val="35"/>
              </w:numPr>
              <w:rPr>
                <w:rFonts w:ascii="Arial" w:hAnsi="Arial" w:cs="Arial"/>
                <w:sz w:val="20"/>
              </w:rPr>
            </w:pPr>
            <w:r>
              <w:rPr>
                <w:rFonts w:ascii="Arial" w:hAnsi="Arial" w:cs="Arial"/>
                <w:sz w:val="20"/>
              </w:rPr>
              <w:t xml:space="preserve">Ask Incident Management to send you the “Near Miss” report at the beginning of the following month to compare outage minutes.  The amount of minutes on this report will be the most accurate and should be used.  Please note that not every outage will be represented on this report. </w:t>
            </w:r>
            <w:r w:rsidR="00B377E9">
              <w:rPr>
                <w:rFonts w:ascii="Arial" w:hAnsi="Arial" w:cs="Arial"/>
                <w:sz w:val="20"/>
              </w:rPr>
              <w:t xml:space="preserve"> </w:t>
            </w:r>
            <w:r w:rsidR="00CF49EB">
              <w:rPr>
                <w:rFonts w:ascii="Arial" w:hAnsi="Arial" w:cs="Arial"/>
                <w:sz w:val="20"/>
              </w:rPr>
              <w:t xml:space="preserve">Continue to </w:t>
            </w:r>
            <w:r w:rsidR="004563AB">
              <w:rPr>
                <w:rFonts w:ascii="Arial" w:hAnsi="Arial" w:cs="Arial"/>
                <w:sz w:val="20"/>
              </w:rPr>
              <w:t>r</w:t>
            </w:r>
            <w:r w:rsidR="00CF49EB">
              <w:rPr>
                <w:rFonts w:ascii="Arial" w:hAnsi="Arial" w:cs="Arial"/>
                <w:sz w:val="20"/>
              </w:rPr>
              <w:t>).</w:t>
            </w:r>
          </w:p>
          <w:p w14:paraId="654695A3" w14:textId="46F3C3C0" w:rsidR="00B377E9" w:rsidRDefault="001E2408" w:rsidP="00C5266A">
            <w:pPr>
              <w:pStyle w:val="BodyText1"/>
              <w:numPr>
                <w:ilvl w:val="0"/>
                <w:numId w:val="37"/>
              </w:numPr>
              <w:rPr>
                <w:rFonts w:ascii="Arial" w:hAnsi="Arial" w:cs="Arial"/>
                <w:sz w:val="20"/>
              </w:rPr>
            </w:pPr>
            <w:r>
              <w:rPr>
                <w:rFonts w:ascii="Arial" w:hAnsi="Arial" w:cs="Arial"/>
                <w:sz w:val="20"/>
              </w:rPr>
              <w:t xml:space="preserve">Services suffixed with “SLM Service” will need to be searched for differently.  See </w:t>
            </w:r>
            <w:r w:rsidRPr="001E2408">
              <w:rPr>
                <w:rFonts w:ascii="Arial" w:hAnsi="Arial" w:cs="Arial"/>
                <w:b/>
                <w:i/>
                <w:sz w:val="20"/>
              </w:rPr>
              <w:t>Appendix A</w:t>
            </w:r>
            <w:r>
              <w:rPr>
                <w:rFonts w:ascii="Arial" w:hAnsi="Arial" w:cs="Arial"/>
                <w:sz w:val="20"/>
              </w:rPr>
              <w:t xml:space="preserve"> for the list of SLM Services.  </w:t>
            </w:r>
            <w:r w:rsidR="00EE35FC">
              <w:rPr>
                <w:rFonts w:ascii="Arial" w:hAnsi="Arial" w:cs="Arial"/>
                <w:sz w:val="20"/>
              </w:rPr>
              <w:t>Instead of using the “Service+” field do the following:</w:t>
            </w:r>
          </w:p>
          <w:p w14:paraId="45CABFDA" w14:textId="0DD0ECBC" w:rsidR="00B377E9" w:rsidRDefault="00B377E9" w:rsidP="00B377E9">
            <w:pPr>
              <w:pStyle w:val="BodyText1"/>
              <w:numPr>
                <w:ilvl w:val="0"/>
                <w:numId w:val="36"/>
              </w:numPr>
              <w:rPr>
                <w:rFonts w:ascii="Arial" w:hAnsi="Arial" w:cs="Arial"/>
                <w:sz w:val="20"/>
              </w:rPr>
            </w:pPr>
            <w:r>
              <w:rPr>
                <w:rFonts w:ascii="Arial" w:hAnsi="Arial" w:cs="Arial"/>
                <w:sz w:val="20"/>
              </w:rPr>
              <w:t>Click the “Categorization” tab.</w:t>
            </w:r>
          </w:p>
          <w:p w14:paraId="2316ABF6" w14:textId="09C3BC3F" w:rsidR="00B377E9" w:rsidRDefault="00B377E9" w:rsidP="00B377E9">
            <w:pPr>
              <w:pStyle w:val="BodyText1"/>
              <w:numPr>
                <w:ilvl w:val="0"/>
                <w:numId w:val="36"/>
              </w:numPr>
              <w:rPr>
                <w:rFonts w:ascii="Arial" w:hAnsi="Arial" w:cs="Arial"/>
                <w:sz w:val="20"/>
              </w:rPr>
            </w:pPr>
            <w:r>
              <w:rPr>
                <w:rFonts w:ascii="Arial" w:hAnsi="Arial" w:cs="Arial"/>
                <w:sz w:val="20"/>
              </w:rPr>
              <w:t>Click the “Show Resolution Categorization” link.</w:t>
            </w:r>
          </w:p>
          <w:p w14:paraId="6F026478" w14:textId="35198079" w:rsidR="00B377E9" w:rsidRDefault="00B377E9" w:rsidP="00B377E9">
            <w:pPr>
              <w:pStyle w:val="BodyText1"/>
              <w:ind w:left="1800"/>
              <w:rPr>
                <w:rFonts w:ascii="Arial" w:hAnsi="Arial" w:cs="Arial"/>
                <w:sz w:val="20"/>
              </w:rPr>
            </w:pPr>
            <w:r>
              <w:rPr>
                <w:noProof/>
              </w:rPr>
              <w:drawing>
                <wp:inline distT="0" distB="0" distL="0" distR="0" wp14:anchorId="04756BCE" wp14:editId="1628701B">
                  <wp:extent cx="3473355" cy="755776"/>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4280" cy="762505"/>
                          </a:xfrm>
                          <a:prstGeom prst="rect">
                            <a:avLst/>
                          </a:prstGeom>
                        </pic:spPr>
                      </pic:pic>
                    </a:graphicData>
                  </a:graphic>
                </wp:inline>
              </w:drawing>
            </w:r>
          </w:p>
          <w:p w14:paraId="2E6275A7" w14:textId="3B598AEB" w:rsidR="00B377E9" w:rsidRDefault="00B377E9" w:rsidP="00B377E9">
            <w:pPr>
              <w:pStyle w:val="BodyText1"/>
              <w:numPr>
                <w:ilvl w:val="0"/>
                <w:numId w:val="36"/>
              </w:numPr>
              <w:rPr>
                <w:rFonts w:ascii="Arial" w:hAnsi="Arial" w:cs="Arial"/>
                <w:sz w:val="20"/>
              </w:rPr>
            </w:pPr>
            <w:r>
              <w:rPr>
                <w:rFonts w:ascii="Arial" w:hAnsi="Arial" w:cs="Arial"/>
                <w:sz w:val="20"/>
              </w:rPr>
              <w:t xml:space="preserve">At the “Tier 1” field </w:t>
            </w:r>
            <w:r w:rsidR="0063540F">
              <w:rPr>
                <w:rFonts w:ascii="Arial" w:hAnsi="Arial" w:cs="Arial"/>
                <w:sz w:val="20"/>
              </w:rPr>
              <w:t xml:space="preserve">of the “Product Categorization” section, </w:t>
            </w:r>
            <w:r>
              <w:rPr>
                <w:rFonts w:ascii="Arial" w:hAnsi="Arial" w:cs="Arial"/>
                <w:sz w:val="20"/>
              </w:rPr>
              <w:t xml:space="preserve">select “Application” from the </w:t>
            </w:r>
            <w:r w:rsidR="00A838D6">
              <w:rPr>
                <w:rFonts w:ascii="Arial" w:hAnsi="Arial" w:cs="Arial"/>
                <w:sz w:val="20"/>
              </w:rPr>
              <w:t>drop-down</w:t>
            </w:r>
            <w:r>
              <w:rPr>
                <w:rFonts w:ascii="Arial" w:hAnsi="Arial" w:cs="Arial"/>
                <w:sz w:val="20"/>
              </w:rPr>
              <w:t xml:space="preserve"> list.</w:t>
            </w:r>
          </w:p>
          <w:p w14:paraId="58FCDDF5" w14:textId="4D6CFFBE" w:rsidR="00B377E9" w:rsidRDefault="00B377E9" w:rsidP="00B377E9">
            <w:pPr>
              <w:pStyle w:val="BodyText1"/>
              <w:numPr>
                <w:ilvl w:val="0"/>
                <w:numId w:val="36"/>
              </w:numPr>
              <w:rPr>
                <w:rFonts w:ascii="Arial" w:hAnsi="Arial" w:cs="Arial"/>
                <w:sz w:val="20"/>
              </w:rPr>
            </w:pPr>
            <w:r>
              <w:rPr>
                <w:rFonts w:ascii="Arial" w:hAnsi="Arial" w:cs="Arial"/>
                <w:sz w:val="20"/>
              </w:rPr>
              <w:lastRenderedPageBreak/>
              <w:t>At the “Product Name ®+” field, type in PROD and the start of the service name.  Select the correct service from the list.  If no results are found, just type in a part of the service name to produce a list, but you must select the service that is prefixed with PROD.</w:t>
            </w:r>
          </w:p>
          <w:p w14:paraId="699C01ED" w14:textId="5071948D" w:rsidR="00B377E9" w:rsidRDefault="00EE35FC" w:rsidP="00B377E9">
            <w:pPr>
              <w:pStyle w:val="BodyText1"/>
              <w:numPr>
                <w:ilvl w:val="0"/>
                <w:numId w:val="36"/>
              </w:numPr>
              <w:rPr>
                <w:rFonts w:ascii="Arial" w:hAnsi="Arial" w:cs="Arial"/>
                <w:sz w:val="20"/>
              </w:rPr>
            </w:pPr>
            <w:r>
              <w:rPr>
                <w:rFonts w:ascii="Arial" w:hAnsi="Arial" w:cs="Arial"/>
                <w:sz w:val="20"/>
              </w:rPr>
              <w:t>Repeat f) through n</w:t>
            </w:r>
            <w:r w:rsidR="00B93297">
              <w:rPr>
                <w:rFonts w:ascii="Arial" w:hAnsi="Arial" w:cs="Arial"/>
                <w:sz w:val="20"/>
              </w:rPr>
              <w:t xml:space="preserve">) above to </w:t>
            </w:r>
            <w:r>
              <w:rPr>
                <w:rFonts w:ascii="Arial" w:hAnsi="Arial" w:cs="Arial"/>
                <w:sz w:val="20"/>
              </w:rPr>
              <w:t xml:space="preserve">search and </w:t>
            </w:r>
            <w:r w:rsidR="00B93297">
              <w:rPr>
                <w:rFonts w:ascii="Arial" w:hAnsi="Arial" w:cs="Arial"/>
                <w:sz w:val="20"/>
              </w:rPr>
              <w:t>review tickets.</w:t>
            </w:r>
          </w:p>
          <w:p w14:paraId="31B79A21" w14:textId="75332319" w:rsidR="00B93297" w:rsidRPr="00CF49EB" w:rsidRDefault="00CF49EB" w:rsidP="00C5266A">
            <w:pPr>
              <w:pStyle w:val="BodyText1"/>
              <w:numPr>
                <w:ilvl w:val="0"/>
                <w:numId w:val="37"/>
              </w:numPr>
              <w:rPr>
                <w:rFonts w:ascii="Arial" w:hAnsi="Arial" w:cs="Arial"/>
                <w:sz w:val="20"/>
              </w:rPr>
            </w:pPr>
            <w:r>
              <w:rPr>
                <w:rFonts w:ascii="Arial" w:hAnsi="Arial" w:cs="Arial"/>
                <w:sz w:val="20"/>
              </w:rPr>
              <w:t xml:space="preserve">If </w:t>
            </w:r>
            <w:r w:rsidR="00B93297" w:rsidRPr="00CF49EB">
              <w:rPr>
                <w:rFonts w:ascii="Arial" w:hAnsi="Arial" w:cs="Arial"/>
                <w:sz w:val="20"/>
              </w:rPr>
              <w:t xml:space="preserve">no results are found from either type of searches, it should be considered that there were no outages during the period you are researching.  </w:t>
            </w:r>
          </w:p>
          <w:p w14:paraId="17C217F6" w14:textId="714F1370" w:rsidR="00B93297" w:rsidRDefault="00B93297" w:rsidP="00C5266A">
            <w:pPr>
              <w:pStyle w:val="BodyText1"/>
              <w:numPr>
                <w:ilvl w:val="0"/>
                <w:numId w:val="37"/>
              </w:numPr>
              <w:rPr>
                <w:rFonts w:ascii="Arial" w:hAnsi="Arial" w:cs="Arial"/>
                <w:sz w:val="20"/>
              </w:rPr>
            </w:pPr>
            <w:r>
              <w:rPr>
                <w:rFonts w:ascii="Arial" w:hAnsi="Arial" w:cs="Arial"/>
                <w:sz w:val="20"/>
              </w:rPr>
              <w:t xml:space="preserve">If an outage is found, type in the Incident ticket number and the summary of the issue under the “Missed SLA Reason” column of the spreadsheet for the corresponding date.  Any additional information can be noted under the “Missed SLA Impact”. </w:t>
            </w:r>
          </w:p>
          <w:p w14:paraId="52C948E1" w14:textId="2B5B4380" w:rsidR="00B93297" w:rsidRDefault="00B93297" w:rsidP="00C5266A">
            <w:pPr>
              <w:pStyle w:val="BodyText1"/>
              <w:numPr>
                <w:ilvl w:val="0"/>
                <w:numId w:val="37"/>
              </w:numPr>
              <w:rPr>
                <w:rFonts w:ascii="Arial" w:hAnsi="Arial" w:cs="Arial"/>
                <w:sz w:val="20"/>
              </w:rPr>
            </w:pPr>
            <w:r>
              <w:rPr>
                <w:rFonts w:ascii="Arial" w:hAnsi="Arial" w:cs="Arial"/>
                <w:sz w:val="20"/>
              </w:rPr>
              <w:t>Once the outage minutes are known, type the</w:t>
            </w:r>
            <w:r w:rsidR="000435D9">
              <w:rPr>
                <w:rFonts w:ascii="Arial" w:hAnsi="Arial" w:cs="Arial"/>
                <w:sz w:val="20"/>
              </w:rPr>
              <w:t xml:space="preserve"> amount</w:t>
            </w:r>
            <w:r>
              <w:rPr>
                <w:rFonts w:ascii="Arial" w:hAnsi="Arial" w:cs="Arial"/>
                <w:sz w:val="20"/>
              </w:rPr>
              <w:t xml:space="preserve"> in the “Difference in Minutes” column for the corresponding date.</w:t>
            </w:r>
            <w:r w:rsidR="000435D9">
              <w:rPr>
                <w:rFonts w:ascii="Arial" w:hAnsi="Arial" w:cs="Arial"/>
                <w:sz w:val="20"/>
              </w:rPr>
              <w:t xml:space="preserve">  All corresponding fields will automatically re-calculate.</w:t>
            </w:r>
          </w:p>
          <w:p w14:paraId="62DBDFD3" w14:textId="77284D3A" w:rsidR="00525E67" w:rsidRPr="00314D68" w:rsidRDefault="00EB0D8C" w:rsidP="00C5266A">
            <w:pPr>
              <w:pStyle w:val="BodyText1"/>
              <w:numPr>
                <w:ilvl w:val="0"/>
                <w:numId w:val="37"/>
              </w:numPr>
              <w:rPr>
                <w:rFonts w:ascii="Arial" w:hAnsi="Arial" w:cs="Arial"/>
                <w:sz w:val="20"/>
              </w:rPr>
            </w:pPr>
            <w:r w:rsidRPr="00EB0D8C">
              <w:rPr>
                <w:rFonts w:ascii="Arial" w:hAnsi="Arial" w:cs="Arial"/>
                <w:sz w:val="20"/>
              </w:rPr>
              <w:t>Once you have reviewed all of the tickets that exist so far for the current month, make a note in the spreadsheet to indicate which date you performed the research.  If no tickets or outages were discovered, then comment t</w:t>
            </w:r>
            <w:r w:rsidR="00B2750B">
              <w:rPr>
                <w:rFonts w:ascii="Arial" w:hAnsi="Arial" w:cs="Arial"/>
                <w:sz w:val="20"/>
              </w:rPr>
              <w:t xml:space="preserve">hat, and the date range that was researched </w:t>
            </w:r>
            <w:r w:rsidRPr="00EB0D8C">
              <w:rPr>
                <w:rFonts w:ascii="Arial" w:hAnsi="Arial" w:cs="Arial"/>
                <w:sz w:val="20"/>
              </w:rPr>
              <w:t xml:space="preserve">to avoid you or anyone else performing research </w:t>
            </w:r>
            <w:r w:rsidR="00B2750B">
              <w:rPr>
                <w:rFonts w:ascii="Arial" w:hAnsi="Arial" w:cs="Arial"/>
                <w:sz w:val="20"/>
              </w:rPr>
              <w:t xml:space="preserve">again </w:t>
            </w:r>
            <w:r w:rsidRPr="00EB0D8C">
              <w:rPr>
                <w:rFonts w:ascii="Arial" w:hAnsi="Arial" w:cs="Arial"/>
                <w:sz w:val="20"/>
              </w:rPr>
              <w:t>for those dates that have already been reviewed.</w:t>
            </w:r>
          </w:p>
        </w:tc>
      </w:tr>
      <w:tr w:rsidR="00016922" w:rsidRPr="006108A0" w14:paraId="20B4F629" w14:textId="77777777" w:rsidTr="005167BB">
        <w:tc>
          <w:tcPr>
            <w:tcW w:w="348" w:type="pct"/>
            <w:tcBorders>
              <w:top w:val="single" w:sz="4" w:space="0" w:color="auto"/>
              <w:left w:val="nil"/>
              <w:bottom w:val="single" w:sz="4" w:space="0" w:color="auto"/>
              <w:right w:val="nil"/>
            </w:tcBorders>
          </w:tcPr>
          <w:p w14:paraId="6A33A1B9" w14:textId="39F0B85D" w:rsidR="00016922" w:rsidRPr="006108A0" w:rsidRDefault="00C5266A" w:rsidP="0006055C">
            <w:pPr>
              <w:pStyle w:val="StepsNumber"/>
              <w:rPr>
                <w:rFonts w:cs="Arial"/>
              </w:rPr>
            </w:pPr>
            <w:r>
              <w:rPr>
                <w:rFonts w:cs="Arial"/>
              </w:rPr>
              <w:lastRenderedPageBreak/>
              <w:t>2</w:t>
            </w:r>
          </w:p>
        </w:tc>
        <w:tc>
          <w:tcPr>
            <w:tcW w:w="4652" w:type="pct"/>
            <w:tcBorders>
              <w:top w:val="single" w:sz="4" w:space="0" w:color="auto"/>
              <w:left w:val="nil"/>
              <w:bottom w:val="single" w:sz="4" w:space="0" w:color="auto"/>
              <w:right w:val="single" w:sz="4" w:space="0" w:color="auto"/>
            </w:tcBorders>
          </w:tcPr>
          <w:p w14:paraId="1AF877EC" w14:textId="317C2551" w:rsidR="00AC7746" w:rsidRDefault="00291227" w:rsidP="00DE0D50">
            <w:pPr>
              <w:pStyle w:val="BodyText1"/>
              <w:rPr>
                <w:rFonts w:ascii="Arial" w:hAnsi="Arial" w:cs="Arial"/>
                <w:sz w:val="20"/>
              </w:rPr>
            </w:pPr>
            <w:r>
              <w:rPr>
                <w:rFonts w:ascii="Arial" w:hAnsi="Arial" w:cs="Arial"/>
                <w:sz w:val="20"/>
              </w:rPr>
              <w:t xml:space="preserve">Repeat steps 2 and 3 for each service that </w:t>
            </w:r>
            <w:r w:rsidR="00A838D6">
              <w:rPr>
                <w:rFonts w:ascii="Arial" w:hAnsi="Arial" w:cs="Arial"/>
                <w:sz w:val="20"/>
              </w:rPr>
              <w:t>must</w:t>
            </w:r>
            <w:r>
              <w:rPr>
                <w:rFonts w:ascii="Arial" w:hAnsi="Arial" w:cs="Arial"/>
                <w:sz w:val="20"/>
              </w:rPr>
              <w:t xml:space="preserve"> be manually monitored and update the Tier 1 and Tier 2 spreadsheets accordingly. </w:t>
            </w:r>
          </w:p>
          <w:p w14:paraId="30A6C8C3" w14:textId="77777777" w:rsidR="00291227" w:rsidRDefault="00291227" w:rsidP="00DE0D50">
            <w:pPr>
              <w:pStyle w:val="BodyText1"/>
              <w:rPr>
                <w:rFonts w:ascii="Arial" w:hAnsi="Arial" w:cs="Arial"/>
                <w:sz w:val="20"/>
              </w:rPr>
            </w:pPr>
            <w:r>
              <w:rPr>
                <w:rFonts w:ascii="Arial" w:hAnsi="Arial" w:cs="Arial"/>
                <w:sz w:val="20"/>
              </w:rPr>
              <w:t>At the beginning of the following month, repeat Step 3 again to review incident tickets for the remainder of the month from where you left off.</w:t>
            </w:r>
          </w:p>
          <w:p w14:paraId="63B66835" w14:textId="77777777" w:rsidR="00C5266A" w:rsidRDefault="00291227" w:rsidP="00DE0D50">
            <w:pPr>
              <w:pStyle w:val="BodyText1"/>
              <w:rPr>
                <w:rFonts w:ascii="Arial" w:hAnsi="Arial" w:cs="Arial"/>
                <w:sz w:val="20"/>
              </w:rPr>
            </w:pPr>
            <w:r>
              <w:rPr>
                <w:rFonts w:ascii="Arial" w:hAnsi="Arial" w:cs="Arial"/>
                <w:sz w:val="20"/>
              </w:rPr>
              <w:t>The percentage found in the “% Available” section needs to be recorded in the Monthly KPI Report.</w:t>
            </w:r>
          </w:p>
          <w:p w14:paraId="70DEFAC2" w14:textId="77777777" w:rsidR="00C5266A" w:rsidRDefault="00C5266A" w:rsidP="00DE0D50">
            <w:pPr>
              <w:pStyle w:val="BodyText1"/>
              <w:rPr>
                <w:rFonts w:ascii="Arial" w:hAnsi="Arial" w:cs="Arial"/>
                <w:sz w:val="20"/>
              </w:rPr>
            </w:pPr>
            <w:r>
              <w:rPr>
                <w:rFonts w:ascii="Arial" w:hAnsi="Arial" w:cs="Arial"/>
                <w:sz w:val="20"/>
              </w:rPr>
              <w:t>For more information see:</w:t>
            </w:r>
          </w:p>
          <w:p w14:paraId="0FE35EB5" w14:textId="5284147A" w:rsidR="00291227" w:rsidRPr="00314D68" w:rsidRDefault="009E70C4" w:rsidP="003D609B">
            <w:pPr>
              <w:pStyle w:val="BodyText1"/>
              <w:rPr>
                <w:rFonts w:ascii="Arial" w:hAnsi="Arial" w:cs="Arial"/>
                <w:sz w:val="20"/>
              </w:rPr>
            </w:pPr>
            <w:hyperlink r:id="rId22" w:history="1">
              <w:r w:rsidR="00C5266A" w:rsidRPr="00095AA6">
                <w:rPr>
                  <w:rStyle w:val="Hyperlink"/>
                  <w:rFonts w:ascii="Arial" w:hAnsi="Arial" w:cs="Arial"/>
                  <w:sz w:val="20"/>
                </w:rPr>
                <w:t>Create the Monthly KPI Status Report</w:t>
              </w:r>
            </w:hyperlink>
            <w:r w:rsidR="00291227">
              <w:rPr>
                <w:rFonts w:ascii="Arial" w:hAnsi="Arial" w:cs="Arial"/>
                <w:sz w:val="20"/>
              </w:rPr>
              <w:t xml:space="preserve"> </w:t>
            </w:r>
          </w:p>
        </w:tc>
      </w:tr>
      <w:tr w:rsidR="00A967C8" w:rsidRPr="006108A0" w14:paraId="0DB45693" w14:textId="77777777" w:rsidTr="005167BB">
        <w:tc>
          <w:tcPr>
            <w:tcW w:w="348" w:type="pct"/>
            <w:tcBorders>
              <w:top w:val="single" w:sz="4" w:space="0" w:color="auto"/>
              <w:left w:val="nil"/>
              <w:bottom w:val="single" w:sz="4" w:space="0" w:color="auto"/>
              <w:right w:val="nil"/>
            </w:tcBorders>
          </w:tcPr>
          <w:p w14:paraId="62ACFD64" w14:textId="68E7E751" w:rsidR="00A967C8" w:rsidRDefault="00C5266A" w:rsidP="0006055C">
            <w:pPr>
              <w:pStyle w:val="StepsNumber"/>
              <w:rPr>
                <w:rFonts w:cs="Arial"/>
              </w:rPr>
            </w:pPr>
            <w:r>
              <w:rPr>
                <w:rFonts w:cs="Arial"/>
              </w:rPr>
              <w:t>3</w:t>
            </w:r>
          </w:p>
        </w:tc>
        <w:tc>
          <w:tcPr>
            <w:tcW w:w="4652" w:type="pct"/>
            <w:tcBorders>
              <w:top w:val="single" w:sz="4" w:space="0" w:color="auto"/>
              <w:left w:val="nil"/>
              <w:bottom w:val="single" w:sz="4" w:space="0" w:color="auto"/>
              <w:right w:val="single" w:sz="4" w:space="0" w:color="auto"/>
            </w:tcBorders>
          </w:tcPr>
          <w:p w14:paraId="3D08115B" w14:textId="48E7EA92" w:rsidR="0062683A" w:rsidRDefault="0062683A" w:rsidP="00DE0D50">
            <w:pPr>
              <w:pStyle w:val="BodyText1"/>
              <w:rPr>
                <w:rFonts w:ascii="Arial" w:hAnsi="Arial" w:cs="Arial"/>
                <w:sz w:val="20"/>
              </w:rPr>
            </w:pPr>
            <w:r>
              <w:rPr>
                <w:rFonts w:ascii="Arial" w:hAnsi="Arial" w:cs="Arial"/>
                <w:sz w:val="20"/>
              </w:rPr>
              <w:t>When a monitor has been built for a service, or if it is deemed that the service is no longer needed during the period in which it is being manually tracked, all of the information from that service tab should be cut and pasted into the “Obsoleted Not Needed” tab of the Tier 1 or Tier 2 spreadsheet.</w:t>
            </w:r>
          </w:p>
          <w:p w14:paraId="2181DAD1" w14:textId="40276DA3" w:rsidR="0062683A" w:rsidRPr="00314D68" w:rsidRDefault="0062683A" w:rsidP="00C5266A">
            <w:pPr>
              <w:pStyle w:val="BodyText1"/>
              <w:rPr>
                <w:rFonts w:ascii="Arial" w:hAnsi="Arial" w:cs="Arial"/>
                <w:sz w:val="20"/>
              </w:rPr>
            </w:pPr>
            <w:r>
              <w:rPr>
                <w:noProof/>
              </w:rPr>
              <w:drawing>
                <wp:inline distT="0" distB="0" distL="0" distR="0" wp14:anchorId="43A5DFAE" wp14:editId="4D82EB67">
                  <wp:extent cx="177165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1650" cy="476250"/>
                          </a:xfrm>
                          <a:prstGeom prst="rect">
                            <a:avLst/>
                          </a:prstGeom>
                        </pic:spPr>
                      </pic:pic>
                    </a:graphicData>
                  </a:graphic>
                </wp:inline>
              </w:drawing>
            </w:r>
          </w:p>
        </w:tc>
      </w:tr>
      <w:tr w:rsidR="00A51352" w:rsidRPr="006108A0" w14:paraId="008F20AC" w14:textId="77777777" w:rsidTr="005167BB">
        <w:tc>
          <w:tcPr>
            <w:tcW w:w="348" w:type="pct"/>
            <w:tcBorders>
              <w:top w:val="single" w:sz="4" w:space="0" w:color="auto"/>
              <w:left w:val="nil"/>
              <w:bottom w:val="single" w:sz="4" w:space="0" w:color="auto"/>
              <w:right w:val="nil"/>
            </w:tcBorders>
          </w:tcPr>
          <w:p w14:paraId="038C6F3E" w14:textId="174C73E0" w:rsidR="00A51352" w:rsidRDefault="00C5266A" w:rsidP="0006055C">
            <w:pPr>
              <w:pStyle w:val="StepsNumber"/>
              <w:rPr>
                <w:rFonts w:cs="Arial"/>
              </w:rPr>
            </w:pPr>
            <w:r>
              <w:rPr>
                <w:rFonts w:cs="Arial"/>
              </w:rPr>
              <w:t>4</w:t>
            </w:r>
          </w:p>
        </w:tc>
        <w:tc>
          <w:tcPr>
            <w:tcW w:w="4652" w:type="pct"/>
            <w:tcBorders>
              <w:top w:val="single" w:sz="4" w:space="0" w:color="auto"/>
              <w:left w:val="nil"/>
              <w:bottom w:val="single" w:sz="4" w:space="0" w:color="auto"/>
              <w:right w:val="single" w:sz="4" w:space="0" w:color="auto"/>
            </w:tcBorders>
          </w:tcPr>
          <w:p w14:paraId="3DD259AC" w14:textId="23067D75" w:rsidR="00A51352" w:rsidRDefault="00025D77" w:rsidP="00DE0D50">
            <w:pPr>
              <w:pStyle w:val="BodyText1"/>
              <w:rPr>
                <w:rFonts w:ascii="Arial" w:hAnsi="Arial" w:cs="Arial"/>
                <w:sz w:val="20"/>
              </w:rPr>
            </w:pPr>
            <w:r>
              <w:rPr>
                <w:rFonts w:ascii="Arial" w:hAnsi="Arial" w:cs="Arial"/>
                <w:sz w:val="20"/>
              </w:rPr>
              <w:t xml:space="preserve">Once the Tier 1 and Tier 2 spreadsheets have been completed </w:t>
            </w:r>
            <w:r w:rsidR="00095AA6">
              <w:rPr>
                <w:rFonts w:ascii="Arial" w:hAnsi="Arial" w:cs="Arial"/>
                <w:sz w:val="20"/>
              </w:rPr>
              <w:t xml:space="preserve">for the </w:t>
            </w:r>
            <w:r w:rsidR="00D9238E">
              <w:rPr>
                <w:rFonts w:ascii="Arial" w:hAnsi="Arial" w:cs="Arial"/>
                <w:sz w:val="20"/>
              </w:rPr>
              <w:t>m</w:t>
            </w:r>
            <w:r w:rsidR="00D9238E">
              <w:rPr>
                <w:rFonts w:cs="Arial"/>
                <w:sz w:val="20"/>
              </w:rPr>
              <w:t xml:space="preserve">onth </w:t>
            </w:r>
            <w:r>
              <w:rPr>
                <w:rFonts w:ascii="Arial" w:hAnsi="Arial" w:cs="Arial"/>
                <w:sz w:val="20"/>
              </w:rPr>
              <w:t>and the information has been recorded in the KPI Monthly Status Repor</w:t>
            </w:r>
            <w:r w:rsidR="00095AA6">
              <w:rPr>
                <w:rFonts w:ascii="Arial" w:hAnsi="Arial" w:cs="Arial"/>
                <w:sz w:val="20"/>
              </w:rPr>
              <w:t>t</w:t>
            </w:r>
            <w:r>
              <w:rPr>
                <w:rFonts w:ascii="Arial" w:hAnsi="Arial" w:cs="Arial"/>
                <w:sz w:val="20"/>
              </w:rPr>
              <w:t>, load the spreadsheets to Share</w:t>
            </w:r>
            <w:r w:rsidR="00095AA6">
              <w:rPr>
                <w:rFonts w:ascii="Arial" w:hAnsi="Arial" w:cs="Arial"/>
                <w:sz w:val="20"/>
              </w:rPr>
              <w:t>P</w:t>
            </w:r>
            <w:r>
              <w:rPr>
                <w:rFonts w:ascii="Arial" w:hAnsi="Arial" w:cs="Arial"/>
                <w:sz w:val="20"/>
              </w:rPr>
              <w:t>oint at the following location:</w:t>
            </w:r>
          </w:p>
          <w:p w14:paraId="71FD5477" w14:textId="77777777" w:rsidR="00025D77" w:rsidRDefault="00025D77" w:rsidP="00DE0D50">
            <w:pPr>
              <w:pStyle w:val="BodyText1"/>
              <w:rPr>
                <w:rFonts w:ascii="Arial" w:hAnsi="Arial" w:cs="Arial"/>
                <w:sz w:val="20"/>
              </w:rPr>
            </w:pPr>
          </w:p>
          <w:p w14:paraId="3D946262" w14:textId="7AB329F7" w:rsidR="00025D77" w:rsidRDefault="009E70C4" w:rsidP="00DE0D50">
            <w:pPr>
              <w:pStyle w:val="BodyText1"/>
              <w:rPr>
                <w:rFonts w:ascii="Arial" w:hAnsi="Arial" w:cs="Arial"/>
                <w:sz w:val="20"/>
              </w:rPr>
            </w:pPr>
            <w:hyperlink r:id="rId24" w:anchor="/Monthly%20Reporting/Forms/current.aspx?RootFolder=%2Fit%2Fsites%2Frs%2FMonthly%20Reporting%2FSLM%2FMonthly%20SLA%20Information%2FMonthly%20SLA%20Report&amp;View=%7B240B9B17%2D0630%2D4691%2DAA51%2DE27EC38CF00E%7D" w:history="1">
              <w:r w:rsidR="00025D77" w:rsidRPr="00095AA6">
                <w:rPr>
                  <w:rStyle w:val="Hyperlink"/>
                  <w:rFonts w:ascii="Arial" w:hAnsi="Arial" w:cs="Arial"/>
                  <w:sz w:val="20"/>
                </w:rPr>
                <w:t>Monthly Reporting/SLM/Monthly Emailed Reports/Monthly SLA Report/YYYY/MM/</w:t>
              </w:r>
              <w:r w:rsidR="00095AA6" w:rsidRPr="00095AA6">
                <w:rPr>
                  <w:rStyle w:val="Hyperlink"/>
                  <w:rFonts w:ascii="Arial" w:hAnsi="Arial" w:cs="Arial"/>
                  <w:sz w:val="20"/>
                </w:rPr>
                <w:t>I</w:t>
              </w:r>
              <w:r w:rsidR="00095AA6" w:rsidRPr="00095AA6">
                <w:rPr>
                  <w:rStyle w:val="Hyperlink"/>
                </w:rPr>
                <w:t>nformation</w:t>
              </w:r>
              <w:r w:rsidR="00095AA6" w:rsidRPr="00095AA6">
                <w:rPr>
                  <w:rStyle w:val="Hyperlink"/>
                  <w:rFonts w:ascii="Arial" w:hAnsi="Arial" w:cs="Arial"/>
                  <w:sz w:val="20"/>
                </w:rPr>
                <w:t xml:space="preserve"> </w:t>
              </w:r>
              <w:r w:rsidR="00095AA6" w:rsidRPr="00095AA6">
                <w:rPr>
                  <w:rStyle w:val="Hyperlink"/>
                </w:rPr>
                <w:t>and Correspondence</w:t>
              </w:r>
            </w:hyperlink>
          </w:p>
        </w:tc>
      </w:tr>
    </w:tbl>
    <w:p w14:paraId="47356575" w14:textId="300B897F" w:rsidR="00535AA7" w:rsidRDefault="00535AA7" w:rsidP="00535AA7">
      <w:pPr>
        <w:rPr>
          <w:rFonts w:cs="Arial"/>
        </w:rPr>
      </w:pPr>
    </w:p>
    <w:p w14:paraId="45A687A8" w14:textId="03D618F8" w:rsidR="00B676B0" w:rsidRDefault="00B676B0">
      <w:pPr>
        <w:rPr>
          <w:rFonts w:cs="Arial"/>
        </w:rPr>
      </w:pPr>
      <w:r>
        <w:rPr>
          <w:rFonts w:cs="Arial"/>
        </w:rPr>
        <w:br w:type="page"/>
      </w:r>
    </w:p>
    <w:p w14:paraId="768152DD" w14:textId="09909FE3" w:rsidR="00B676B0" w:rsidRPr="0047467F" w:rsidRDefault="00B676B0" w:rsidP="00535AA7">
      <w:pPr>
        <w:rPr>
          <w:rFonts w:cs="Arial"/>
          <w:b/>
        </w:rPr>
      </w:pPr>
      <w:r w:rsidRPr="0047467F">
        <w:rPr>
          <w:rFonts w:cs="Arial"/>
          <w:b/>
        </w:rPr>
        <w:lastRenderedPageBreak/>
        <w:t>Appendix A</w:t>
      </w:r>
      <w:r w:rsidR="0047467F" w:rsidRPr="0047467F">
        <w:rPr>
          <w:rFonts w:cs="Arial"/>
          <w:b/>
        </w:rPr>
        <w:t xml:space="preserve"> – SLM Services</w:t>
      </w:r>
    </w:p>
    <w:p w14:paraId="07871B01" w14:textId="4955A12A" w:rsidR="00B676B0" w:rsidRDefault="00B676B0" w:rsidP="00535AA7">
      <w:pPr>
        <w:rPr>
          <w:rFonts w:cs="Arial"/>
        </w:rPr>
      </w:pPr>
    </w:p>
    <w:p w14:paraId="7514ABAF" w14:textId="65E2347C" w:rsidR="0047467F" w:rsidRDefault="0047467F" w:rsidP="00535AA7">
      <w:pPr>
        <w:rPr>
          <w:rFonts w:cs="Arial"/>
        </w:rPr>
      </w:pPr>
      <w:r w:rsidRPr="0047467F">
        <w:rPr>
          <w:rFonts w:cs="Arial"/>
          <w:sz w:val="22"/>
          <w:szCs w:val="22"/>
        </w:rPr>
        <w:t>The list below are Services that are suffixed with SLM Service in Remedy.  Please note that not all of these are manually tracked</w:t>
      </w:r>
      <w:r>
        <w:rPr>
          <w:rFonts w:cs="Arial"/>
        </w:rPr>
        <w:t>.</w:t>
      </w:r>
    </w:p>
    <w:p w14:paraId="3204573C" w14:textId="6B9358A2" w:rsidR="0047467F" w:rsidRDefault="0047467F" w:rsidP="00535AA7">
      <w:pPr>
        <w:rPr>
          <w:rFonts w:cs="Arial"/>
        </w:rPr>
      </w:pPr>
    </w:p>
    <w:p w14:paraId="0EBC35C4" w14:textId="4AEC6470" w:rsidR="0047467F" w:rsidRDefault="0047467F" w:rsidP="00535AA7">
      <w:pPr>
        <w:rPr>
          <w:rFonts w:cs="Arial"/>
        </w:rPr>
      </w:pPr>
      <w:r>
        <w:rPr>
          <w:rFonts w:cs="Arial"/>
        </w:rPr>
        <w:t>Accounting Audit SLM Service</w:t>
      </w:r>
    </w:p>
    <w:p w14:paraId="69D5F5ED" w14:textId="4BE153CB" w:rsidR="006A3D9A" w:rsidRDefault="006A3D9A" w:rsidP="00535AA7">
      <w:pPr>
        <w:rPr>
          <w:rFonts w:cs="Arial"/>
        </w:rPr>
      </w:pPr>
      <w:r>
        <w:rPr>
          <w:rFonts w:cs="Arial"/>
        </w:rPr>
        <w:t>Actuate Reporter SLM Service</w:t>
      </w:r>
    </w:p>
    <w:p w14:paraId="73F8B9C7" w14:textId="30FE137F" w:rsidR="0047467F" w:rsidRDefault="0047467F" w:rsidP="00535AA7">
      <w:pPr>
        <w:rPr>
          <w:rFonts w:cs="Arial"/>
        </w:rPr>
      </w:pPr>
      <w:r>
        <w:rPr>
          <w:rFonts w:cs="Arial"/>
        </w:rPr>
        <w:t>Agent EFT SLM Service</w:t>
      </w:r>
    </w:p>
    <w:p w14:paraId="1E3EC827" w14:textId="4890E77C" w:rsidR="0047467F" w:rsidRDefault="0047467F" w:rsidP="00535AA7">
      <w:pPr>
        <w:rPr>
          <w:rFonts w:cs="Arial"/>
        </w:rPr>
      </w:pPr>
      <w:proofErr w:type="spellStart"/>
      <w:r>
        <w:rPr>
          <w:rFonts w:cs="Arial"/>
        </w:rPr>
        <w:t>Arcval</w:t>
      </w:r>
      <w:proofErr w:type="spellEnd"/>
      <w:r>
        <w:rPr>
          <w:rFonts w:cs="Arial"/>
        </w:rPr>
        <w:t xml:space="preserve"> Desktop SLM Service</w:t>
      </w:r>
    </w:p>
    <w:p w14:paraId="7A0D59BC" w14:textId="71DE0EE9" w:rsidR="0047467F" w:rsidRDefault="0047467F" w:rsidP="00535AA7">
      <w:pPr>
        <w:rPr>
          <w:rFonts w:cs="Arial"/>
        </w:rPr>
      </w:pPr>
      <w:r>
        <w:rPr>
          <w:rFonts w:cs="Arial"/>
        </w:rPr>
        <w:t>Clip Monitor SLM Service</w:t>
      </w:r>
    </w:p>
    <w:p w14:paraId="6EEF06B0" w14:textId="28F00519" w:rsidR="0047467F" w:rsidRDefault="0047467F" w:rsidP="00535AA7">
      <w:pPr>
        <w:rPr>
          <w:rFonts w:cs="Arial"/>
        </w:rPr>
      </w:pPr>
      <w:r>
        <w:rPr>
          <w:rFonts w:cs="Arial"/>
        </w:rPr>
        <w:t>Clip Server SLM Service</w:t>
      </w:r>
    </w:p>
    <w:p w14:paraId="1B006235" w14:textId="7C7D0F62" w:rsidR="0047467F" w:rsidRDefault="0047467F" w:rsidP="00535AA7">
      <w:pPr>
        <w:rPr>
          <w:rFonts w:cs="Arial"/>
        </w:rPr>
      </w:pPr>
      <w:r>
        <w:rPr>
          <w:rFonts w:cs="Arial"/>
        </w:rPr>
        <w:t>Electronic Filing Cabinet (Producer Filing Cabinet) SLM Service</w:t>
      </w:r>
    </w:p>
    <w:p w14:paraId="64C40FFF" w14:textId="37640AEE" w:rsidR="0047467F" w:rsidRDefault="0047467F" w:rsidP="00535AA7">
      <w:pPr>
        <w:rPr>
          <w:rFonts w:cs="Arial"/>
        </w:rPr>
      </w:pPr>
      <w:r>
        <w:rPr>
          <w:rFonts w:cs="Arial"/>
        </w:rPr>
        <w:t>Email Exchange External SLM Service</w:t>
      </w:r>
    </w:p>
    <w:p w14:paraId="14040BC7" w14:textId="04EA179C" w:rsidR="0047467F" w:rsidRDefault="0047467F" w:rsidP="00535AA7">
      <w:pPr>
        <w:rPr>
          <w:rFonts w:cs="Arial"/>
        </w:rPr>
      </w:pPr>
      <w:r>
        <w:rPr>
          <w:rFonts w:cs="Arial"/>
        </w:rPr>
        <w:t>Email IN/OUT SMTP SLM Service</w:t>
      </w:r>
    </w:p>
    <w:p w14:paraId="23986D80" w14:textId="43AEA04D" w:rsidR="0047467F" w:rsidRDefault="0047467F" w:rsidP="00535AA7">
      <w:pPr>
        <w:rPr>
          <w:rFonts w:cs="Arial"/>
        </w:rPr>
      </w:pPr>
      <w:r>
        <w:rPr>
          <w:rFonts w:cs="Arial"/>
        </w:rPr>
        <w:t>Escheat Tracker SLM Service</w:t>
      </w:r>
    </w:p>
    <w:p w14:paraId="1D488F5A" w14:textId="495E9D42" w:rsidR="0047467F" w:rsidRDefault="0047467F" w:rsidP="00535AA7">
      <w:pPr>
        <w:rPr>
          <w:rFonts w:cs="Arial"/>
        </w:rPr>
      </w:pPr>
      <w:r>
        <w:rPr>
          <w:rFonts w:cs="Arial"/>
        </w:rPr>
        <w:t>Forms Database SLM Service</w:t>
      </w:r>
    </w:p>
    <w:p w14:paraId="4DC3BBE0" w14:textId="2E222F8F" w:rsidR="0047467F" w:rsidRDefault="0047467F" w:rsidP="00535AA7">
      <w:pPr>
        <w:rPr>
          <w:rFonts w:cs="Arial"/>
        </w:rPr>
      </w:pPr>
      <w:r>
        <w:rPr>
          <w:rFonts w:cs="Arial"/>
        </w:rPr>
        <w:t>GEMS Batch SLM Service</w:t>
      </w:r>
    </w:p>
    <w:p w14:paraId="70875F22" w14:textId="50B72C8B" w:rsidR="0047467F" w:rsidRDefault="0047467F" w:rsidP="00535AA7">
      <w:pPr>
        <w:rPr>
          <w:rFonts w:cs="Arial"/>
        </w:rPr>
      </w:pPr>
      <w:r>
        <w:rPr>
          <w:rFonts w:cs="Arial"/>
        </w:rPr>
        <w:t>Global Get Next (GGN) SLM Service</w:t>
      </w:r>
    </w:p>
    <w:p w14:paraId="1E34A1CC" w14:textId="75AD6137" w:rsidR="009E41C8" w:rsidRDefault="009E41C8" w:rsidP="00535AA7">
      <w:pPr>
        <w:rPr>
          <w:rFonts w:cs="Arial"/>
        </w:rPr>
      </w:pPr>
      <w:r>
        <w:rPr>
          <w:rFonts w:cs="Arial"/>
        </w:rPr>
        <w:t>Jackson Architect External SLM Service</w:t>
      </w:r>
    </w:p>
    <w:p w14:paraId="17777724" w14:textId="6448CC22" w:rsidR="009E41C8" w:rsidRDefault="009E41C8" w:rsidP="00535AA7">
      <w:pPr>
        <w:rPr>
          <w:rFonts w:cs="Arial"/>
        </w:rPr>
      </w:pPr>
      <w:r>
        <w:rPr>
          <w:rFonts w:cs="Arial"/>
        </w:rPr>
        <w:t>Jackson Optical Character Recognition (JOCR) SLM Service</w:t>
      </w:r>
    </w:p>
    <w:p w14:paraId="57CC117C" w14:textId="7023BADD" w:rsidR="009E41C8" w:rsidRDefault="009E41C8" w:rsidP="00535AA7">
      <w:pPr>
        <w:rPr>
          <w:rFonts w:cs="Arial"/>
        </w:rPr>
      </w:pPr>
      <w:r>
        <w:rPr>
          <w:rFonts w:cs="Arial"/>
        </w:rPr>
        <w:t>JDS Search SLM Service</w:t>
      </w:r>
    </w:p>
    <w:p w14:paraId="25C4A999" w14:textId="27C7CBF0" w:rsidR="009E41C8" w:rsidRDefault="009E41C8" w:rsidP="00535AA7">
      <w:pPr>
        <w:rPr>
          <w:rFonts w:cs="Arial"/>
        </w:rPr>
      </w:pPr>
      <w:r>
        <w:rPr>
          <w:rFonts w:cs="Arial"/>
        </w:rPr>
        <w:t>JDS Viewer SLM Service</w:t>
      </w:r>
    </w:p>
    <w:p w14:paraId="36E77EF2" w14:textId="38EE0F7B" w:rsidR="009E41C8" w:rsidRDefault="009E41C8" w:rsidP="00535AA7">
      <w:pPr>
        <w:rPr>
          <w:rFonts w:cs="Arial"/>
        </w:rPr>
      </w:pPr>
      <w:r>
        <w:rPr>
          <w:rFonts w:cs="Arial"/>
        </w:rPr>
        <w:t xml:space="preserve">JNAM </w:t>
      </w:r>
      <w:proofErr w:type="spellStart"/>
      <w:r>
        <w:rPr>
          <w:rFonts w:cs="Arial"/>
        </w:rPr>
        <w:t>Sharepoint</w:t>
      </w:r>
      <w:proofErr w:type="spellEnd"/>
      <w:r>
        <w:rPr>
          <w:rFonts w:cs="Arial"/>
        </w:rPr>
        <w:t xml:space="preserve"> SLM Service</w:t>
      </w:r>
    </w:p>
    <w:p w14:paraId="1FD4C15F" w14:textId="4FF26239" w:rsidR="009E41C8" w:rsidRDefault="009E41C8" w:rsidP="00535AA7">
      <w:pPr>
        <w:rPr>
          <w:rFonts w:cs="Arial"/>
        </w:rPr>
      </w:pPr>
      <w:r>
        <w:rPr>
          <w:rFonts w:cs="Arial"/>
        </w:rPr>
        <w:t>Journal Entry Application (</w:t>
      </w:r>
      <w:proofErr w:type="spellStart"/>
      <w:r>
        <w:rPr>
          <w:rFonts w:cs="Arial"/>
        </w:rPr>
        <w:t>JEApp</w:t>
      </w:r>
      <w:proofErr w:type="spellEnd"/>
      <w:r>
        <w:rPr>
          <w:rFonts w:cs="Arial"/>
        </w:rPr>
        <w:t>) SLM Service</w:t>
      </w:r>
    </w:p>
    <w:p w14:paraId="20AEFF4C" w14:textId="1F62F249" w:rsidR="009E41C8" w:rsidRDefault="009E41C8" w:rsidP="00535AA7">
      <w:pPr>
        <w:rPr>
          <w:rFonts w:cs="Arial"/>
        </w:rPr>
      </w:pPr>
      <w:r>
        <w:rPr>
          <w:rFonts w:cs="Arial"/>
        </w:rPr>
        <w:t xml:space="preserve">Mobile Webservice </w:t>
      </w:r>
      <w:proofErr w:type="spellStart"/>
      <w:r>
        <w:rPr>
          <w:rFonts w:cs="Arial"/>
        </w:rPr>
        <w:t>Repto</w:t>
      </w:r>
      <w:proofErr w:type="spellEnd"/>
      <w:r>
        <w:rPr>
          <w:rFonts w:cs="Arial"/>
        </w:rPr>
        <w:t xml:space="preserve"> Client SLM Service</w:t>
      </w:r>
    </w:p>
    <w:p w14:paraId="31F58E4C" w14:textId="72353846" w:rsidR="009E41C8" w:rsidRDefault="009E41C8" w:rsidP="00535AA7">
      <w:pPr>
        <w:rPr>
          <w:rFonts w:cs="Arial"/>
        </w:rPr>
      </w:pPr>
      <w:r>
        <w:rPr>
          <w:rFonts w:cs="Arial"/>
        </w:rPr>
        <w:t>MS Exchange (Outlook) SLM Service</w:t>
      </w:r>
    </w:p>
    <w:p w14:paraId="7EBCD628" w14:textId="38D555FA" w:rsidR="009E41C8" w:rsidRDefault="009E41C8" w:rsidP="00535AA7">
      <w:pPr>
        <w:rPr>
          <w:rFonts w:cs="Arial"/>
        </w:rPr>
      </w:pPr>
      <w:r>
        <w:rPr>
          <w:rFonts w:cs="Arial"/>
        </w:rPr>
        <w:t>Mutual SLM Service</w:t>
      </w:r>
    </w:p>
    <w:p w14:paraId="6B501FAD" w14:textId="6524ADF4" w:rsidR="009E41C8" w:rsidRDefault="009E41C8" w:rsidP="00535AA7">
      <w:pPr>
        <w:rPr>
          <w:rFonts w:cs="Arial"/>
        </w:rPr>
      </w:pPr>
      <w:r>
        <w:rPr>
          <w:rFonts w:cs="Arial"/>
        </w:rPr>
        <w:t>Reconciliation Account Maintenance (RAM) – VB6 SLM Service</w:t>
      </w:r>
    </w:p>
    <w:p w14:paraId="4B325D1B" w14:textId="1BC1F7EA" w:rsidR="009E41C8" w:rsidRDefault="009E41C8" w:rsidP="00535AA7">
      <w:pPr>
        <w:rPr>
          <w:rFonts w:cs="Arial"/>
        </w:rPr>
      </w:pPr>
      <w:r>
        <w:rPr>
          <w:rFonts w:cs="Arial"/>
        </w:rPr>
        <w:t>Secure File Transfer SLM Service</w:t>
      </w:r>
    </w:p>
    <w:p w14:paraId="7B509343" w14:textId="23FA2F33" w:rsidR="009E41C8" w:rsidRDefault="009E41C8" w:rsidP="00535AA7">
      <w:pPr>
        <w:rPr>
          <w:rFonts w:cs="Arial"/>
        </w:rPr>
      </w:pPr>
      <w:r>
        <w:rPr>
          <w:rFonts w:cs="Arial"/>
        </w:rPr>
        <w:t>Spot Scan SLM Service</w:t>
      </w:r>
    </w:p>
    <w:p w14:paraId="4FF18CDF" w14:textId="37FDC0FC" w:rsidR="00CD02B6" w:rsidRDefault="00CD02B6" w:rsidP="00535AA7">
      <w:pPr>
        <w:rPr>
          <w:rFonts w:cs="Arial"/>
        </w:rPr>
      </w:pPr>
      <w:r>
        <w:rPr>
          <w:rFonts w:cs="Arial"/>
        </w:rPr>
        <w:t>Trade Authorization Table SLM Service</w:t>
      </w:r>
    </w:p>
    <w:p w14:paraId="1CE14E1A" w14:textId="3E6C2726" w:rsidR="00CD02B6" w:rsidRDefault="00CD02B6" w:rsidP="00535AA7">
      <w:pPr>
        <w:rPr>
          <w:rFonts w:cs="Arial"/>
        </w:rPr>
      </w:pPr>
      <w:proofErr w:type="spellStart"/>
      <w:r>
        <w:rPr>
          <w:rFonts w:cs="Arial"/>
        </w:rPr>
        <w:t>Verimove</w:t>
      </w:r>
      <w:proofErr w:type="spellEnd"/>
      <w:r>
        <w:rPr>
          <w:rFonts w:cs="Arial"/>
        </w:rPr>
        <w:t xml:space="preserve"> SLM Service</w:t>
      </w:r>
    </w:p>
    <w:p w14:paraId="59587144" w14:textId="77777777" w:rsidR="0047467F" w:rsidRDefault="0047467F" w:rsidP="00535AA7">
      <w:pPr>
        <w:rPr>
          <w:rFonts w:cs="Arial"/>
        </w:rPr>
      </w:pPr>
    </w:p>
    <w:p w14:paraId="256CF920" w14:textId="77777777" w:rsidR="00B676B0" w:rsidRPr="00B676B0" w:rsidRDefault="00B676B0" w:rsidP="00535AA7">
      <w:pPr>
        <w:rPr>
          <w:rFonts w:cs="Arial"/>
          <w:sz w:val="22"/>
          <w:szCs w:val="22"/>
        </w:rPr>
      </w:pPr>
    </w:p>
    <w:p w14:paraId="1FA57142" w14:textId="28F6A295" w:rsidR="00EE35FC" w:rsidRDefault="00EE35FC" w:rsidP="00385E21">
      <w:pPr>
        <w:rPr>
          <w:rFonts w:cs="Arial"/>
          <w:b/>
        </w:rPr>
      </w:pPr>
    </w:p>
    <w:p w14:paraId="18C7EB0C" w14:textId="77777777" w:rsidR="00EE35FC" w:rsidRDefault="00EE35FC" w:rsidP="00385E21">
      <w:pPr>
        <w:rPr>
          <w:rFonts w:cs="Arial"/>
          <w:b/>
        </w:rPr>
      </w:pPr>
    </w:p>
    <w:p w14:paraId="0F6BA5FA" w14:textId="77777777" w:rsidR="00843C24" w:rsidRDefault="00843C24" w:rsidP="00843C24">
      <w:pPr>
        <w:rPr>
          <w:rFonts w:cs="Arial"/>
          <w:b/>
        </w:rPr>
      </w:pPr>
      <w:r>
        <w:rPr>
          <w:rFonts w:cs="Arial"/>
          <w:b/>
        </w:rPr>
        <w:t>Modification</w:t>
      </w:r>
    </w:p>
    <w:p w14:paraId="463B6BBD" w14:textId="77777777" w:rsidR="006A3D9A" w:rsidRDefault="006A3D9A" w:rsidP="006A3D9A">
      <w:pPr>
        <w:pStyle w:val="BodyText1"/>
        <w:rPr>
          <w:rFonts w:ascii="Arial" w:hAnsi="Arial" w:cs="Arial"/>
          <w:sz w:val="20"/>
        </w:rPr>
      </w:pPr>
      <w:r>
        <w:rPr>
          <w:rFonts w:ascii="Arial" w:hAnsi="Arial" w:cs="Arial"/>
          <w:sz w:val="20"/>
        </w:rPr>
        <w:t>The following associates can make modifications to this document:</w:t>
      </w:r>
    </w:p>
    <w:p w14:paraId="70A10B46" w14:textId="221ABD3C" w:rsidR="006A3D9A" w:rsidRDefault="006A3D9A" w:rsidP="006A3D9A">
      <w:pPr>
        <w:pStyle w:val="ListBullet2"/>
        <w:rPr>
          <w:rFonts w:ascii="Arial" w:hAnsi="Arial" w:cs="Arial"/>
          <w:sz w:val="20"/>
        </w:rPr>
      </w:pPr>
      <w:r>
        <w:rPr>
          <w:rFonts w:ascii="Arial" w:hAnsi="Arial" w:cs="Arial"/>
          <w:sz w:val="20"/>
        </w:rPr>
        <w:t xml:space="preserve">Director, Continuous Performance </w:t>
      </w:r>
      <w:r w:rsidR="009E70C4">
        <w:rPr>
          <w:rFonts w:ascii="Arial" w:hAnsi="Arial" w:cs="Arial"/>
          <w:sz w:val="20"/>
        </w:rPr>
        <w:t>Enablement</w:t>
      </w:r>
    </w:p>
    <w:p w14:paraId="6D3A5F8F" w14:textId="32E5742C" w:rsidR="006A3D9A" w:rsidRDefault="006A3D9A" w:rsidP="006A3D9A">
      <w:pPr>
        <w:pStyle w:val="ListBullet2"/>
        <w:rPr>
          <w:rFonts w:ascii="Arial" w:hAnsi="Arial" w:cs="Arial"/>
          <w:sz w:val="20"/>
        </w:rPr>
      </w:pPr>
      <w:r>
        <w:rPr>
          <w:rFonts w:ascii="Arial" w:hAnsi="Arial" w:cs="Arial"/>
          <w:sz w:val="20"/>
        </w:rPr>
        <w:t xml:space="preserve">Vice President, Continuous Performance </w:t>
      </w:r>
      <w:r w:rsidR="009E70C4">
        <w:rPr>
          <w:rFonts w:ascii="Arial" w:hAnsi="Arial" w:cs="Arial"/>
          <w:sz w:val="20"/>
        </w:rPr>
        <w:t>Enablement</w:t>
      </w:r>
    </w:p>
    <w:p w14:paraId="7370D6C6" w14:textId="77777777" w:rsidR="006A3D9A" w:rsidRDefault="006A3D9A" w:rsidP="006A3D9A">
      <w:pPr>
        <w:pStyle w:val="ListBullet2"/>
        <w:rPr>
          <w:rFonts w:ascii="Arial" w:hAnsi="Arial" w:cs="Arial"/>
          <w:sz w:val="20"/>
        </w:rPr>
      </w:pPr>
      <w:r>
        <w:rPr>
          <w:rFonts w:ascii="Arial" w:hAnsi="Arial" w:cs="Arial"/>
          <w:sz w:val="20"/>
        </w:rPr>
        <w:t>Chief Technology Officer, JET</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387EC2FC" w:rsidR="00843C24" w:rsidRDefault="006A3D9A">
            <w:pPr>
              <w:pStyle w:val="Heading9"/>
              <w:rPr>
                <w:rFonts w:cs="Arial"/>
              </w:rPr>
            </w:pPr>
            <w:r>
              <w:rPr>
                <w:rFonts w:cs="Arial"/>
              </w:rPr>
              <w:t xml:space="preserve">Continuous Performance </w:t>
            </w:r>
            <w:r w:rsidR="009E70C4">
              <w:rPr>
                <w:rFonts w:cs="Arial"/>
              </w:rPr>
              <w:t>Enablement</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2FEBB2DC" w:rsidR="00843C24" w:rsidRDefault="006A3D9A">
            <w:pPr>
              <w:pStyle w:val="SSPPProperties"/>
              <w:rPr>
                <w:rFonts w:ascii="Arial" w:hAnsi="Arial" w:cs="Arial"/>
                <w:sz w:val="18"/>
                <w:szCs w:val="18"/>
              </w:rPr>
            </w:pPr>
            <w:r>
              <w:rPr>
                <w:rFonts w:ascii="Arial" w:hAnsi="Arial" w:cs="Arial"/>
                <w:sz w:val="18"/>
                <w:szCs w:val="18"/>
              </w:rPr>
              <w:t>Responsible Party: CPE Metrics</w:t>
            </w:r>
            <w:r>
              <w:rPr>
                <w:rFonts w:ascii="Arial" w:hAnsi="Arial" w:cs="Arial"/>
                <w:sz w:val="18"/>
                <w:szCs w:val="18"/>
              </w:rPr>
              <w:br/>
              <w:t xml:space="preserve">Approving Authority: Bali Bodeddula, Director, JET Continuous Performance </w:t>
            </w:r>
            <w:r w:rsidR="009E70C4">
              <w:rPr>
                <w:rFonts w:ascii="Arial" w:hAnsi="Arial" w:cs="Arial"/>
                <w:sz w:val="18"/>
                <w:szCs w:val="18"/>
              </w:rPr>
              <w:t>Enablement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2FDBCDCD" w:rsidR="00843C24" w:rsidRDefault="00843C24">
            <w:pPr>
              <w:pStyle w:val="SSPPProperties"/>
              <w:rPr>
                <w:rFonts w:ascii="Arial" w:hAnsi="Arial" w:cs="Arial"/>
                <w:sz w:val="18"/>
                <w:szCs w:val="18"/>
              </w:rPr>
            </w:pPr>
            <w:r>
              <w:rPr>
                <w:rFonts w:ascii="Arial" w:hAnsi="Arial" w:cs="Arial"/>
                <w:sz w:val="18"/>
                <w:szCs w:val="18"/>
              </w:rPr>
              <w:t xml:space="preserve">Date Created: </w:t>
            </w:r>
            <w:r w:rsidR="0062683A">
              <w:rPr>
                <w:rFonts w:ascii="Arial" w:hAnsi="Arial" w:cs="Arial"/>
                <w:sz w:val="18"/>
                <w:szCs w:val="18"/>
              </w:rPr>
              <w:t>11/16/2018</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default" r:id="rId25"/>
      <w:footerReference w:type="default" r:id="rId26"/>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095AA6" w:rsidRDefault="00095AA6">
      <w:r>
        <w:separator/>
      </w:r>
    </w:p>
  </w:endnote>
  <w:endnote w:type="continuationSeparator" w:id="0">
    <w:p w14:paraId="5C54B699" w14:textId="77777777" w:rsidR="00095AA6" w:rsidRDefault="00095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5B061A86" w:rsidR="00095AA6" w:rsidRDefault="00095AA6">
    <w:pPr>
      <w:pStyle w:val="Footer"/>
    </w:pPr>
    <w:r>
      <w:fldChar w:fldCharType="begin"/>
    </w:r>
    <w:r>
      <w:instrText xml:space="preserve"> DATE \@ "M/d/yyyy h:mm am/pm" </w:instrText>
    </w:r>
    <w:r>
      <w:fldChar w:fldCharType="separate"/>
    </w:r>
    <w:r w:rsidR="009E70C4">
      <w:rPr>
        <w:noProof/>
      </w:rPr>
      <w:t>9/24/2019 11:34 AM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sdtContent>
        </w:sdt>
      </w:sdtContent>
    </w:sdt>
  </w:p>
  <w:p w14:paraId="1C524C0E" w14:textId="77777777" w:rsidR="00095AA6" w:rsidRDefault="00095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095AA6" w:rsidRDefault="00095AA6">
      <w:r>
        <w:separator/>
      </w:r>
    </w:p>
  </w:footnote>
  <w:footnote w:type="continuationSeparator" w:id="0">
    <w:p w14:paraId="5435A3AD" w14:textId="77777777" w:rsidR="00095AA6" w:rsidRDefault="00095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095AA6" w:rsidRDefault="00095AA6">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4EB635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9E453B"/>
    <w:multiLevelType w:val="hybridMultilevel"/>
    <w:tmpl w:val="5F3050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E2E37B9"/>
    <w:multiLevelType w:val="hybridMultilevel"/>
    <w:tmpl w:val="FD08C2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03626A0"/>
    <w:multiLevelType w:val="hybridMultilevel"/>
    <w:tmpl w:val="5E9E60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1E6AB4"/>
    <w:multiLevelType w:val="hybridMultilevel"/>
    <w:tmpl w:val="F2BA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6A758A"/>
    <w:multiLevelType w:val="hybridMultilevel"/>
    <w:tmpl w:val="E4AC3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2"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4"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5"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6"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8"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9" w15:restartNumberingAfterBreak="0">
    <w:nsid w:val="42527E07"/>
    <w:multiLevelType w:val="hybridMultilevel"/>
    <w:tmpl w:val="9410CF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1"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02339E"/>
    <w:multiLevelType w:val="hybridMultilevel"/>
    <w:tmpl w:val="8AC2D2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8046A5"/>
    <w:multiLevelType w:val="hybridMultilevel"/>
    <w:tmpl w:val="3AE26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5"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6" w15:restartNumberingAfterBreak="0">
    <w:nsid w:val="51BE298F"/>
    <w:multiLevelType w:val="hybridMultilevel"/>
    <w:tmpl w:val="35D0EF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8"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29"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0"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1"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3"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4"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35"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25"/>
  </w:num>
  <w:num w:numId="2">
    <w:abstractNumId w:val="30"/>
  </w:num>
  <w:num w:numId="3">
    <w:abstractNumId w:val="35"/>
  </w:num>
  <w:num w:numId="4">
    <w:abstractNumId w:val="34"/>
  </w:num>
  <w:num w:numId="5">
    <w:abstractNumId w:val="29"/>
  </w:num>
  <w:num w:numId="6">
    <w:abstractNumId w:val="13"/>
  </w:num>
  <w:num w:numId="7">
    <w:abstractNumId w:val="24"/>
  </w:num>
  <w:num w:numId="8">
    <w:abstractNumId w:val="2"/>
  </w:num>
  <w:num w:numId="9">
    <w:abstractNumId w:val="14"/>
  </w:num>
  <w:num w:numId="10">
    <w:abstractNumId w:val="21"/>
  </w:num>
  <w:num w:numId="11">
    <w:abstractNumId w:val="27"/>
  </w:num>
  <w:num w:numId="12">
    <w:abstractNumId w:val="0"/>
  </w:num>
  <w:num w:numId="13">
    <w:abstractNumId w:val="31"/>
  </w:num>
  <w:num w:numId="14">
    <w:abstractNumId w:val="1"/>
  </w:num>
  <w:num w:numId="15">
    <w:abstractNumId w:val="17"/>
  </w:num>
  <w:num w:numId="16">
    <w:abstractNumId w:val="16"/>
  </w:num>
  <w:num w:numId="17">
    <w:abstractNumId w:val="15"/>
  </w:num>
  <w:num w:numId="18">
    <w:abstractNumId w:val="11"/>
  </w:num>
  <w:num w:numId="19">
    <w:abstractNumId w:val="4"/>
  </w:num>
  <w:num w:numId="20">
    <w:abstractNumId w:val="33"/>
  </w:num>
  <w:num w:numId="21">
    <w:abstractNumId w:val="12"/>
  </w:num>
  <w:num w:numId="22">
    <w:abstractNumId w:val="28"/>
  </w:num>
  <w:num w:numId="23">
    <w:abstractNumId w:val="3"/>
  </w:num>
  <w:num w:numId="24">
    <w:abstractNumId w:val="32"/>
  </w:num>
  <w:num w:numId="25">
    <w:abstractNumId w:val="20"/>
  </w:num>
  <w:num w:numId="26">
    <w:abstractNumId w:val="18"/>
  </w:num>
  <w:num w:numId="27">
    <w:abstractNumId w:val="5"/>
  </w:num>
  <w:num w:numId="28">
    <w:abstractNumId w:val="28"/>
  </w:num>
  <w:num w:numId="29">
    <w:abstractNumId w:val="9"/>
  </w:num>
  <w:num w:numId="30">
    <w:abstractNumId w:val="8"/>
  </w:num>
  <w:num w:numId="31">
    <w:abstractNumId w:val="19"/>
  </w:num>
  <w:num w:numId="32">
    <w:abstractNumId w:val="23"/>
  </w:num>
  <w:num w:numId="33">
    <w:abstractNumId w:val="10"/>
  </w:num>
  <w:num w:numId="34">
    <w:abstractNumId w:val="26"/>
  </w:num>
  <w:num w:numId="35">
    <w:abstractNumId w:val="6"/>
  </w:num>
  <w:num w:numId="36">
    <w:abstractNumId w:val="7"/>
  </w:num>
  <w:num w:numId="37">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552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25D77"/>
    <w:rsid w:val="00032CA6"/>
    <w:rsid w:val="000435D9"/>
    <w:rsid w:val="000508A2"/>
    <w:rsid w:val="00053DF0"/>
    <w:rsid w:val="0006055C"/>
    <w:rsid w:val="00061B56"/>
    <w:rsid w:val="000841BE"/>
    <w:rsid w:val="00095AA6"/>
    <w:rsid w:val="000A0C5F"/>
    <w:rsid w:val="000C3C4B"/>
    <w:rsid w:val="00106A5A"/>
    <w:rsid w:val="00107EDA"/>
    <w:rsid w:val="001117F9"/>
    <w:rsid w:val="00115FED"/>
    <w:rsid w:val="00130DE0"/>
    <w:rsid w:val="001310D8"/>
    <w:rsid w:val="00141D52"/>
    <w:rsid w:val="00157A90"/>
    <w:rsid w:val="00163943"/>
    <w:rsid w:val="001967D7"/>
    <w:rsid w:val="001E2408"/>
    <w:rsid w:val="00211F74"/>
    <w:rsid w:val="00243F84"/>
    <w:rsid w:val="00291227"/>
    <w:rsid w:val="002966FD"/>
    <w:rsid w:val="002B2743"/>
    <w:rsid w:val="002D0485"/>
    <w:rsid w:val="002E4B80"/>
    <w:rsid w:val="00305F97"/>
    <w:rsid w:val="0031456C"/>
    <w:rsid w:val="00314D68"/>
    <w:rsid w:val="00322122"/>
    <w:rsid w:val="00342567"/>
    <w:rsid w:val="00363E8E"/>
    <w:rsid w:val="00385E21"/>
    <w:rsid w:val="0038754C"/>
    <w:rsid w:val="00396B5B"/>
    <w:rsid w:val="003B3686"/>
    <w:rsid w:val="003B4B97"/>
    <w:rsid w:val="003B57FA"/>
    <w:rsid w:val="003D609B"/>
    <w:rsid w:val="003E140A"/>
    <w:rsid w:val="003E68D2"/>
    <w:rsid w:val="00432DD0"/>
    <w:rsid w:val="00452BA1"/>
    <w:rsid w:val="004563AB"/>
    <w:rsid w:val="00461E98"/>
    <w:rsid w:val="0047123C"/>
    <w:rsid w:val="0047467F"/>
    <w:rsid w:val="004825CF"/>
    <w:rsid w:val="004A140E"/>
    <w:rsid w:val="004B304A"/>
    <w:rsid w:val="004D4088"/>
    <w:rsid w:val="004D4140"/>
    <w:rsid w:val="004D4360"/>
    <w:rsid w:val="004E4078"/>
    <w:rsid w:val="004F2DE1"/>
    <w:rsid w:val="00511E9F"/>
    <w:rsid w:val="005167BB"/>
    <w:rsid w:val="00525E67"/>
    <w:rsid w:val="005332E6"/>
    <w:rsid w:val="00535AA7"/>
    <w:rsid w:val="005C6621"/>
    <w:rsid w:val="006108A0"/>
    <w:rsid w:val="0062683A"/>
    <w:rsid w:val="00631334"/>
    <w:rsid w:val="0063540F"/>
    <w:rsid w:val="00662AD3"/>
    <w:rsid w:val="00675066"/>
    <w:rsid w:val="00680B40"/>
    <w:rsid w:val="006A3D9A"/>
    <w:rsid w:val="006B180D"/>
    <w:rsid w:val="006B449F"/>
    <w:rsid w:val="006B5C10"/>
    <w:rsid w:val="006B6098"/>
    <w:rsid w:val="006C1CB0"/>
    <w:rsid w:val="006D0CF3"/>
    <w:rsid w:val="006D7E01"/>
    <w:rsid w:val="006E34A9"/>
    <w:rsid w:val="006F36F3"/>
    <w:rsid w:val="00705F94"/>
    <w:rsid w:val="0071521F"/>
    <w:rsid w:val="007254B7"/>
    <w:rsid w:val="007342E4"/>
    <w:rsid w:val="00746E01"/>
    <w:rsid w:val="007653F6"/>
    <w:rsid w:val="007675E4"/>
    <w:rsid w:val="007A3C31"/>
    <w:rsid w:val="007A4E80"/>
    <w:rsid w:val="007D015B"/>
    <w:rsid w:val="007D06FE"/>
    <w:rsid w:val="0080549C"/>
    <w:rsid w:val="00812063"/>
    <w:rsid w:val="008211A4"/>
    <w:rsid w:val="00832833"/>
    <w:rsid w:val="00843C24"/>
    <w:rsid w:val="00896AD4"/>
    <w:rsid w:val="008A03E0"/>
    <w:rsid w:val="008B7067"/>
    <w:rsid w:val="008C2ABE"/>
    <w:rsid w:val="008D3A31"/>
    <w:rsid w:val="008F1737"/>
    <w:rsid w:val="008F4526"/>
    <w:rsid w:val="009042A0"/>
    <w:rsid w:val="009060E1"/>
    <w:rsid w:val="009249F3"/>
    <w:rsid w:val="009618D1"/>
    <w:rsid w:val="00966150"/>
    <w:rsid w:val="009959DF"/>
    <w:rsid w:val="009D19B1"/>
    <w:rsid w:val="009D7613"/>
    <w:rsid w:val="009E058C"/>
    <w:rsid w:val="009E41C8"/>
    <w:rsid w:val="009E6404"/>
    <w:rsid w:val="009E70C4"/>
    <w:rsid w:val="00A07439"/>
    <w:rsid w:val="00A14DB3"/>
    <w:rsid w:val="00A2001B"/>
    <w:rsid w:val="00A46084"/>
    <w:rsid w:val="00A5103D"/>
    <w:rsid w:val="00A51352"/>
    <w:rsid w:val="00A51C80"/>
    <w:rsid w:val="00A64533"/>
    <w:rsid w:val="00A7322E"/>
    <w:rsid w:val="00A81FF8"/>
    <w:rsid w:val="00A838D6"/>
    <w:rsid w:val="00A94FFD"/>
    <w:rsid w:val="00A967C8"/>
    <w:rsid w:val="00AC0440"/>
    <w:rsid w:val="00AC0954"/>
    <w:rsid w:val="00AC46F6"/>
    <w:rsid w:val="00AC7746"/>
    <w:rsid w:val="00AF2F1F"/>
    <w:rsid w:val="00B16274"/>
    <w:rsid w:val="00B2750B"/>
    <w:rsid w:val="00B377E9"/>
    <w:rsid w:val="00B56D93"/>
    <w:rsid w:val="00B676B0"/>
    <w:rsid w:val="00B7546A"/>
    <w:rsid w:val="00B93297"/>
    <w:rsid w:val="00BB6713"/>
    <w:rsid w:val="00BB775C"/>
    <w:rsid w:val="00BF67ED"/>
    <w:rsid w:val="00C002DB"/>
    <w:rsid w:val="00C037D5"/>
    <w:rsid w:val="00C33C45"/>
    <w:rsid w:val="00C5266A"/>
    <w:rsid w:val="00C8221C"/>
    <w:rsid w:val="00C82A3C"/>
    <w:rsid w:val="00C82C5C"/>
    <w:rsid w:val="00C83A5C"/>
    <w:rsid w:val="00C84303"/>
    <w:rsid w:val="00CA26B0"/>
    <w:rsid w:val="00CA3CFE"/>
    <w:rsid w:val="00CD02B6"/>
    <w:rsid w:val="00CD295E"/>
    <w:rsid w:val="00CE2CF6"/>
    <w:rsid w:val="00CF49EB"/>
    <w:rsid w:val="00D02451"/>
    <w:rsid w:val="00D21BB2"/>
    <w:rsid w:val="00D25EE2"/>
    <w:rsid w:val="00D33118"/>
    <w:rsid w:val="00D42895"/>
    <w:rsid w:val="00D61A99"/>
    <w:rsid w:val="00D82AD1"/>
    <w:rsid w:val="00D9131B"/>
    <w:rsid w:val="00D9238E"/>
    <w:rsid w:val="00D95C57"/>
    <w:rsid w:val="00D96F67"/>
    <w:rsid w:val="00DC4B42"/>
    <w:rsid w:val="00DE0D50"/>
    <w:rsid w:val="00E172F0"/>
    <w:rsid w:val="00E4247D"/>
    <w:rsid w:val="00E52F62"/>
    <w:rsid w:val="00E66CE6"/>
    <w:rsid w:val="00E83290"/>
    <w:rsid w:val="00E842EF"/>
    <w:rsid w:val="00E94B60"/>
    <w:rsid w:val="00EB0D8C"/>
    <w:rsid w:val="00ED441B"/>
    <w:rsid w:val="00ED5AC8"/>
    <w:rsid w:val="00EE2517"/>
    <w:rsid w:val="00EE35FC"/>
    <w:rsid w:val="00F13304"/>
    <w:rsid w:val="00F14BD7"/>
    <w:rsid w:val="00F17820"/>
    <w:rsid w:val="00F345F1"/>
    <w:rsid w:val="00F84556"/>
    <w:rsid w:val="00FB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styleId="FollowedHyperlink">
    <w:name w:val="FollowedHyperlink"/>
    <w:basedOn w:val="DefaultParagraphFont"/>
    <w:uiPriority w:val="99"/>
    <w:semiHidden/>
    <w:unhideWhenUsed/>
    <w:rsid w:val="00E4247D"/>
    <w:rPr>
      <w:color w:val="954F72" w:themeColor="followedHyperlink"/>
      <w:u w:val="single"/>
    </w:rPr>
  </w:style>
  <w:style w:type="paragraph" w:styleId="ListParagraph">
    <w:name w:val="List Paragraph"/>
    <w:basedOn w:val="Normal"/>
    <w:uiPriority w:val="34"/>
    <w:qFormat/>
    <w:rsid w:val="00163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medy.jacksonnational.com/arsys"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SLA%20Reporting%20Documentation/Spreadsheet%20for%20Manually%20Monitored%20Services%20Documentation.docx"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point.jackson.com/sites/integrity/_layouts/15/WopiFrame.aspx?sourcedoc=%7be34fe42a-654a-469a-9d38-6612f00486dc%7d&amp;action=view" TargetMode="External"/><Relationship Id="rId24" Type="http://schemas.openxmlformats.org/officeDocument/2006/relationships/hyperlink" Target="http://docs.jackson.local/it/sites/rs/_layouts/15/start.aspx"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SLA%20Reporting%20Procedures/Create%20the%20Monthly%20KPI%20Status%20Report.docx"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F038F8-7778-4D79-9B3D-071E08731E28}">
  <ds:schemaRefs>
    <ds:schemaRef ds:uri="ba5e94a0-206e-4392-b45d-0da6521279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4.xml><?xml version="1.0" encoding="utf-8"?>
<ds:datastoreItem xmlns:ds="http://schemas.openxmlformats.org/officeDocument/2006/customXml" ds:itemID="{577544A4-4C80-4CB7-876F-A6C398D9E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ITPP.dot</Template>
  <TotalTime>533</TotalTime>
  <Pages>4</Pages>
  <Words>1274</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70</cp:revision>
  <cp:lastPrinted>2010-10-25T17:14:00Z</cp:lastPrinted>
  <dcterms:created xsi:type="dcterms:W3CDTF">2017-02-14T20:54:00Z</dcterms:created>
  <dcterms:modified xsi:type="dcterms:W3CDTF">2019-09-24T15:35:00Z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