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1E3E62"/>
          <w:sz w:val="19"/>
        </w:rPr>
        <w:t>CITI DECISION MANAGEMENT  •  GLOBAL RISK &amp; ANALYTICS</w:t>
      </w:r>
    </w:p>
    <w:p>
      <w:pPr>
        <w:spacing w:before="80" w:after="80"/>
      </w:pPr>
      <w:r>
        <w:rPr>
          <w:rFonts w:ascii="Calibri" w:hAnsi="Calibri"/>
          <w:b/>
          <w:color w:val="102C57"/>
          <w:sz w:val="48"/>
        </w:rPr>
        <w:t>Enterprise Banking &amp; Credit Risk Analytics Platform</w:t>
      </w:r>
    </w:p>
    <w:p>
      <w:pPr>
        <w:spacing w:before="0" w:after="320"/>
      </w:pPr>
      <w:r>
        <w:rPr>
          <w:rFonts w:ascii="Calibri" w:hAnsi="Calibri"/>
          <w:color w:val="64748B"/>
          <w:sz w:val="24"/>
        </w:rPr>
        <w:t>End-to-End ELT Pipeline, Relational Risk Modeling, Liquidity Surveillance, and Tableau BI Architecture</w:t>
      </w:r>
    </w:p>
    <w:tbl>
      <w:tblPr>
        <w:tblW w:type="auto" w:w="0"/>
        <w:jc w:val="center"/>
        <w:tblLayout w:type="autofit"/>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340"/>
        <w:gridCol w:w="2340"/>
        <w:gridCol w:w="2340"/>
        <w:gridCol w:w="2340"/>
      </w:tblGrid>
      <w:tr>
        <w:tc>
          <w:tcPr>
            <w:tcW w:type="dxa" w:w="2340"/>
            <w:shd w:fill="F8FAFC"/>
            <w:tcMar>
              <w:top w:w="80" w:type="dxa"/>
              <w:bottom w:w="80" w:type="dxa"/>
              <w:left w:w="100" w:type="dxa"/>
              <w:right w:w="100" w:type="dxa"/>
            </w:tcMar>
          </w:tcPr>
          <w:p>
            <w:pPr>
              <w:spacing w:before="0" w:after="0"/>
            </w:pPr>
            <w:r>
              <w:rPr>
                <w:b/>
                <w:color w:val="64748B"/>
                <w:sz w:val="15"/>
              </w:rPr>
              <w:t>PROJECT PHASE</w:t>
              <w:br/>
            </w:r>
            <w:r>
              <w:rPr>
                <w:b/>
                <w:color w:val="102C57"/>
                <w:sz w:val="19"/>
              </w:rPr>
              <w:t>Production Complete</w:t>
            </w:r>
          </w:p>
        </w:tc>
        <w:tc>
          <w:tcPr>
            <w:tcW w:type="dxa" w:w="2340"/>
            <w:shd w:fill="F8FAFC"/>
            <w:tcMar>
              <w:top w:w="80" w:type="dxa"/>
              <w:bottom w:w="80" w:type="dxa"/>
              <w:left w:w="100" w:type="dxa"/>
              <w:right w:w="100" w:type="dxa"/>
            </w:tcMar>
          </w:tcPr>
          <w:p>
            <w:pPr>
              <w:spacing w:before="0" w:after="0"/>
            </w:pPr>
            <w:r>
              <w:rPr>
                <w:b/>
                <w:color w:val="64748B"/>
                <w:sz w:val="15"/>
              </w:rPr>
              <w:t>DATASETS ANALYZED</w:t>
              <w:br/>
            </w:r>
            <w:r>
              <w:rPr>
                <w:b/>
                <w:color w:val="102C57"/>
                <w:sz w:val="19"/>
              </w:rPr>
              <w:t>165,535 Records</w:t>
            </w:r>
          </w:p>
        </w:tc>
        <w:tc>
          <w:tcPr>
            <w:tcW w:type="dxa" w:w="2340"/>
            <w:shd w:fill="F8FAFC"/>
            <w:tcMar>
              <w:top w:w="80" w:type="dxa"/>
              <w:bottom w:w="80" w:type="dxa"/>
              <w:left w:w="100" w:type="dxa"/>
              <w:right w:w="100" w:type="dxa"/>
            </w:tcMar>
          </w:tcPr>
          <w:p>
            <w:pPr>
              <w:spacing w:before="0" w:after="0"/>
            </w:pPr>
            <w:r>
              <w:rPr>
                <w:b/>
                <w:color w:val="64748B"/>
                <w:sz w:val="15"/>
              </w:rPr>
              <w:t>PORTFOLIO CAPITAL</w:t>
              <w:br/>
            </w:r>
            <w:r>
              <w:rPr>
                <w:b/>
                <w:color w:val="102C57"/>
                <w:sz w:val="19"/>
              </w:rPr>
              <w:t>$434.81M Active Exposure</w:t>
            </w:r>
          </w:p>
        </w:tc>
        <w:tc>
          <w:tcPr>
            <w:tcW w:type="dxa" w:w="2340"/>
            <w:shd w:fill="F8FAFC"/>
            <w:tcMar>
              <w:top w:w="80" w:type="dxa"/>
              <w:bottom w:w="80" w:type="dxa"/>
              <w:left w:w="100" w:type="dxa"/>
              <w:right w:w="100" w:type="dxa"/>
            </w:tcMar>
          </w:tcPr>
          <w:p>
            <w:pPr>
              <w:spacing w:before="0" w:after="0"/>
            </w:pPr>
            <w:r>
              <w:rPr>
                <w:b/>
                <w:color w:val="64748B"/>
                <w:sz w:val="15"/>
              </w:rPr>
              <w:t>DATABASE ENGINE</w:t>
              <w:br/>
            </w:r>
            <w:r>
              <w:rPr>
                <w:b/>
                <w:color w:val="102C57"/>
                <w:sz w:val="19"/>
              </w:rPr>
              <w:t>MySQL 8.0 (Port 3307)</w:t>
            </w:r>
          </w:p>
        </w:tc>
      </w:tr>
    </w:tbl>
    <w:p/>
    <w:p>
      <w:pPr>
        <w:spacing w:before="320" w:after="120"/>
      </w:pPr>
      <w:r>
        <w:rPr>
          <w:rFonts w:ascii="Calibri" w:hAnsi="Calibri"/>
          <w:b/>
          <w:color w:val="102C57"/>
          <w:sz w:val="32"/>
        </w:rPr>
        <w:t>1. Executive Summary &amp; Scope</w:t>
      </w:r>
    </w:p>
    <w:p>
      <w:r>
        <w:t>Modern commercial and retail banking institutions operate under stringent regulatory mandates (Basel III, Dodd-Frank, and FinCEN anti-money laundering standards) requiring continuous capital adequacy, comprehensive default surveillance, and real-time intraday branch liquidity oversight. The Citi Banking &amp; Credit Risk Analytics Platform represents an enterprise-grade decision intelligence framework designed to unify fragmented retail transactions and term-lending portfolios into an audited, reproducible analytical repository.</w:t>
      </w:r>
    </w:p>
    <w:p>
      <w:r>
        <w:t>The analytical scope encompasses 165,535 verified banking records spanning over $434.8 million in funded loan exposures (analyzed across 65,535 borrower accounts) and $254.89 million in retail branch cash flows (comprising 100,000 credit/debit transactions). By synthesizing algorithmic Python ETL routines, high-concurrency MySQL relational modeling, and interactive Tableau BI visualizations, this initiative delivers actionable risk attribution, reveals hidden liquidity imbalances across regional branches, and isolates fraudulent transaction patterns.</w:t>
      </w:r>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Borders>
              <w:top w:val="none"/>
              <w:left w:val="single" w:sz="24" w:space="0" w:color="102C57"/>
              <w:bottom w:val="none"/>
              <w:right w:val="none"/>
            </w:tcBorders>
          </w:tcPr>
          <w:p>
            <w:pPr>
              <w:spacing w:before="0" w:after="80"/>
            </w:pPr>
            <w:r>
              <w:rPr>
                <w:rFonts w:ascii="Calibri" w:hAnsi="Calibri"/>
                <w:b/>
                <w:color w:val="102C57"/>
                <w:sz w:val="21"/>
              </w:rPr>
              <w:t>EXECUTIVE DIRECTIVE: PORTFOLIO RISK &amp; LIQUIDITY DISPARITY FINDINGS</w:t>
              <w:br/>
            </w:r>
            <w:r>
              <w:rPr>
                <w:rFonts w:ascii="Calibri" w:hAnsi="Calibri"/>
                <w:color w:val="1E293B"/>
                <w:sz w:val="19"/>
              </w:rPr>
              <w:t>1. Delinquency Escalation Multiplier: While baseline default rates remain range-bound between 2.38% and 2.96% across all tiers, early-stage 30–89 day loan delinquency escalates precipitously by 6.6x—surging from 3.92% in Grade A to 25.95% in Grade G.</w:t>
              <w:br/>
              <w:t>2. Structural Branch Liquidity Asymmetry: Out of six regional branch operations, three branches operate in severe negative net cash deficits (Main Branch: -$246,036.27; City Center: -$74,772.81; Downtown: -$60,911.67), while East Branch accumulates an uninvested idle liquidity surplus of +$354,910.69.</w:t>
              <w:br/>
              <w:t>3. High-Value Debit Exposure: Surveillance isolated 5,252 high-risk outbound debit transfers exceeding $4,500, with Main and Downtown branches exhibiting disproportionately dense AML risk concentrations (&gt;900 flagged transfers each).</w:t>
            </w:r>
          </w:p>
        </w:tc>
      </w:tr>
    </w:tbl>
    <w:p/>
    <w:p>
      <w:pPr>
        <w:spacing w:before="320" w:after="120"/>
      </w:pPr>
      <w:r>
        <w:rPr>
          <w:rFonts w:ascii="Calibri" w:hAnsi="Calibri"/>
          <w:b/>
          <w:color w:val="102C57"/>
          <w:sz w:val="32"/>
        </w:rPr>
        <w:t>2. Data Engineering &amp; Pipeline Architecture</w:t>
      </w:r>
    </w:p>
    <w:p>
      <w:r>
        <w:t>The engineering architecture was constructed to satisfy three primary criteria: absolute schema fidelity, temporal consistency across legacy data sources, and scalable ingestion performance into MySQL 8.0 on dedicated port 3307. The automated pipeline is partitioned into distinct stages:</w:t>
      </w:r>
    </w:p>
    <w:p>
      <w:pPr>
        <w:pStyle w:val="ListBullet"/>
      </w:pPr>
      <w:r>
        <w:rPr>
          <w:b/>
        </w:rPr>
        <w:t xml:space="preserve">Multi-Format Ingestion &amp; Memory Optimization: </w:t>
      </w:r>
      <w:r>
        <w:t>Ingests 65,535 loan portfolio records (52 attributes) from 'Bank Data Analystics.xlsx' and 100,000 retail banking transactions (12 attributes) from 'Debit and Credit banking_data.xlsx'. Implemented openpyxl and Pandas vectorized engine for efficient heap memory consumption.</w:t>
      </w:r>
    </w:p>
    <w:p>
      <w:pPr>
        <w:pStyle w:val="ListBullet"/>
      </w:pPr>
      <w:r>
        <w:rPr>
          <w:b/>
        </w:rPr>
        <w:t xml:space="preserve">Header Sanitization &amp; Structural Deduplication: </w:t>
      </w:r>
      <w:r>
        <w:t>Automated regex stripping of leading/trailing whitespace across all DataFrame column definitions. Applied positional boolean indexing (~df.columns.duplicated()) to eliminate duplicate headers originating from disparate Excel export schemas.</w:t>
      </w:r>
    </w:p>
    <w:p>
      <w:pPr>
        <w:pStyle w:val="ListBullet"/>
      </w:pPr>
      <w:r>
        <w:rPr>
          <w:b/>
        </w:rPr>
        <w:t xml:space="preserve">Temporal Normalization &amp; ISO-8601 Standardization: </w:t>
      </w:r>
      <w:r>
        <w:t>Raw legacy timestamps exhibited inconsistent string date formats ('MM/DD/YYYY', 'YYYY-MM-DD HH:MM:SS', and Excel serial numeric formats). Applied pd.to_datetime(errors='coerce') to standardize both Disbursement_Date and Transaction_Date into ISO-8601 YYYY-MM-DD compliant representations.</w:t>
      </w:r>
    </w:p>
    <w:p>
      <w:pPr>
        <w:pStyle w:val="ListBullet"/>
      </w:pPr>
      <w:r>
        <w:rPr>
          <w:b/>
        </w:rPr>
        <w:t xml:space="preserve">Citi Decision Management AML Heuristic Injection: </w:t>
      </w:r>
      <w:r>
        <w:t>Engineered an vectorized binary feature flag 'Is_High_Risk_Txn' via np.where((trans_df['Transaction Type'] == 'Debit') &amp; (trans_df['Amount'] &gt; 4500), 1, 0), instantly isolating high-velocity debit outflows near regulatory structuring thresholds.</w:t>
      </w:r>
    </w:p>
    <w:p>
      <w:pPr>
        <w:pStyle w:val="ListBullet"/>
      </w:pPr>
      <w:r>
        <w:rPr>
          <w:b/>
        </w:rPr>
        <w:t xml:space="preserve">High-Performance SQLAlchemy ORM Streaming: </w:t>
      </w:r>
      <w:r>
        <w:t>Created an optimized SQLAlchemy 2.0 engine utilizing PyMySQL dialect targeting 'citi_bank_analytics' on localhost:3307. Employed chunked binary stream persistence with connection-level autocommit, achieving full pipeline execution and verification in under 45 seconds.</w:t>
      </w:r>
    </w:p>
    <w:p>
      <w:pPr>
        <w:spacing w:before="320" w:after="120"/>
      </w:pPr>
      <w:r>
        <w:rPr>
          <w:rFonts w:ascii="Calibri" w:hAnsi="Calibri"/>
          <w:b/>
          <w:color w:val="102C57"/>
          <w:sz w:val="32"/>
        </w:rPr>
        <w:t>3. Relational SQL Analytics &amp; Verified Results</w:t>
      </w:r>
    </w:p>
    <w:p>
      <w:r>
        <w:t>With data validated and persisted into MySQL, advanced analytical queries were executed to extract macro portfolio metrics and branch operational KPIs. Two primary analytical models were established: Credit Risk Segregation by Grade (A through G) and Branch Liquidity Window Rankings (incorporating SQL window functions DENSE_RANK).</w:t>
      </w:r>
    </w:p>
    <w:p>
      <w:pPr>
        <w:spacing w:before="160" w:after="80"/>
      </w:pPr>
      <w:r>
        <w:rPr>
          <w:rFonts w:ascii="Calibri" w:hAnsi="Calibri"/>
          <w:b/>
          <w:color w:val="1E3E62"/>
          <w:sz w:val="26"/>
        </w:rPr>
        <w:t>3.1 Credit Risk Segregation &amp; Delinquency Matrix (Grades A–G)</w:t>
      </w:r>
    </w:p>
    <w:p>
      <w:r>
        <w:t>The loan portfolio query groups accounts by internal credit grade rating, calculating total capitalized exposure, confirmed default occurrences, and active delinquency rates. Delinquent accounts represent loans with overdue installments (30–89 days), serving as an indispensable forward-looking indicator prior to formal write-off.</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296"/>
            <w:vAlign w:val="center"/>
            <w:tcMar>
              <w:top w:w="100" w:type="dxa"/>
              <w:bottom w:w="100" w:type="dxa"/>
              <w:left w:w="120" w:type="dxa"/>
              <w:right w:w="120" w:type="dxa"/>
            </w:tcMar>
            <w:shd w:fill="102C57"/>
          </w:tcPr>
          <w:p>
            <w:pPr>
              <w:spacing w:before="0" w:after="0"/>
              <w:jc w:val="left"/>
            </w:pPr>
            <w:r>
              <w:rPr>
                <w:rFonts w:ascii="Calibri" w:hAnsi="Calibri"/>
                <w:b/>
                <w:color w:val="FFFFFF"/>
                <w:sz w:val="17"/>
              </w:rPr>
              <w:t>Credit Grade</w:t>
            </w:r>
          </w:p>
        </w:tc>
        <w:tc>
          <w:tcPr>
            <w:tcW w:type="dxa" w:w="1296"/>
            <w:vAlign w:val="center"/>
            <w:tcMar>
              <w:top w:w="100" w:type="dxa"/>
              <w:bottom w:w="100" w:type="dxa"/>
              <w:left w:w="120" w:type="dxa"/>
              <w:right w:w="120" w:type="dxa"/>
            </w:tcMar>
            <w:shd w:fill="102C57"/>
          </w:tcPr>
          <w:p>
            <w:pPr>
              <w:spacing w:before="0" w:after="0"/>
              <w:jc w:val="right"/>
            </w:pPr>
            <w:r>
              <w:rPr>
                <w:rFonts w:ascii="Calibri" w:hAnsi="Calibri"/>
                <w:b/>
                <w:color w:val="FFFFFF"/>
                <w:sz w:val="17"/>
              </w:rPr>
              <w:t>Total Accounts</w:t>
            </w:r>
          </w:p>
        </w:tc>
        <w:tc>
          <w:tcPr>
            <w:tcW w:type="dxa" w:w="1872"/>
            <w:vAlign w:val="center"/>
            <w:tcMar>
              <w:top w:w="100" w:type="dxa"/>
              <w:bottom w:w="100" w:type="dxa"/>
              <w:left w:w="120" w:type="dxa"/>
              <w:right w:w="120" w:type="dxa"/>
            </w:tcMar>
            <w:shd w:fill="102C57"/>
          </w:tcPr>
          <w:p>
            <w:pPr>
              <w:spacing w:before="0" w:after="0"/>
              <w:jc w:val="right"/>
            </w:pPr>
            <w:r>
              <w:rPr>
                <w:rFonts w:ascii="Calibri" w:hAnsi="Calibri"/>
                <w:b/>
                <w:color w:val="FFFFFF"/>
                <w:sz w:val="17"/>
              </w:rPr>
              <w:t>Total Funded Exposure ($)</w:t>
            </w:r>
          </w:p>
        </w:tc>
        <w:tc>
          <w:tcPr>
            <w:tcW w:type="dxa" w:w="1152"/>
            <w:vAlign w:val="center"/>
            <w:tcMar>
              <w:top w:w="100" w:type="dxa"/>
              <w:bottom w:w="100" w:type="dxa"/>
              <w:left w:w="120" w:type="dxa"/>
              <w:right w:w="120" w:type="dxa"/>
            </w:tcMar>
            <w:shd w:fill="102C57"/>
          </w:tcPr>
          <w:p>
            <w:pPr>
              <w:spacing w:before="0" w:after="0"/>
              <w:jc w:val="right"/>
            </w:pPr>
            <w:r>
              <w:rPr>
                <w:rFonts w:ascii="Calibri" w:hAnsi="Calibri"/>
                <w:b/>
                <w:color w:val="FFFFFF"/>
                <w:sz w:val="17"/>
              </w:rPr>
              <w:t>Default Count</w:t>
            </w:r>
          </w:p>
        </w:tc>
        <w:tc>
          <w:tcPr>
            <w:tcW w:type="dxa" w:w="1152"/>
            <w:vAlign w:val="center"/>
            <w:tcMar>
              <w:top w:w="100" w:type="dxa"/>
              <w:bottom w:w="100" w:type="dxa"/>
              <w:left w:w="120" w:type="dxa"/>
              <w:right w:w="120" w:type="dxa"/>
            </w:tcMar>
            <w:shd w:fill="102C57"/>
          </w:tcPr>
          <w:p>
            <w:pPr>
              <w:spacing w:before="0" w:after="0"/>
              <w:jc w:val="right"/>
            </w:pPr>
            <w:r>
              <w:rPr>
                <w:rFonts w:ascii="Calibri" w:hAnsi="Calibri"/>
                <w:b/>
                <w:color w:val="FFFFFF"/>
                <w:sz w:val="17"/>
              </w:rPr>
              <w:t>Default Rate (%)</w:t>
            </w:r>
          </w:p>
        </w:tc>
        <w:tc>
          <w:tcPr>
            <w:tcW w:type="dxa" w:w="1296"/>
            <w:vAlign w:val="center"/>
            <w:tcMar>
              <w:top w:w="100" w:type="dxa"/>
              <w:bottom w:w="100" w:type="dxa"/>
              <w:left w:w="120" w:type="dxa"/>
              <w:right w:w="120" w:type="dxa"/>
            </w:tcMar>
            <w:shd w:fill="102C57"/>
          </w:tcPr>
          <w:p>
            <w:pPr>
              <w:spacing w:before="0" w:after="0"/>
              <w:jc w:val="right"/>
            </w:pPr>
            <w:r>
              <w:rPr>
                <w:rFonts w:ascii="Calibri" w:hAnsi="Calibri"/>
                <w:b/>
                <w:color w:val="FFFFFF"/>
                <w:sz w:val="17"/>
              </w:rPr>
              <w:t>Delinquent Count</w:t>
            </w:r>
          </w:p>
        </w:tc>
        <w:tc>
          <w:tcPr>
            <w:tcW w:type="dxa" w:w="1296"/>
            <w:vAlign w:val="center"/>
            <w:tcMar>
              <w:top w:w="100" w:type="dxa"/>
              <w:bottom w:w="100" w:type="dxa"/>
              <w:left w:w="120" w:type="dxa"/>
              <w:right w:w="120" w:type="dxa"/>
            </w:tcMar>
            <w:shd w:fill="102C57"/>
          </w:tcPr>
          <w:p>
            <w:pPr>
              <w:spacing w:before="0" w:after="0"/>
              <w:jc w:val="right"/>
            </w:pPr>
            <w:r>
              <w:rPr>
                <w:rFonts w:ascii="Calibri" w:hAnsi="Calibri"/>
                <w:b/>
                <w:color w:val="FFFFFF"/>
                <w:sz w:val="17"/>
              </w:rPr>
              <w:t>Delinquency Rate (%)</w:t>
            </w:r>
          </w:p>
        </w:tc>
      </w:tr>
      <w:tr>
        <w:tc>
          <w:tcPr>
            <w:tcW w:type="dxa" w:w="1296"/>
            <w:vAlign w:val="center"/>
            <w:tcMar>
              <w:top w:w="100" w:type="dxa"/>
              <w:bottom w:w="100" w:type="dxa"/>
              <w:left w:w="120" w:type="dxa"/>
              <w:right w:w="120" w:type="dxa"/>
            </w:tcMar>
            <w:shd w:fill="F8FAFC"/>
          </w:tcPr>
          <w:p>
            <w:pPr>
              <w:spacing w:before="0" w:after="0"/>
              <w:jc w:val="left"/>
            </w:pPr>
            <w:r>
              <w:rPr>
                <w:rFonts w:ascii="Calibri" w:hAnsi="Calibri"/>
                <w:color w:val="1E293B"/>
                <w:sz w:val="17"/>
              </w:rPr>
              <w:t>A</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10,085</w:t>
            </w:r>
          </w:p>
        </w:tc>
        <w:tc>
          <w:tcPr>
            <w:tcW w:type="dxa" w:w="1872"/>
            <w:vAlign w:val="center"/>
            <w:tcMar>
              <w:top w:w="100" w:type="dxa"/>
              <w:bottom w:w="100" w:type="dxa"/>
              <w:left w:w="120" w:type="dxa"/>
              <w:right w:w="120" w:type="dxa"/>
            </w:tcMar>
            <w:shd w:fill="F8FAFC"/>
          </w:tcPr>
          <w:p>
            <w:pPr>
              <w:spacing w:before="0" w:after="0"/>
              <w:jc w:val="right"/>
            </w:pPr>
            <w:r>
              <w:rPr>
                <w:rFonts w:ascii="Calibri" w:hAnsi="Calibri"/>
                <w:color w:val="1E293B"/>
                <w:sz w:val="17"/>
              </w:rPr>
              <w:t>$84,738,425.00</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271</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2.69%</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395</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3.92%</w:t>
            </w:r>
          </w:p>
        </w:tc>
      </w:tr>
      <w:tr>
        <w:tc>
          <w:tcPr>
            <w:tcW w:type="dxa" w:w="1296"/>
            <w:vAlign w:val="center"/>
            <w:tcMar>
              <w:top w:w="100" w:type="dxa"/>
              <w:bottom w:w="100" w:type="dxa"/>
              <w:left w:w="120" w:type="dxa"/>
              <w:right w:w="120" w:type="dxa"/>
            </w:tcMar>
            <w:shd w:fill="FFFFFF"/>
          </w:tcPr>
          <w:p>
            <w:pPr>
              <w:spacing w:before="0" w:after="0"/>
              <w:jc w:val="left"/>
            </w:pPr>
            <w:r>
              <w:rPr>
                <w:rFonts w:ascii="Calibri" w:hAnsi="Calibri"/>
                <w:color w:val="1E293B"/>
                <w:sz w:val="17"/>
              </w:rPr>
              <w:t>B</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color w:val="1E293B"/>
                <w:sz w:val="17"/>
              </w:rPr>
              <w:t>12,020</w:t>
            </w:r>
          </w:p>
        </w:tc>
        <w:tc>
          <w:tcPr>
            <w:tcW w:type="dxa" w:w="1872"/>
            <w:vAlign w:val="center"/>
            <w:tcMar>
              <w:top w:w="100" w:type="dxa"/>
              <w:bottom w:w="100" w:type="dxa"/>
              <w:left w:w="120" w:type="dxa"/>
              <w:right w:w="120" w:type="dxa"/>
            </w:tcMar>
            <w:shd w:fill="FFFFFF"/>
          </w:tcPr>
          <w:p>
            <w:pPr>
              <w:spacing w:before="0" w:after="0"/>
              <w:jc w:val="right"/>
            </w:pPr>
            <w:r>
              <w:rPr>
                <w:rFonts w:ascii="Calibri" w:hAnsi="Calibri"/>
                <w:color w:val="1E293B"/>
                <w:sz w:val="17"/>
              </w:rPr>
              <w:t>$130,553,250.00</w:t>
            </w:r>
          </w:p>
        </w:tc>
        <w:tc>
          <w:tcPr>
            <w:tcW w:type="dxa" w:w="1152"/>
            <w:vAlign w:val="center"/>
            <w:tcMar>
              <w:top w:w="100" w:type="dxa"/>
              <w:bottom w:w="100" w:type="dxa"/>
              <w:left w:w="120" w:type="dxa"/>
              <w:right w:w="120" w:type="dxa"/>
            </w:tcMar>
            <w:shd w:fill="FFFFFF"/>
          </w:tcPr>
          <w:p>
            <w:pPr>
              <w:spacing w:before="0" w:after="0"/>
              <w:jc w:val="right"/>
            </w:pPr>
            <w:r>
              <w:rPr>
                <w:rFonts w:ascii="Calibri" w:hAnsi="Calibri"/>
                <w:color w:val="1E293B"/>
                <w:sz w:val="17"/>
              </w:rPr>
              <w:t>291</w:t>
            </w:r>
          </w:p>
        </w:tc>
        <w:tc>
          <w:tcPr>
            <w:tcW w:type="dxa" w:w="1152"/>
            <w:vAlign w:val="center"/>
            <w:tcMar>
              <w:top w:w="100" w:type="dxa"/>
              <w:bottom w:w="100" w:type="dxa"/>
              <w:left w:w="120" w:type="dxa"/>
              <w:right w:w="120" w:type="dxa"/>
            </w:tcMar>
            <w:shd w:fill="FFFFFF"/>
          </w:tcPr>
          <w:p>
            <w:pPr>
              <w:spacing w:before="0" w:after="0"/>
              <w:jc w:val="right"/>
            </w:pPr>
            <w:r>
              <w:rPr>
                <w:rFonts w:ascii="Calibri" w:hAnsi="Calibri"/>
                <w:color w:val="1E293B"/>
                <w:sz w:val="17"/>
              </w:rPr>
              <w:t>2.42%</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color w:val="1E293B"/>
                <w:sz w:val="17"/>
              </w:rPr>
              <w:t>1,097</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color w:val="1E293B"/>
                <w:sz w:val="17"/>
              </w:rPr>
              <w:t>9.13%</w:t>
            </w:r>
          </w:p>
        </w:tc>
      </w:tr>
      <w:tr>
        <w:tc>
          <w:tcPr>
            <w:tcW w:type="dxa" w:w="1296"/>
            <w:vAlign w:val="center"/>
            <w:tcMar>
              <w:top w:w="100" w:type="dxa"/>
              <w:bottom w:w="100" w:type="dxa"/>
              <w:left w:w="120" w:type="dxa"/>
              <w:right w:w="120" w:type="dxa"/>
            </w:tcMar>
            <w:shd w:fill="F8FAFC"/>
          </w:tcPr>
          <w:p>
            <w:pPr>
              <w:spacing w:before="0" w:after="0"/>
              <w:jc w:val="left"/>
            </w:pPr>
            <w:r>
              <w:rPr>
                <w:rFonts w:ascii="Calibri" w:hAnsi="Calibri"/>
                <w:color w:val="1E293B"/>
                <w:sz w:val="17"/>
              </w:rPr>
              <w:t>C</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8,098</w:t>
            </w:r>
          </w:p>
        </w:tc>
        <w:tc>
          <w:tcPr>
            <w:tcW w:type="dxa" w:w="1872"/>
            <w:vAlign w:val="center"/>
            <w:tcMar>
              <w:top w:w="100" w:type="dxa"/>
              <w:bottom w:w="100" w:type="dxa"/>
              <w:left w:w="120" w:type="dxa"/>
              <w:right w:w="120" w:type="dxa"/>
            </w:tcMar>
            <w:shd w:fill="F8FAFC"/>
          </w:tcPr>
          <w:p>
            <w:pPr>
              <w:spacing w:before="0" w:after="0"/>
              <w:jc w:val="right"/>
            </w:pPr>
            <w:r>
              <w:rPr>
                <w:rFonts w:ascii="Calibri" w:hAnsi="Calibri"/>
                <w:color w:val="1E293B"/>
                <w:sz w:val="17"/>
              </w:rPr>
              <w:t>$87,290,475.00</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193</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2.38%</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1,103</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13.62%</w:t>
            </w:r>
          </w:p>
        </w:tc>
      </w:tr>
      <w:tr>
        <w:tc>
          <w:tcPr>
            <w:tcW w:type="dxa" w:w="1296"/>
            <w:vAlign w:val="center"/>
            <w:tcMar>
              <w:top w:w="100" w:type="dxa"/>
              <w:bottom w:w="100" w:type="dxa"/>
              <w:left w:w="120" w:type="dxa"/>
              <w:right w:w="120" w:type="dxa"/>
            </w:tcMar>
            <w:shd w:fill="FFFFFF"/>
          </w:tcPr>
          <w:p>
            <w:pPr>
              <w:spacing w:before="0" w:after="0"/>
              <w:jc w:val="left"/>
            </w:pPr>
            <w:r>
              <w:rPr>
                <w:rFonts w:ascii="Calibri" w:hAnsi="Calibri"/>
                <w:color w:val="1E293B"/>
                <w:sz w:val="17"/>
              </w:rPr>
              <w:t>D</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color w:val="1E293B"/>
                <w:sz w:val="17"/>
              </w:rPr>
              <w:t>5,307</w:t>
            </w:r>
          </w:p>
        </w:tc>
        <w:tc>
          <w:tcPr>
            <w:tcW w:type="dxa" w:w="1872"/>
            <w:vAlign w:val="center"/>
            <w:tcMar>
              <w:top w:w="100" w:type="dxa"/>
              <w:bottom w:w="100" w:type="dxa"/>
              <w:left w:w="120" w:type="dxa"/>
              <w:right w:w="120" w:type="dxa"/>
            </w:tcMar>
            <w:shd w:fill="FFFFFF"/>
          </w:tcPr>
          <w:p>
            <w:pPr>
              <w:spacing w:before="0" w:after="0"/>
              <w:jc w:val="right"/>
            </w:pPr>
            <w:r>
              <w:rPr>
                <w:rFonts w:ascii="Calibri" w:hAnsi="Calibri"/>
                <w:color w:val="1E293B"/>
                <w:sz w:val="17"/>
              </w:rPr>
              <w:t>$64,054,375.00</w:t>
            </w:r>
          </w:p>
        </w:tc>
        <w:tc>
          <w:tcPr>
            <w:tcW w:type="dxa" w:w="1152"/>
            <w:vAlign w:val="center"/>
            <w:tcMar>
              <w:top w:w="100" w:type="dxa"/>
              <w:bottom w:w="100" w:type="dxa"/>
              <w:left w:w="120" w:type="dxa"/>
              <w:right w:w="120" w:type="dxa"/>
            </w:tcMar>
            <w:shd w:fill="FFFFFF"/>
          </w:tcPr>
          <w:p>
            <w:pPr>
              <w:spacing w:before="0" w:after="0"/>
              <w:jc w:val="right"/>
            </w:pPr>
            <w:r>
              <w:rPr>
                <w:rFonts w:ascii="Calibri" w:hAnsi="Calibri"/>
                <w:color w:val="1E293B"/>
                <w:sz w:val="17"/>
              </w:rPr>
              <w:t>145</w:t>
            </w:r>
          </w:p>
        </w:tc>
        <w:tc>
          <w:tcPr>
            <w:tcW w:type="dxa" w:w="1152"/>
            <w:vAlign w:val="center"/>
            <w:tcMar>
              <w:top w:w="100" w:type="dxa"/>
              <w:bottom w:w="100" w:type="dxa"/>
              <w:left w:w="120" w:type="dxa"/>
              <w:right w:w="120" w:type="dxa"/>
            </w:tcMar>
            <w:shd w:fill="FFFFFF"/>
          </w:tcPr>
          <w:p>
            <w:pPr>
              <w:spacing w:before="0" w:after="0"/>
              <w:jc w:val="right"/>
            </w:pPr>
            <w:r>
              <w:rPr>
                <w:rFonts w:ascii="Calibri" w:hAnsi="Calibri"/>
                <w:color w:val="1E293B"/>
                <w:sz w:val="17"/>
              </w:rPr>
              <w:t>2.73%</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color w:val="1E293B"/>
                <w:sz w:val="17"/>
              </w:rPr>
              <w:t>920</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b/>
                <w:color w:val="B91C1C"/>
                <w:sz w:val="17"/>
              </w:rPr>
              <w:t>17.34%</w:t>
            </w:r>
          </w:p>
        </w:tc>
      </w:tr>
      <w:tr>
        <w:tc>
          <w:tcPr>
            <w:tcW w:type="dxa" w:w="1296"/>
            <w:vAlign w:val="center"/>
            <w:tcMar>
              <w:top w:w="100" w:type="dxa"/>
              <w:bottom w:w="100" w:type="dxa"/>
              <w:left w:w="120" w:type="dxa"/>
              <w:right w:w="120" w:type="dxa"/>
            </w:tcMar>
            <w:shd w:fill="F8FAFC"/>
          </w:tcPr>
          <w:p>
            <w:pPr>
              <w:spacing w:before="0" w:after="0"/>
              <w:jc w:val="left"/>
            </w:pPr>
            <w:r>
              <w:rPr>
                <w:rFonts w:ascii="Calibri" w:hAnsi="Calibri"/>
                <w:color w:val="1E293B"/>
                <w:sz w:val="17"/>
              </w:rPr>
              <w:t>E</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2,842</w:t>
            </w:r>
          </w:p>
        </w:tc>
        <w:tc>
          <w:tcPr>
            <w:tcW w:type="dxa" w:w="1872"/>
            <w:vAlign w:val="center"/>
            <w:tcMar>
              <w:top w:w="100" w:type="dxa"/>
              <w:bottom w:w="100" w:type="dxa"/>
              <w:left w:w="120" w:type="dxa"/>
              <w:right w:w="120" w:type="dxa"/>
            </w:tcMar>
            <w:shd w:fill="F8FAFC"/>
          </w:tcPr>
          <w:p>
            <w:pPr>
              <w:spacing w:before="0" w:after="0"/>
              <w:jc w:val="right"/>
            </w:pPr>
            <w:r>
              <w:rPr>
                <w:rFonts w:ascii="Calibri" w:hAnsi="Calibri"/>
                <w:color w:val="1E293B"/>
                <w:sz w:val="17"/>
              </w:rPr>
              <w:t>$43,352,800.00</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84</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2.96%</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485</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b/>
                <w:color w:val="B91C1C"/>
                <w:sz w:val="17"/>
              </w:rPr>
              <w:t>17.07%</w:t>
            </w:r>
          </w:p>
        </w:tc>
      </w:tr>
      <w:tr>
        <w:tc>
          <w:tcPr>
            <w:tcW w:type="dxa" w:w="1296"/>
            <w:vAlign w:val="center"/>
            <w:tcMar>
              <w:top w:w="100" w:type="dxa"/>
              <w:bottom w:w="100" w:type="dxa"/>
              <w:left w:w="120" w:type="dxa"/>
              <w:right w:w="120" w:type="dxa"/>
            </w:tcMar>
            <w:shd w:fill="FFFFFF"/>
          </w:tcPr>
          <w:p>
            <w:pPr>
              <w:spacing w:before="0" w:after="0"/>
              <w:jc w:val="left"/>
            </w:pPr>
            <w:r>
              <w:rPr>
                <w:rFonts w:ascii="Calibri" w:hAnsi="Calibri"/>
                <w:color w:val="1E293B"/>
                <w:sz w:val="17"/>
              </w:rPr>
              <w:t>F</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color w:val="1E293B"/>
                <w:sz w:val="17"/>
              </w:rPr>
              <w:t>1,049</w:t>
            </w:r>
          </w:p>
        </w:tc>
        <w:tc>
          <w:tcPr>
            <w:tcW w:type="dxa" w:w="1872"/>
            <w:vAlign w:val="center"/>
            <w:tcMar>
              <w:top w:w="100" w:type="dxa"/>
              <w:bottom w:w="100" w:type="dxa"/>
              <w:left w:w="120" w:type="dxa"/>
              <w:right w:w="120" w:type="dxa"/>
            </w:tcMar>
            <w:shd w:fill="FFFFFF"/>
          </w:tcPr>
          <w:p>
            <w:pPr>
              <w:spacing w:before="0" w:after="0"/>
              <w:jc w:val="right"/>
            </w:pPr>
            <w:r>
              <w:rPr>
                <w:rFonts w:ascii="Calibri" w:hAnsi="Calibri"/>
                <w:color w:val="1E293B"/>
                <w:sz w:val="17"/>
              </w:rPr>
              <w:t>$18,555,150.00</w:t>
            </w:r>
          </w:p>
        </w:tc>
        <w:tc>
          <w:tcPr>
            <w:tcW w:type="dxa" w:w="1152"/>
            <w:vAlign w:val="center"/>
            <w:tcMar>
              <w:top w:w="100" w:type="dxa"/>
              <w:bottom w:w="100" w:type="dxa"/>
              <w:left w:w="120" w:type="dxa"/>
              <w:right w:w="120" w:type="dxa"/>
            </w:tcMar>
            <w:shd w:fill="FFFFFF"/>
          </w:tcPr>
          <w:p>
            <w:pPr>
              <w:spacing w:before="0" w:after="0"/>
              <w:jc w:val="right"/>
            </w:pPr>
            <w:r>
              <w:rPr>
                <w:rFonts w:ascii="Calibri" w:hAnsi="Calibri"/>
                <w:color w:val="1E293B"/>
                <w:sz w:val="17"/>
              </w:rPr>
              <w:t>28</w:t>
            </w:r>
          </w:p>
        </w:tc>
        <w:tc>
          <w:tcPr>
            <w:tcW w:type="dxa" w:w="1152"/>
            <w:vAlign w:val="center"/>
            <w:tcMar>
              <w:top w:w="100" w:type="dxa"/>
              <w:bottom w:w="100" w:type="dxa"/>
              <w:left w:w="120" w:type="dxa"/>
              <w:right w:w="120" w:type="dxa"/>
            </w:tcMar>
            <w:shd w:fill="FFFFFF"/>
          </w:tcPr>
          <w:p>
            <w:pPr>
              <w:spacing w:before="0" w:after="0"/>
              <w:jc w:val="right"/>
            </w:pPr>
            <w:r>
              <w:rPr>
                <w:rFonts w:ascii="Calibri" w:hAnsi="Calibri"/>
                <w:color w:val="1E293B"/>
                <w:sz w:val="17"/>
              </w:rPr>
              <w:t>2.67%</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color w:val="1E293B"/>
                <w:sz w:val="17"/>
              </w:rPr>
              <w:t>230</w:t>
            </w:r>
          </w:p>
        </w:tc>
        <w:tc>
          <w:tcPr>
            <w:tcW w:type="dxa" w:w="1296"/>
            <w:vAlign w:val="center"/>
            <w:tcMar>
              <w:top w:w="100" w:type="dxa"/>
              <w:bottom w:w="100" w:type="dxa"/>
              <w:left w:w="120" w:type="dxa"/>
              <w:right w:w="120" w:type="dxa"/>
            </w:tcMar>
            <w:shd w:fill="FFFFFF"/>
          </w:tcPr>
          <w:p>
            <w:pPr>
              <w:spacing w:before="0" w:after="0"/>
              <w:jc w:val="right"/>
            </w:pPr>
            <w:r>
              <w:rPr>
                <w:rFonts w:ascii="Calibri" w:hAnsi="Calibri"/>
                <w:b/>
                <w:color w:val="B91C1C"/>
                <w:sz w:val="17"/>
              </w:rPr>
              <w:t>21.93%</w:t>
            </w:r>
          </w:p>
        </w:tc>
      </w:tr>
      <w:tr>
        <w:tc>
          <w:tcPr>
            <w:tcW w:type="dxa" w:w="1296"/>
            <w:vAlign w:val="center"/>
            <w:tcMar>
              <w:top w:w="100" w:type="dxa"/>
              <w:bottom w:w="100" w:type="dxa"/>
              <w:left w:w="120" w:type="dxa"/>
              <w:right w:w="120" w:type="dxa"/>
            </w:tcMar>
            <w:shd w:fill="F8FAFC"/>
          </w:tcPr>
          <w:p>
            <w:pPr>
              <w:spacing w:before="0" w:after="0"/>
              <w:jc w:val="left"/>
            </w:pPr>
            <w:r>
              <w:rPr>
                <w:rFonts w:ascii="Calibri" w:hAnsi="Calibri"/>
                <w:color w:val="1E293B"/>
                <w:sz w:val="17"/>
              </w:rPr>
              <w:t>G</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316</w:t>
            </w:r>
          </w:p>
        </w:tc>
        <w:tc>
          <w:tcPr>
            <w:tcW w:type="dxa" w:w="1872"/>
            <w:vAlign w:val="center"/>
            <w:tcMar>
              <w:top w:w="100" w:type="dxa"/>
              <w:bottom w:w="100" w:type="dxa"/>
              <w:left w:w="120" w:type="dxa"/>
              <w:right w:w="120" w:type="dxa"/>
            </w:tcMar>
            <w:shd w:fill="F8FAFC"/>
          </w:tcPr>
          <w:p>
            <w:pPr>
              <w:spacing w:before="0" w:after="0"/>
              <w:jc w:val="right"/>
            </w:pPr>
            <w:r>
              <w:rPr>
                <w:rFonts w:ascii="Calibri" w:hAnsi="Calibri"/>
                <w:color w:val="1E293B"/>
                <w:sz w:val="17"/>
              </w:rPr>
              <w:t>$6,265,850.00</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8</w:t>
            </w:r>
          </w:p>
        </w:tc>
        <w:tc>
          <w:tcPr>
            <w:tcW w:type="dxa" w:w="1152"/>
            <w:vAlign w:val="center"/>
            <w:tcMar>
              <w:top w:w="100" w:type="dxa"/>
              <w:bottom w:w="100" w:type="dxa"/>
              <w:left w:w="120" w:type="dxa"/>
              <w:right w:w="120" w:type="dxa"/>
            </w:tcMar>
            <w:shd w:fill="F8FAFC"/>
          </w:tcPr>
          <w:p>
            <w:pPr>
              <w:spacing w:before="0" w:after="0"/>
              <w:jc w:val="right"/>
            </w:pPr>
            <w:r>
              <w:rPr>
                <w:rFonts w:ascii="Calibri" w:hAnsi="Calibri"/>
                <w:color w:val="1E293B"/>
                <w:sz w:val="17"/>
              </w:rPr>
              <w:t>2.53%</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color w:val="1E293B"/>
                <w:sz w:val="17"/>
              </w:rPr>
              <w:t>82</w:t>
            </w:r>
          </w:p>
        </w:tc>
        <w:tc>
          <w:tcPr>
            <w:tcW w:type="dxa" w:w="1296"/>
            <w:vAlign w:val="center"/>
            <w:tcMar>
              <w:top w:w="100" w:type="dxa"/>
              <w:bottom w:w="100" w:type="dxa"/>
              <w:left w:w="120" w:type="dxa"/>
              <w:right w:w="120" w:type="dxa"/>
            </w:tcMar>
            <w:shd w:fill="F8FAFC"/>
          </w:tcPr>
          <w:p>
            <w:pPr>
              <w:spacing w:before="0" w:after="0"/>
              <w:jc w:val="right"/>
            </w:pPr>
            <w:r>
              <w:rPr>
                <w:rFonts w:ascii="Calibri" w:hAnsi="Calibri"/>
                <w:b/>
                <w:color w:val="B91C1C"/>
                <w:sz w:val="17"/>
              </w:rPr>
              <w:t>25.95%</w:t>
            </w:r>
          </w:p>
        </w:tc>
      </w:tr>
      <w:tr>
        <w:tc>
          <w:tcPr>
            <w:tcW w:type="dxa" w:w="1296"/>
            <w:vAlign w:val="center"/>
            <w:tcMar>
              <w:top w:w="100" w:type="dxa"/>
              <w:bottom w:w="100" w:type="dxa"/>
              <w:left w:w="120" w:type="dxa"/>
              <w:right w:w="120" w:type="dxa"/>
            </w:tcMar>
            <w:shd w:fill="E2E8F0"/>
          </w:tcPr>
          <w:p>
            <w:pPr>
              <w:spacing w:before="0" w:after="0"/>
              <w:jc w:val="left"/>
            </w:pPr>
            <w:r>
              <w:rPr>
                <w:rFonts w:ascii="Calibri" w:hAnsi="Calibri"/>
                <w:b/>
                <w:color w:val="102C57"/>
                <w:sz w:val="18"/>
              </w:rPr>
              <w:t>Portfolio Total</w:t>
            </w:r>
          </w:p>
        </w:tc>
        <w:tc>
          <w:tcPr>
            <w:tcW w:type="dxa" w:w="1296"/>
            <w:vAlign w:val="center"/>
            <w:tcMar>
              <w:top w:w="100" w:type="dxa"/>
              <w:bottom w:w="100" w:type="dxa"/>
              <w:left w:w="120" w:type="dxa"/>
              <w:right w:w="120" w:type="dxa"/>
            </w:tcMar>
            <w:shd w:fill="E2E8F0"/>
          </w:tcPr>
          <w:p>
            <w:pPr>
              <w:spacing w:before="0" w:after="0"/>
              <w:jc w:val="right"/>
            </w:pPr>
            <w:r>
              <w:rPr>
                <w:rFonts w:ascii="Calibri" w:hAnsi="Calibri"/>
                <w:b/>
                <w:color w:val="102C57"/>
                <w:sz w:val="18"/>
              </w:rPr>
              <w:t>39,717</w:t>
            </w:r>
          </w:p>
        </w:tc>
        <w:tc>
          <w:tcPr>
            <w:tcW w:type="dxa" w:w="1872"/>
            <w:vAlign w:val="center"/>
            <w:tcMar>
              <w:top w:w="100" w:type="dxa"/>
              <w:bottom w:w="100" w:type="dxa"/>
              <w:left w:w="120" w:type="dxa"/>
              <w:right w:w="120" w:type="dxa"/>
            </w:tcMar>
            <w:shd w:fill="E2E8F0"/>
          </w:tcPr>
          <w:p>
            <w:pPr>
              <w:spacing w:before="0" w:after="0"/>
              <w:jc w:val="right"/>
            </w:pPr>
            <w:r>
              <w:rPr>
                <w:rFonts w:ascii="Calibri" w:hAnsi="Calibri"/>
                <w:b/>
                <w:color w:val="102C57"/>
                <w:sz w:val="18"/>
              </w:rPr>
              <w:t>$434,810,325.00</w:t>
            </w:r>
          </w:p>
        </w:tc>
        <w:tc>
          <w:tcPr>
            <w:tcW w:type="dxa" w:w="1152"/>
            <w:vAlign w:val="center"/>
            <w:tcMar>
              <w:top w:w="100" w:type="dxa"/>
              <w:bottom w:w="100" w:type="dxa"/>
              <w:left w:w="120" w:type="dxa"/>
              <w:right w:w="120" w:type="dxa"/>
            </w:tcMar>
            <w:shd w:fill="E2E8F0"/>
          </w:tcPr>
          <w:p>
            <w:pPr>
              <w:spacing w:before="0" w:after="0"/>
              <w:jc w:val="right"/>
            </w:pPr>
            <w:r>
              <w:rPr>
                <w:rFonts w:ascii="Calibri" w:hAnsi="Calibri"/>
                <w:b/>
                <w:color w:val="102C57"/>
                <w:sz w:val="18"/>
              </w:rPr>
              <w:t>1,020</w:t>
            </w:r>
          </w:p>
        </w:tc>
        <w:tc>
          <w:tcPr>
            <w:tcW w:type="dxa" w:w="1152"/>
            <w:vAlign w:val="center"/>
            <w:tcMar>
              <w:top w:w="100" w:type="dxa"/>
              <w:bottom w:w="100" w:type="dxa"/>
              <w:left w:w="120" w:type="dxa"/>
              <w:right w:w="120" w:type="dxa"/>
            </w:tcMar>
            <w:shd w:fill="E2E8F0"/>
          </w:tcPr>
          <w:p>
            <w:pPr>
              <w:spacing w:before="0" w:after="0"/>
              <w:jc w:val="right"/>
            </w:pPr>
            <w:r>
              <w:rPr>
                <w:rFonts w:ascii="Calibri" w:hAnsi="Calibri"/>
                <w:b/>
                <w:color w:val="102C57"/>
                <w:sz w:val="18"/>
              </w:rPr>
              <w:t>2.57% (Avg)</w:t>
            </w:r>
          </w:p>
        </w:tc>
        <w:tc>
          <w:tcPr>
            <w:tcW w:type="dxa" w:w="1296"/>
            <w:vAlign w:val="center"/>
            <w:tcMar>
              <w:top w:w="100" w:type="dxa"/>
              <w:bottom w:w="100" w:type="dxa"/>
              <w:left w:w="120" w:type="dxa"/>
              <w:right w:w="120" w:type="dxa"/>
            </w:tcMar>
            <w:shd w:fill="E2E8F0"/>
          </w:tcPr>
          <w:p>
            <w:pPr>
              <w:spacing w:before="0" w:after="0"/>
              <w:jc w:val="right"/>
            </w:pPr>
            <w:r>
              <w:rPr>
                <w:rFonts w:ascii="Calibri" w:hAnsi="Calibri"/>
                <w:b/>
                <w:color w:val="102C57"/>
                <w:sz w:val="18"/>
              </w:rPr>
              <w:t>4,312</w:t>
            </w:r>
          </w:p>
        </w:tc>
        <w:tc>
          <w:tcPr>
            <w:tcW w:type="dxa" w:w="1296"/>
            <w:vAlign w:val="center"/>
            <w:tcMar>
              <w:top w:w="100" w:type="dxa"/>
              <w:bottom w:w="100" w:type="dxa"/>
              <w:left w:w="120" w:type="dxa"/>
              <w:right w:w="120" w:type="dxa"/>
            </w:tcMar>
            <w:shd w:fill="E2E8F0"/>
          </w:tcPr>
          <w:p>
            <w:pPr>
              <w:spacing w:before="0" w:after="0"/>
              <w:jc w:val="right"/>
            </w:pPr>
            <w:r>
              <w:rPr>
                <w:rFonts w:ascii="Calibri" w:hAnsi="Calibri"/>
                <w:b/>
                <w:color w:val="102C57"/>
                <w:sz w:val="18"/>
              </w:rPr>
              <w:t>10.86% (Avg)</w:t>
            </w:r>
          </w:p>
        </w:tc>
      </w:tr>
    </w:tbl>
    <w:p/>
    <w:p>
      <w:pPr>
        <w:spacing w:before="160" w:after="80"/>
      </w:pPr>
      <w:r>
        <w:rPr>
          <w:rFonts w:ascii="Calibri" w:hAnsi="Calibri"/>
          <w:b/>
          <w:color w:val="1E3E62"/>
          <w:sz w:val="26"/>
        </w:rPr>
        <w:t>3.2 Branch Liquidity Rankings &amp; Inflow/Outflow Surveillance</w:t>
      </w:r>
    </w:p>
    <w:p>
      <w:r>
        <w:t>Branch treasury stability requires strict monitoring of net cash positions (Credit Inflows minus Debit Outflows). Using common table expressions (CTE) and the DENSE_RANK() analytic window function, branches were evaluated and ranked based on solvency margin and AML compliance indicators.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720"/>
            <w:vAlign w:val="center"/>
            <w:tcMar>
              <w:top w:w="100" w:type="dxa"/>
              <w:bottom w:w="100" w:type="dxa"/>
              <w:left w:w="100" w:type="dxa"/>
              <w:right w:w="100" w:type="dxa"/>
            </w:tcMar>
            <w:shd w:fill="102C57"/>
          </w:tcPr>
          <w:p>
            <w:pPr>
              <w:spacing w:before="0" w:after="0"/>
              <w:jc w:val="left"/>
            </w:pPr>
            <w:r>
              <w:rPr>
                <w:rFonts w:ascii="Calibri" w:hAnsi="Calibri"/>
                <w:b/>
                <w:color w:val="FFFFFF"/>
                <w:sz w:val="16"/>
              </w:rPr>
              <w:t>Rank</w:t>
            </w:r>
          </w:p>
        </w:tc>
        <w:tc>
          <w:tcPr>
            <w:tcW w:type="dxa" w:w="1728"/>
            <w:vAlign w:val="center"/>
            <w:tcMar>
              <w:top w:w="100" w:type="dxa"/>
              <w:bottom w:w="100" w:type="dxa"/>
              <w:left w:w="100" w:type="dxa"/>
              <w:right w:w="100" w:type="dxa"/>
            </w:tcMar>
            <w:shd w:fill="102C57"/>
          </w:tcPr>
          <w:p>
            <w:pPr>
              <w:spacing w:before="0" w:after="0"/>
              <w:jc w:val="left"/>
            </w:pPr>
            <w:r>
              <w:rPr>
                <w:rFonts w:ascii="Calibri" w:hAnsi="Calibri"/>
                <w:b/>
                <w:color w:val="FFFFFF"/>
                <w:sz w:val="16"/>
              </w:rPr>
              <w:t>Branch Name</w:t>
            </w:r>
          </w:p>
        </w:tc>
        <w:tc>
          <w:tcPr>
            <w:tcW w:type="dxa" w:w="1008"/>
            <w:vAlign w:val="center"/>
            <w:tcMar>
              <w:top w:w="100" w:type="dxa"/>
              <w:bottom w:w="100" w:type="dxa"/>
              <w:left w:w="100" w:type="dxa"/>
              <w:right w:w="100" w:type="dxa"/>
            </w:tcMar>
            <w:shd w:fill="102C57"/>
          </w:tcPr>
          <w:p>
            <w:pPr>
              <w:spacing w:before="0" w:after="0"/>
              <w:jc w:val="right"/>
            </w:pPr>
            <w:r>
              <w:rPr>
                <w:rFonts w:ascii="Calibri" w:hAnsi="Calibri"/>
                <w:b/>
                <w:color w:val="FFFFFF"/>
                <w:sz w:val="16"/>
              </w:rPr>
              <w:t>Txn Volume</w:t>
            </w:r>
          </w:p>
        </w:tc>
        <w:tc>
          <w:tcPr>
            <w:tcW w:type="dxa" w:w="1584"/>
            <w:vAlign w:val="center"/>
            <w:tcMar>
              <w:top w:w="100" w:type="dxa"/>
              <w:bottom w:w="100" w:type="dxa"/>
              <w:left w:w="100" w:type="dxa"/>
              <w:right w:w="100" w:type="dxa"/>
            </w:tcMar>
            <w:shd w:fill="102C57"/>
          </w:tcPr>
          <w:p>
            <w:pPr>
              <w:spacing w:before="0" w:after="0"/>
              <w:jc w:val="right"/>
            </w:pPr>
            <w:r>
              <w:rPr>
                <w:rFonts w:ascii="Calibri" w:hAnsi="Calibri"/>
                <w:b/>
                <w:color w:val="FFFFFF"/>
                <w:sz w:val="16"/>
              </w:rPr>
              <w:t>Total Credit Inflow ($)</w:t>
            </w:r>
          </w:p>
        </w:tc>
        <w:tc>
          <w:tcPr>
            <w:tcW w:type="dxa" w:w="1584"/>
            <w:vAlign w:val="center"/>
            <w:tcMar>
              <w:top w:w="100" w:type="dxa"/>
              <w:bottom w:w="100" w:type="dxa"/>
              <w:left w:w="100" w:type="dxa"/>
              <w:right w:w="100" w:type="dxa"/>
            </w:tcMar>
            <w:shd w:fill="102C57"/>
          </w:tcPr>
          <w:p>
            <w:pPr>
              <w:spacing w:before="0" w:after="0"/>
              <w:jc w:val="right"/>
            </w:pPr>
            <w:r>
              <w:rPr>
                <w:rFonts w:ascii="Calibri" w:hAnsi="Calibri"/>
                <w:b/>
                <w:color w:val="FFFFFF"/>
                <w:sz w:val="16"/>
              </w:rPr>
              <w:t>Total Debit Outflow ($)</w:t>
            </w:r>
          </w:p>
        </w:tc>
        <w:tc>
          <w:tcPr>
            <w:tcW w:type="dxa" w:w="1440"/>
            <w:vAlign w:val="center"/>
            <w:tcMar>
              <w:top w:w="100" w:type="dxa"/>
              <w:bottom w:w="100" w:type="dxa"/>
              <w:left w:w="100" w:type="dxa"/>
              <w:right w:w="100" w:type="dxa"/>
            </w:tcMar>
            <w:shd w:fill="102C57"/>
          </w:tcPr>
          <w:p>
            <w:pPr>
              <w:spacing w:before="0" w:after="0"/>
              <w:jc w:val="right"/>
            </w:pPr>
            <w:r>
              <w:rPr>
                <w:rFonts w:ascii="Calibri" w:hAnsi="Calibri"/>
                <w:b/>
                <w:color w:val="FFFFFF"/>
                <w:sz w:val="16"/>
              </w:rPr>
              <w:t>Net Cash Flow ($)</w:t>
            </w:r>
          </w:p>
        </w:tc>
        <w:tc>
          <w:tcPr>
            <w:tcW w:type="dxa" w:w="1008"/>
            <w:vAlign w:val="center"/>
            <w:tcMar>
              <w:top w:w="100" w:type="dxa"/>
              <w:bottom w:w="100" w:type="dxa"/>
              <w:left w:w="100" w:type="dxa"/>
              <w:right w:w="100" w:type="dxa"/>
            </w:tcMar>
            <w:shd w:fill="102C57"/>
          </w:tcPr>
          <w:p>
            <w:pPr>
              <w:spacing w:before="0" w:after="0"/>
              <w:jc w:val="right"/>
            </w:pPr>
            <w:r>
              <w:rPr>
                <w:rFonts w:ascii="Calibri" w:hAnsi="Calibri"/>
                <w:b/>
                <w:color w:val="FFFFFF"/>
                <w:sz w:val="16"/>
              </w:rPr>
              <w:t>High-Risk AML</w:t>
            </w:r>
          </w:p>
        </w:tc>
        <w:tc>
          <w:tcPr>
            <w:tcW w:type="dxa" w:w="1008"/>
            <w:vAlign w:val="center"/>
            <w:tcMar>
              <w:top w:w="100" w:type="dxa"/>
              <w:bottom w:w="100" w:type="dxa"/>
              <w:left w:w="100" w:type="dxa"/>
              <w:right w:w="100" w:type="dxa"/>
            </w:tcMar>
            <w:shd w:fill="102C57"/>
          </w:tcPr>
          <w:p>
            <w:pPr>
              <w:spacing w:before="0" w:after="0"/>
              <w:jc w:val="right"/>
            </w:pPr>
            <w:r>
              <w:rPr>
                <w:rFonts w:ascii="Calibri" w:hAnsi="Calibri"/>
                <w:b/>
                <w:color w:val="FFFFFF"/>
                <w:sz w:val="16"/>
              </w:rPr>
              <w:t>Credit/Debit Ratio</w:t>
            </w:r>
          </w:p>
        </w:tc>
      </w:tr>
      <w:tr>
        <w:tc>
          <w:tcPr>
            <w:tcW w:type="dxa" w:w="720"/>
            <w:vAlign w:val="center"/>
            <w:tcMar>
              <w:top w:w="100" w:type="dxa"/>
              <w:bottom w:w="100" w:type="dxa"/>
              <w:left w:w="100" w:type="dxa"/>
              <w:right w:w="100" w:type="dxa"/>
            </w:tcMar>
            <w:shd w:fill="F8FAFC"/>
          </w:tcPr>
          <w:p>
            <w:pPr>
              <w:spacing w:before="0" w:after="0"/>
              <w:jc w:val="left"/>
            </w:pPr>
            <w:r>
              <w:rPr>
                <w:rFonts w:ascii="Calibri" w:hAnsi="Calibri"/>
                <w:color w:val="1E293B"/>
                <w:sz w:val="16"/>
              </w:rPr>
              <w:t>1</w:t>
            </w:r>
          </w:p>
        </w:tc>
        <w:tc>
          <w:tcPr>
            <w:tcW w:type="dxa" w:w="1728"/>
            <w:vAlign w:val="center"/>
            <w:tcMar>
              <w:top w:w="100" w:type="dxa"/>
              <w:bottom w:w="100" w:type="dxa"/>
              <w:left w:w="100" w:type="dxa"/>
              <w:right w:w="100" w:type="dxa"/>
            </w:tcMar>
            <w:shd w:fill="F8FAFC"/>
          </w:tcPr>
          <w:p>
            <w:pPr>
              <w:spacing w:before="0" w:after="0"/>
              <w:jc w:val="left"/>
            </w:pPr>
            <w:r>
              <w:rPr>
                <w:rFonts w:ascii="Calibri" w:hAnsi="Calibri"/>
                <w:color w:val="1E293B"/>
                <w:sz w:val="16"/>
              </w:rPr>
              <w:t>East Branch</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16,727</w:t>
            </w:r>
          </w:p>
        </w:tc>
        <w:tc>
          <w:tcPr>
            <w:tcW w:type="dxa" w:w="1584"/>
            <w:vAlign w:val="center"/>
            <w:tcMar>
              <w:top w:w="100" w:type="dxa"/>
              <w:bottom w:w="100" w:type="dxa"/>
              <w:left w:w="100" w:type="dxa"/>
              <w:right w:w="100" w:type="dxa"/>
            </w:tcMar>
            <w:shd w:fill="F8FAFC"/>
          </w:tcPr>
          <w:p>
            <w:pPr>
              <w:spacing w:before="0" w:after="0"/>
              <w:jc w:val="right"/>
            </w:pPr>
            <w:r>
              <w:rPr>
                <w:rFonts w:ascii="Calibri" w:hAnsi="Calibri"/>
                <w:color w:val="1E293B"/>
                <w:sz w:val="16"/>
              </w:rPr>
              <w:t>$21,526,010.93</w:t>
            </w:r>
          </w:p>
        </w:tc>
        <w:tc>
          <w:tcPr>
            <w:tcW w:type="dxa" w:w="1584"/>
            <w:vAlign w:val="center"/>
            <w:tcMar>
              <w:top w:w="100" w:type="dxa"/>
              <w:bottom w:w="100" w:type="dxa"/>
              <w:left w:w="100" w:type="dxa"/>
              <w:right w:w="100" w:type="dxa"/>
            </w:tcMar>
            <w:shd w:fill="F8FAFC"/>
          </w:tcPr>
          <w:p>
            <w:pPr>
              <w:spacing w:before="0" w:after="0"/>
              <w:jc w:val="right"/>
            </w:pPr>
            <w:r>
              <w:rPr>
                <w:rFonts w:ascii="Calibri" w:hAnsi="Calibri"/>
                <w:color w:val="1E293B"/>
                <w:sz w:val="16"/>
              </w:rPr>
              <w:t>$21,171,100.24</w:t>
            </w:r>
          </w:p>
        </w:tc>
        <w:tc>
          <w:tcPr>
            <w:tcW w:type="dxa" w:w="1440"/>
            <w:vAlign w:val="center"/>
            <w:tcMar>
              <w:top w:w="100" w:type="dxa"/>
              <w:bottom w:w="100" w:type="dxa"/>
              <w:left w:w="100" w:type="dxa"/>
              <w:right w:w="100" w:type="dxa"/>
            </w:tcMar>
            <w:shd w:fill="F8FAFC"/>
          </w:tcPr>
          <w:p>
            <w:pPr>
              <w:spacing w:before="0" w:after="0"/>
              <w:jc w:val="right"/>
            </w:pPr>
            <w:r>
              <w:rPr>
                <w:rFonts w:ascii="Calibri" w:hAnsi="Calibri"/>
                <w:b/>
                <w:color w:val="166534"/>
                <w:sz w:val="16"/>
              </w:rPr>
              <w:t>+$354,910.69</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850</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1.017</w:t>
            </w:r>
          </w:p>
        </w:tc>
      </w:tr>
      <w:tr>
        <w:tc>
          <w:tcPr>
            <w:tcW w:type="dxa" w:w="720"/>
            <w:vAlign w:val="center"/>
            <w:tcMar>
              <w:top w:w="100" w:type="dxa"/>
              <w:bottom w:w="100" w:type="dxa"/>
              <w:left w:w="100" w:type="dxa"/>
              <w:right w:w="100" w:type="dxa"/>
            </w:tcMar>
            <w:shd w:fill="FFFFFF"/>
          </w:tcPr>
          <w:p>
            <w:pPr>
              <w:spacing w:before="0" w:after="0"/>
              <w:jc w:val="left"/>
            </w:pPr>
            <w:r>
              <w:rPr>
                <w:rFonts w:ascii="Calibri" w:hAnsi="Calibri"/>
                <w:color w:val="1E293B"/>
                <w:sz w:val="16"/>
              </w:rPr>
              <w:t>2</w:t>
            </w:r>
          </w:p>
        </w:tc>
        <w:tc>
          <w:tcPr>
            <w:tcW w:type="dxa" w:w="1728"/>
            <w:vAlign w:val="center"/>
            <w:tcMar>
              <w:top w:w="100" w:type="dxa"/>
              <w:bottom w:w="100" w:type="dxa"/>
              <w:left w:w="100" w:type="dxa"/>
              <w:right w:w="100" w:type="dxa"/>
            </w:tcMar>
            <w:shd w:fill="FFFFFF"/>
          </w:tcPr>
          <w:p>
            <w:pPr>
              <w:spacing w:before="0" w:after="0"/>
              <w:jc w:val="left"/>
            </w:pPr>
            <w:r>
              <w:rPr>
                <w:rFonts w:ascii="Calibri" w:hAnsi="Calibri"/>
                <w:color w:val="1E293B"/>
                <w:sz w:val="16"/>
              </w:rPr>
              <w:t>Suburban Branch</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16,645</w:t>
            </w:r>
          </w:p>
        </w:tc>
        <w:tc>
          <w:tcPr>
            <w:tcW w:type="dxa" w:w="1584"/>
            <w:vAlign w:val="center"/>
            <w:tcMar>
              <w:top w:w="100" w:type="dxa"/>
              <w:bottom w:w="100" w:type="dxa"/>
              <w:left w:w="100" w:type="dxa"/>
              <w:right w:w="100" w:type="dxa"/>
            </w:tcMar>
            <w:shd w:fill="FFFFFF"/>
          </w:tcPr>
          <w:p>
            <w:pPr>
              <w:spacing w:before="0" w:after="0"/>
              <w:jc w:val="right"/>
            </w:pPr>
            <w:r>
              <w:rPr>
                <w:rFonts w:ascii="Calibri" w:hAnsi="Calibri"/>
                <w:color w:val="1E293B"/>
                <w:sz w:val="16"/>
              </w:rPr>
              <w:t>$21,178,327.45</w:t>
            </w:r>
          </w:p>
        </w:tc>
        <w:tc>
          <w:tcPr>
            <w:tcW w:type="dxa" w:w="1584"/>
            <w:vAlign w:val="center"/>
            <w:tcMar>
              <w:top w:w="100" w:type="dxa"/>
              <w:bottom w:w="100" w:type="dxa"/>
              <w:left w:w="100" w:type="dxa"/>
              <w:right w:w="100" w:type="dxa"/>
            </w:tcMar>
            <w:shd w:fill="FFFFFF"/>
          </w:tcPr>
          <w:p>
            <w:pPr>
              <w:spacing w:before="0" w:after="0"/>
              <w:jc w:val="right"/>
            </w:pPr>
            <w:r>
              <w:rPr>
                <w:rFonts w:ascii="Calibri" w:hAnsi="Calibri"/>
                <w:color w:val="1E293B"/>
                <w:sz w:val="16"/>
              </w:rPr>
              <w:t>$20,997,948.90</w:t>
            </w:r>
          </w:p>
        </w:tc>
        <w:tc>
          <w:tcPr>
            <w:tcW w:type="dxa" w:w="1440"/>
            <w:vAlign w:val="center"/>
            <w:tcMar>
              <w:top w:w="100" w:type="dxa"/>
              <w:bottom w:w="100" w:type="dxa"/>
              <w:left w:w="100" w:type="dxa"/>
              <w:right w:w="100" w:type="dxa"/>
            </w:tcMar>
            <w:shd w:fill="FFFFFF"/>
          </w:tcPr>
          <w:p>
            <w:pPr>
              <w:spacing w:before="0" w:after="0"/>
              <w:jc w:val="right"/>
            </w:pPr>
            <w:r>
              <w:rPr>
                <w:rFonts w:ascii="Calibri" w:hAnsi="Calibri"/>
                <w:b/>
                <w:color w:val="166534"/>
                <w:sz w:val="16"/>
              </w:rPr>
              <w:t>+$180,378.55</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859</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1.009</w:t>
            </w:r>
          </w:p>
        </w:tc>
      </w:tr>
      <w:tr>
        <w:tc>
          <w:tcPr>
            <w:tcW w:type="dxa" w:w="720"/>
            <w:vAlign w:val="center"/>
            <w:tcMar>
              <w:top w:w="100" w:type="dxa"/>
              <w:bottom w:w="100" w:type="dxa"/>
              <w:left w:w="100" w:type="dxa"/>
              <w:right w:w="100" w:type="dxa"/>
            </w:tcMar>
            <w:shd w:fill="F8FAFC"/>
          </w:tcPr>
          <w:p>
            <w:pPr>
              <w:spacing w:before="0" w:after="0"/>
              <w:jc w:val="left"/>
            </w:pPr>
            <w:r>
              <w:rPr>
                <w:rFonts w:ascii="Calibri" w:hAnsi="Calibri"/>
                <w:color w:val="1E293B"/>
                <w:sz w:val="16"/>
              </w:rPr>
              <w:t>3</w:t>
            </w:r>
          </w:p>
        </w:tc>
        <w:tc>
          <w:tcPr>
            <w:tcW w:type="dxa" w:w="1728"/>
            <w:vAlign w:val="center"/>
            <w:tcMar>
              <w:top w:w="100" w:type="dxa"/>
              <w:bottom w:w="100" w:type="dxa"/>
              <w:left w:w="100" w:type="dxa"/>
              <w:right w:w="100" w:type="dxa"/>
            </w:tcMar>
            <w:shd w:fill="F8FAFC"/>
          </w:tcPr>
          <w:p>
            <w:pPr>
              <w:spacing w:before="0" w:after="0"/>
              <w:jc w:val="left"/>
            </w:pPr>
            <w:r>
              <w:rPr>
                <w:rFonts w:ascii="Calibri" w:hAnsi="Calibri"/>
                <w:color w:val="1E293B"/>
                <w:sz w:val="16"/>
              </w:rPr>
              <w:t>North Branch</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16,500</w:t>
            </w:r>
          </w:p>
        </w:tc>
        <w:tc>
          <w:tcPr>
            <w:tcW w:type="dxa" w:w="1584"/>
            <w:vAlign w:val="center"/>
            <w:tcMar>
              <w:top w:w="100" w:type="dxa"/>
              <w:bottom w:w="100" w:type="dxa"/>
              <w:left w:w="100" w:type="dxa"/>
              <w:right w:w="100" w:type="dxa"/>
            </w:tcMar>
            <w:shd w:fill="F8FAFC"/>
          </w:tcPr>
          <w:p>
            <w:pPr>
              <w:spacing w:before="0" w:after="0"/>
              <w:jc w:val="right"/>
            </w:pPr>
            <w:r>
              <w:rPr>
                <w:rFonts w:ascii="Calibri" w:hAnsi="Calibri"/>
                <w:color w:val="1E293B"/>
                <w:sz w:val="16"/>
              </w:rPr>
              <w:t>$20,920,840.21</w:t>
            </w:r>
          </w:p>
        </w:tc>
        <w:tc>
          <w:tcPr>
            <w:tcW w:type="dxa" w:w="1584"/>
            <w:vAlign w:val="center"/>
            <w:tcMar>
              <w:top w:w="100" w:type="dxa"/>
              <w:bottom w:w="100" w:type="dxa"/>
              <w:left w:w="100" w:type="dxa"/>
              <w:right w:w="100" w:type="dxa"/>
            </w:tcMar>
            <w:shd w:fill="F8FAFC"/>
          </w:tcPr>
          <w:p>
            <w:pPr>
              <w:spacing w:before="0" w:after="0"/>
              <w:jc w:val="right"/>
            </w:pPr>
            <w:r>
              <w:rPr>
                <w:rFonts w:ascii="Calibri" w:hAnsi="Calibri"/>
                <w:color w:val="1E293B"/>
                <w:sz w:val="16"/>
              </w:rPr>
              <w:t>$20,756,291.51</w:t>
            </w:r>
          </w:p>
        </w:tc>
        <w:tc>
          <w:tcPr>
            <w:tcW w:type="dxa" w:w="1440"/>
            <w:vAlign w:val="center"/>
            <w:tcMar>
              <w:top w:w="100" w:type="dxa"/>
              <w:bottom w:w="100" w:type="dxa"/>
              <w:left w:w="100" w:type="dxa"/>
              <w:right w:w="100" w:type="dxa"/>
            </w:tcMar>
            <w:shd w:fill="F8FAFC"/>
          </w:tcPr>
          <w:p>
            <w:pPr>
              <w:spacing w:before="0" w:after="0"/>
              <w:jc w:val="right"/>
            </w:pPr>
            <w:r>
              <w:rPr>
                <w:rFonts w:ascii="Calibri" w:hAnsi="Calibri"/>
                <w:b/>
                <w:color w:val="166534"/>
                <w:sz w:val="16"/>
              </w:rPr>
              <w:t>+$164,548.70</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854</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1.008</w:t>
            </w:r>
          </w:p>
        </w:tc>
      </w:tr>
      <w:tr>
        <w:tc>
          <w:tcPr>
            <w:tcW w:type="dxa" w:w="720"/>
            <w:vAlign w:val="center"/>
            <w:tcMar>
              <w:top w:w="100" w:type="dxa"/>
              <w:bottom w:w="100" w:type="dxa"/>
              <w:left w:w="100" w:type="dxa"/>
              <w:right w:w="100" w:type="dxa"/>
            </w:tcMar>
            <w:shd w:fill="FFFFFF"/>
          </w:tcPr>
          <w:p>
            <w:pPr>
              <w:spacing w:before="0" w:after="0"/>
              <w:jc w:val="left"/>
            </w:pPr>
            <w:r>
              <w:rPr>
                <w:rFonts w:ascii="Calibri" w:hAnsi="Calibri"/>
                <w:color w:val="1E293B"/>
                <w:sz w:val="16"/>
              </w:rPr>
              <w:t>4</w:t>
            </w:r>
          </w:p>
        </w:tc>
        <w:tc>
          <w:tcPr>
            <w:tcW w:type="dxa" w:w="1728"/>
            <w:vAlign w:val="center"/>
            <w:tcMar>
              <w:top w:w="100" w:type="dxa"/>
              <w:bottom w:w="100" w:type="dxa"/>
              <w:left w:w="100" w:type="dxa"/>
              <w:right w:w="100" w:type="dxa"/>
            </w:tcMar>
            <w:shd w:fill="FFFFFF"/>
          </w:tcPr>
          <w:p>
            <w:pPr>
              <w:spacing w:before="0" w:after="0"/>
              <w:jc w:val="left"/>
            </w:pPr>
            <w:r>
              <w:rPr>
                <w:rFonts w:ascii="Calibri" w:hAnsi="Calibri"/>
                <w:color w:val="1E293B"/>
                <w:sz w:val="16"/>
              </w:rPr>
              <w:t>Downtown Branch</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16,627</w:t>
            </w:r>
          </w:p>
        </w:tc>
        <w:tc>
          <w:tcPr>
            <w:tcW w:type="dxa" w:w="1584"/>
            <w:vAlign w:val="center"/>
            <w:tcMar>
              <w:top w:w="100" w:type="dxa"/>
              <w:bottom w:w="100" w:type="dxa"/>
              <w:left w:w="100" w:type="dxa"/>
              <w:right w:w="100" w:type="dxa"/>
            </w:tcMar>
            <w:shd w:fill="FFFFFF"/>
          </w:tcPr>
          <w:p>
            <w:pPr>
              <w:spacing w:before="0" w:after="0"/>
              <w:jc w:val="right"/>
            </w:pPr>
            <w:r>
              <w:rPr>
                <w:rFonts w:ascii="Calibri" w:hAnsi="Calibri"/>
                <w:color w:val="1E293B"/>
                <w:sz w:val="16"/>
              </w:rPr>
              <w:t>$21,263,152.26</w:t>
            </w:r>
          </w:p>
        </w:tc>
        <w:tc>
          <w:tcPr>
            <w:tcW w:type="dxa" w:w="1584"/>
            <w:vAlign w:val="center"/>
            <w:tcMar>
              <w:top w:w="100" w:type="dxa"/>
              <w:bottom w:w="100" w:type="dxa"/>
              <w:left w:w="100" w:type="dxa"/>
              <w:right w:w="100" w:type="dxa"/>
            </w:tcMar>
            <w:shd w:fill="FFFFFF"/>
          </w:tcPr>
          <w:p>
            <w:pPr>
              <w:spacing w:before="0" w:after="0"/>
              <w:jc w:val="right"/>
            </w:pPr>
            <w:r>
              <w:rPr>
                <w:rFonts w:ascii="Calibri" w:hAnsi="Calibri"/>
                <w:color w:val="1E293B"/>
                <w:sz w:val="16"/>
              </w:rPr>
              <w:t>$21,324,063.93</w:t>
            </w:r>
          </w:p>
        </w:tc>
        <w:tc>
          <w:tcPr>
            <w:tcW w:type="dxa" w:w="1440"/>
            <w:vAlign w:val="center"/>
            <w:tcMar>
              <w:top w:w="100" w:type="dxa"/>
              <w:bottom w:w="100" w:type="dxa"/>
              <w:left w:w="100" w:type="dxa"/>
              <w:right w:w="100" w:type="dxa"/>
            </w:tcMar>
            <w:shd w:fill="FFFFFF"/>
          </w:tcPr>
          <w:p>
            <w:pPr>
              <w:spacing w:before="0" w:after="0"/>
              <w:jc w:val="right"/>
            </w:pPr>
            <w:r>
              <w:rPr>
                <w:rFonts w:ascii="Calibri" w:hAnsi="Calibri"/>
                <w:b/>
                <w:color w:val="B91C1C"/>
                <w:sz w:val="16"/>
              </w:rPr>
              <w:t>-$60,911.67</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901</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0.997</w:t>
            </w:r>
          </w:p>
        </w:tc>
      </w:tr>
      <w:tr>
        <w:tc>
          <w:tcPr>
            <w:tcW w:type="dxa" w:w="720"/>
            <w:vAlign w:val="center"/>
            <w:tcMar>
              <w:top w:w="100" w:type="dxa"/>
              <w:bottom w:w="100" w:type="dxa"/>
              <w:left w:w="100" w:type="dxa"/>
              <w:right w:w="100" w:type="dxa"/>
            </w:tcMar>
            <w:shd w:fill="F8FAFC"/>
          </w:tcPr>
          <w:p>
            <w:pPr>
              <w:spacing w:before="0" w:after="0"/>
              <w:jc w:val="left"/>
            </w:pPr>
            <w:r>
              <w:rPr>
                <w:rFonts w:ascii="Calibri" w:hAnsi="Calibri"/>
                <w:color w:val="1E293B"/>
                <w:sz w:val="16"/>
              </w:rPr>
              <w:t>5</w:t>
            </w:r>
          </w:p>
        </w:tc>
        <w:tc>
          <w:tcPr>
            <w:tcW w:type="dxa" w:w="1728"/>
            <w:vAlign w:val="center"/>
            <w:tcMar>
              <w:top w:w="100" w:type="dxa"/>
              <w:bottom w:w="100" w:type="dxa"/>
              <w:left w:w="100" w:type="dxa"/>
              <w:right w:w="100" w:type="dxa"/>
            </w:tcMar>
            <w:shd w:fill="F8FAFC"/>
          </w:tcPr>
          <w:p>
            <w:pPr>
              <w:spacing w:before="0" w:after="0"/>
              <w:jc w:val="left"/>
            </w:pPr>
            <w:r>
              <w:rPr>
                <w:rFonts w:ascii="Calibri" w:hAnsi="Calibri"/>
                <w:color w:val="1E293B"/>
                <w:sz w:val="16"/>
              </w:rPr>
              <w:t>City Center Branch</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16,719</w:t>
            </w:r>
          </w:p>
        </w:tc>
        <w:tc>
          <w:tcPr>
            <w:tcW w:type="dxa" w:w="1584"/>
            <w:vAlign w:val="center"/>
            <w:tcMar>
              <w:top w:w="100" w:type="dxa"/>
              <w:bottom w:w="100" w:type="dxa"/>
              <w:left w:w="100" w:type="dxa"/>
              <w:right w:w="100" w:type="dxa"/>
            </w:tcMar>
            <w:shd w:fill="F8FAFC"/>
          </w:tcPr>
          <w:p>
            <w:pPr>
              <w:spacing w:before="0" w:after="0"/>
              <w:jc w:val="right"/>
            </w:pPr>
            <w:r>
              <w:rPr>
                <w:rFonts w:ascii="Calibri" w:hAnsi="Calibri"/>
                <w:color w:val="1E293B"/>
                <w:sz w:val="16"/>
              </w:rPr>
              <w:t>$21,418,348.49</w:t>
            </w:r>
          </w:p>
        </w:tc>
        <w:tc>
          <w:tcPr>
            <w:tcW w:type="dxa" w:w="1584"/>
            <w:vAlign w:val="center"/>
            <w:tcMar>
              <w:top w:w="100" w:type="dxa"/>
              <w:bottom w:w="100" w:type="dxa"/>
              <w:left w:w="100" w:type="dxa"/>
              <w:right w:w="100" w:type="dxa"/>
            </w:tcMar>
            <w:shd w:fill="F8FAFC"/>
          </w:tcPr>
          <w:p>
            <w:pPr>
              <w:spacing w:before="0" w:after="0"/>
              <w:jc w:val="right"/>
            </w:pPr>
            <w:r>
              <w:rPr>
                <w:rFonts w:ascii="Calibri" w:hAnsi="Calibri"/>
                <w:color w:val="1E293B"/>
                <w:sz w:val="16"/>
              </w:rPr>
              <w:t>$21,493,121.30</w:t>
            </w:r>
          </w:p>
        </w:tc>
        <w:tc>
          <w:tcPr>
            <w:tcW w:type="dxa" w:w="1440"/>
            <w:vAlign w:val="center"/>
            <w:tcMar>
              <w:top w:w="100" w:type="dxa"/>
              <w:bottom w:w="100" w:type="dxa"/>
              <w:left w:w="100" w:type="dxa"/>
              <w:right w:w="100" w:type="dxa"/>
            </w:tcMar>
            <w:shd w:fill="F8FAFC"/>
          </w:tcPr>
          <w:p>
            <w:pPr>
              <w:spacing w:before="0" w:after="0"/>
              <w:jc w:val="right"/>
            </w:pPr>
            <w:r>
              <w:rPr>
                <w:rFonts w:ascii="Calibri" w:hAnsi="Calibri"/>
                <w:b/>
                <w:color w:val="B91C1C"/>
                <w:sz w:val="16"/>
              </w:rPr>
              <w:t>-$74,772.81</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886</w:t>
            </w:r>
          </w:p>
        </w:tc>
        <w:tc>
          <w:tcPr>
            <w:tcW w:type="dxa" w:w="1008"/>
            <w:vAlign w:val="center"/>
            <w:tcMar>
              <w:top w:w="100" w:type="dxa"/>
              <w:bottom w:w="100" w:type="dxa"/>
              <w:left w:w="100" w:type="dxa"/>
              <w:right w:w="100" w:type="dxa"/>
            </w:tcMar>
            <w:shd w:fill="F8FAFC"/>
          </w:tcPr>
          <w:p>
            <w:pPr>
              <w:spacing w:before="0" w:after="0"/>
              <w:jc w:val="right"/>
            </w:pPr>
            <w:r>
              <w:rPr>
                <w:rFonts w:ascii="Calibri" w:hAnsi="Calibri"/>
                <w:color w:val="1E293B"/>
                <w:sz w:val="16"/>
              </w:rPr>
              <w:t>0.997</w:t>
            </w:r>
          </w:p>
        </w:tc>
      </w:tr>
      <w:tr>
        <w:tc>
          <w:tcPr>
            <w:tcW w:type="dxa" w:w="720"/>
            <w:vAlign w:val="center"/>
            <w:tcMar>
              <w:top w:w="100" w:type="dxa"/>
              <w:bottom w:w="100" w:type="dxa"/>
              <w:left w:w="100" w:type="dxa"/>
              <w:right w:w="100" w:type="dxa"/>
            </w:tcMar>
            <w:shd w:fill="FFFFFF"/>
          </w:tcPr>
          <w:p>
            <w:pPr>
              <w:spacing w:before="0" w:after="0"/>
              <w:jc w:val="left"/>
            </w:pPr>
            <w:r>
              <w:rPr>
                <w:rFonts w:ascii="Calibri" w:hAnsi="Calibri"/>
                <w:color w:val="1E293B"/>
                <w:sz w:val="16"/>
              </w:rPr>
              <w:t>6</w:t>
            </w:r>
          </w:p>
        </w:tc>
        <w:tc>
          <w:tcPr>
            <w:tcW w:type="dxa" w:w="1728"/>
            <w:vAlign w:val="center"/>
            <w:tcMar>
              <w:top w:w="100" w:type="dxa"/>
              <w:bottom w:w="100" w:type="dxa"/>
              <w:left w:w="100" w:type="dxa"/>
              <w:right w:w="100" w:type="dxa"/>
            </w:tcMar>
            <w:shd w:fill="FFFFFF"/>
          </w:tcPr>
          <w:p>
            <w:pPr>
              <w:spacing w:before="0" w:after="0"/>
              <w:jc w:val="left"/>
            </w:pPr>
            <w:r>
              <w:rPr>
                <w:rFonts w:ascii="Calibri" w:hAnsi="Calibri"/>
                <w:color w:val="1E293B"/>
                <w:sz w:val="16"/>
              </w:rPr>
              <w:t>Main Branch</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16,782</w:t>
            </w:r>
          </w:p>
        </w:tc>
        <w:tc>
          <w:tcPr>
            <w:tcW w:type="dxa" w:w="1584"/>
            <w:vAlign w:val="center"/>
            <w:tcMar>
              <w:top w:w="100" w:type="dxa"/>
              <w:bottom w:w="100" w:type="dxa"/>
              <w:left w:w="100" w:type="dxa"/>
              <w:right w:w="100" w:type="dxa"/>
            </w:tcMar>
            <w:shd w:fill="FFFFFF"/>
          </w:tcPr>
          <w:p>
            <w:pPr>
              <w:spacing w:before="0" w:after="0"/>
              <w:jc w:val="right"/>
            </w:pPr>
            <w:r>
              <w:rPr>
                <w:rFonts w:ascii="Calibri" w:hAnsi="Calibri"/>
                <w:color w:val="1E293B"/>
                <w:sz w:val="16"/>
              </w:rPr>
              <w:t>$21,296,707.07</w:t>
            </w:r>
          </w:p>
        </w:tc>
        <w:tc>
          <w:tcPr>
            <w:tcW w:type="dxa" w:w="1584"/>
            <w:vAlign w:val="center"/>
            <w:tcMar>
              <w:top w:w="100" w:type="dxa"/>
              <w:bottom w:w="100" w:type="dxa"/>
              <w:left w:w="100" w:type="dxa"/>
              <w:right w:w="100" w:type="dxa"/>
            </w:tcMar>
            <w:shd w:fill="FFFFFF"/>
          </w:tcPr>
          <w:p>
            <w:pPr>
              <w:spacing w:before="0" w:after="0"/>
              <w:jc w:val="right"/>
            </w:pPr>
            <w:r>
              <w:rPr>
                <w:rFonts w:ascii="Calibri" w:hAnsi="Calibri"/>
                <w:color w:val="1E293B"/>
                <w:sz w:val="16"/>
              </w:rPr>
              <w:t>$21,542,743.34</w:t>
            </w:r>
          </w:p>
        </w:tc>
        <w:tc>
          <w:tcPr>
            <w:tcW w:type="dxa" w:w="1440"/>
            <w:vAlign w:val="center"/>
            <w:tcMar>
              <w:top w:w="100" w:type="dxa"/>
              <w:bottom w:w="100" w:type="dxa"/>
              <w:left w:w="100" w:type="dxa"/>
              <w:right w:w="100" w:type="dxa"/>
            </w:tcMar>
            <w:shd w:fill="FFFFFF"/>
          </w:tcPr>
          <w:p>
            <w:pPr>
              <w:spacing w:before="0" w:after="0"/>
              <w:jc w:val="right"/>
            </w:pPr>
            <w:r>
              <w:rPr>
                <w:rFonts w:ascii="Calibri" w:hAnsi="Calibri"/>
                <w:b/>
                <w:color w:val="B91C1C"/>
                <w:sz w:val="16"/>
              </w:rPr>
              <w:t>-$246,036.27</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902</w:t>
            </w:r>
          </w:p>
        </w:tc>
        <w:tc>
          <w:tcPr>
            <w:tcW w:type="dxa" w:w="1008"/>
            <w:vAlign w:val="center"/>
            <w:tcMar>
              <w:top w:w="100" w:type="dxa"/>
              <w:bottom w:w="100" w:type="dxa"/>
              <w:left w:w="100" w:type="dxa"/>
              <w:right w:w="100" w:type="dxa"/>
            </w:tcMar>
            <w:shd w:fill="FFFFFF"/>
          </w:tcPr>
          <w:p>
            <w:pPr>
              <w:spacing w:before="0" w:after="0"/>
              <w:jc w:val="right"/>
            </w:pPr>
            <w:r>
              <w:rPr>
                <w:rFonts w:ascii="Calibri" w:hAnsi="Calibri"/>
                <w:color w:val="1E293B"/>
                <w:sz w:val="16"/>
              </w:rPr>
              <w:t>0.989</w:t>
            </w:r>
          </w:p>
        </w:tc>
      </w:tr>
      <w:tr>
        <w:tc>
          <w:tcPr>
            <w:tcW w:type="dxa" w:w="720"/>
            <w:vAlign w:val="center"/>
            <w:tcMar>
              <w:top w:w="100" w:type="dxa"/>
              <w:bottom w:w="100" w:type="dxa"/>
              <w:left w:w="100" w:type="dxa"/>
              <w:right w:w="100" w:type="dxa"/>
            </w:tcMar>
            <w:shd w:fill="E2E8F0"/>
          </w:tcPr>
          <w:p>
            <w:pPr>
              <w:spacing w:before="0" w:after="0"/>
              <w:jc w:val="left"/>
            </w:pPr>
            <w:r>
              <w:rPr>
                <w:rFonts w:ascii="Calibri" w:hAnsi="Calibri"/>
                <w:b/>
                <w:color w:val="102C57"/>
                <w:sz w:val="17"/>
              </w:rPr>
              <w:t>Total</w:t>
            </w:r>
          </w:p>
        </w:tc>
        <w:tc>
          <w:tcPr>
            <w:tcW w:type="dxa" w:w="1728"/>
            <w:vAlign w:val="center"/>
            <w:tcMar>
              <w:top w:w="100" w:type="dxa"/>
              <w:bottom w:w="100" w:type="dxa"/>
              <w:left w:w="100" w:type="dxa"/>
              <w:right w:w="100" w:type="dxa"/>
            </w:tcMar>
            <w:shd w:fill="E2E8F0"/>
          </w:tcPr>
          <w:p>
            <w:pPr>
              <w:spacing w:before="0" w:after="0"/>
              <w:jc w:val="left"/>
            </w:pPr>
            <w:r>
              <w:rPr>
                <w:rFonts w:ascii="Calibri" w:hAnsi="Calibri"/>
                <w:b/>
                <w:color w:val="102C57"/>
                <w:sz w:val="17"/>
              </w:rPr>
              <w:t>System-Wide</w:t>
            </w:r>
          </w:p>
        </w:tc>
        <w:tc>
          <w:tcPr>
            <w:tcW w:type="dxa" w:w="1008"/>
            <w:vAlign w:val="center"/>
            <w:tcMar>
              <w:top w:w="100" w:type="dxa"/>
              <w:bottom w:w="100" w:type="dxa"/>
              <w:left w:w="100" w:type="dxa"/>
              <w:right w:w="100" w:type="dxa"/>
            </w:tcMar>
            <w:shd w:fill="E2E8F0"/>
          </w:tcPr>
          <w:p>
            <w:pPr>
              <w:spacing w:before="0" w:after="0"/>
              <w:jc w:val="right"/>
            </w:pPr>
            <w:r>
              <w:rPr>
                <w:rFonts w:ascii="Calibri" w:hAnsi="Calibri"/>
                <w:b/>
                <w:color w:val="102C57"/>
                <w:sz w:val="17"/>
              </w:rPr>
              <w:t>100,000</w:t>
            </w:r>
          </w:p>
        </w:tc>
        <w:tc>
          <w:tcPr>
            <w:tcW w:type="dxa" w:w="1584"/>
            <w:vAlign w:val="center"/>
            <w:tcMar>
              <w:top w:w="100" w:type="dxa"/>
              <w:bottom w:w="100" w:type="dxa"/>
              <w:left w:w="100" w:type="dxa"/>
              <w:right w:w="100" w:type="dxa"/>
            </w:tcMar>
            <w:shd w:fill="E2E8F0"/>
          </w:tcPr>
          <w:p>
            <w:pPr>
              <w:spacing w:before="0" w:after="0"/>
              <w:jc w:val="right"/>
            </w:pPr>
            <w:r>
              <w:rPr>
                <w:rFonts w:ascii="Calibri" w:hAnsi="Calibri"/>
                <w:b/>
                <w:color w:val="102C57"/>
                <w:sz w:val="17"/>
              </w:rPr>
              <w:t>$127,603,386.41</w:t>
            </w:r>
          </w:p>
        </w:tc>
        <w:tc>
          <w:tcPr>
            <w:tcW w:type="dxa" w:w="1584"/>
            <w:vAlign w:val="center"/>
            <w:tcMar>
              <w:top w:w="100" w:type="dxa"/>
              <w:bottom w:w="100" w:type="dxa"/>
              <w:left w:w="100" w:type="dxa"/>
              <w:right w:w="100" w:type="dxa"/>
            </w:tcMar>
            <w:shd w:fill="E2E8F0"/>
          </w:tcPr>
          <w:p>
            <w:pPr>
              <w:spacing w:before="0" w:after="0"/>
              <w:jc w:val="right"/>
            </w:pPr>
            <w:r>
              <w:rPr>
                <w:rFonts w:ascii="Calibri" w:hAnsi="Calibri"/>
                <w:b/>
                <w:color w:val="102C57"/>
                <w:sz w:val="17"/>
              </w:rPr>
              <w:t>$127,285,269.22</w:t>
            </w:r>
          </w:p>
        </w:tc>
        <w:tc>
          <w:tcPr>
            <w:tcW w:type="dxa" w:w="1440"/>
            <w:vAlign w:val="center"/>
            <w:tcMar>
              <w:top w:w="100" w:type="dxa"/>
              <w:bottom w:w="100" w:type="dxa"/>
              <w:left w:w="100" w:type="dxa"/>
              <w:right w:w="100" w:type="dxa"/>
            </w:tcMar>
            <w:shd w:fill="E2E8F0"/>
          </w:tcPr>
          <w:p>
            <w:pPr>
              <w:spacing w:before="0" w:after="0"/>
              <w:jc w:val="right"/>
            </w:pPr>
            <w:r>
              <w:rPr>
                <w:rFonts w:ascii="Calibri" w:hAnsi="Calibri"/>
                <w:b/>
                <w:color w:val="102C57"/>
                <w:sz w:val="17"/>
              </w:rPr>
              <w:t>+$318,117.19</w:t>
            </w:r>
          </w:p>
        </w:tc>
        <w:tc>
          <w:tcPr>
            <w:tcW w:type="dxa" w:w="1008"/>
            <w:vAlign w:val="center"/>
            <w:tcMar>
              <w:top w:w="100" w:type="dxa"/>
              <w:bottom w:w="100" w:type="dxa"/>
              <w:left w:w="100" w:type="dxa"/>
              <w:right w:w="100" w:type="dxa"/>
            </w:tcMar>
            <w:shd w:fill="E2E8F0"/>
          </w:tcPr>
          <w:p>
            <w:pPr>
              <w:spacing w:before="0" w:after="0"/>
              <w:jc w:val="right"/>
            </w:pPr>
            <w:r>
              <w:rPr>
                <w:rFonts w:ascii="Calibri" w:hAnsi="Calibri"/>
                <w:b/>
                <w:color w:val="102C57"/>
                <w:sz w:val="17"/>
              </w:rPr>
              <w:t>5,252</w:t>
            </w:r>
          </w:p>
        </w:tc>
        <w:tc>
          <w:tcPr>
            <w:tcW w:type="dxa" w:w="1008"/>
            <w:vAlign w:val="center"/>
            <w:tcMar>
              <w:top w:w="100" w:type="dxa"/>
              <w:bottom w:w="100" w:type="dxa"/>
              <w:left w:w="100" w:type="dxa"/>
              <w:right w:w="100" w:type="dxa"/>
            </w:tcMar>
            <w:shd w:fill="E2E8F0"/>
          </w:tcPr>
          <w:p>
            <w:pPr>
              <w:spacing w:before="0" w:after="0"/>
              <w:jc w:val="right"/>
            </w:pPr>
            <w:r>
              <w:rPr>
                <w:rFonts w:ascii="Calibri" w:hAnsi="Calibri"/>
                <w:b/>
                <w:color w:val="102C57"/>
                <w:sz w:val="17"/>
              </w:rPr>
              <w:t>1.002 (Avg)</w:t>
            </w:r>
          </w:p>
        </w:tc>
      </w:tr>
    </w:tbl>
    <w:p/>
    <w:p>
      <w:pPr>
        <w:spacing w:before="320" w:after="120"/>
      </w:pPr>
      <w:r>
        <w:rPr>
          <w:rFonts w:ascii="Calibri" w:hAnsi="Calibri"/>
          <w:b/>
          <w:color w:val="102C57"/>
          <w:sz w:val="32"/>
        </w:rPr>
        <w:t>4. Tableau Business Intelligence Architecture</w:t>
      </w:r>
    </w:p>
    <w:p>
      <w:r>
        <w:t>To deliver executive visibility, the data layer was interfaced with Tableau Desktop / Tableau Public (packaged in 'Bank Decision Management - Credit Risk Dashboard.twb'). The workbook is architected around four interconnected visual analytical layers designed for risk officers, treasury controllers, and branch managers:</w:t>
      </w:r>
    </w:p>
    <w:p>
      <w:pPr>
        <w:pStyle w:val="ListBullet"/>
      </w:pPr>
      <w:r>
        <w:rPr>
          <w:b/>
        </w:rPr>
        <w:t xml:space="preserve">Dual-Axis Synchronized Risk Marks: </w:t>
      </w:r>
      <w:r>
        <w:t>Combines discrete volume metrics (Total Funded Capital Bar Charts) with continuous secondary axes displaying Delinquency Rate (%) and Default Rate (%) trends. Axes are strictly synchronized to prevent visual distortion, immediately highlighting that while Grade B commands maximum capital ($130.5M), severe credit risk concentrates in Grades D–G.</w:t>
      </w:r>
    </w:p>
    <w:p>
      <w:pPr>
        <w:pStyle w:val="ListBullet"/>
      </w:pPr>
      <w:r>
        <w:rPr>
          <w:b/>
        </w:rPr>
        <w:t xml:space="preserve">Geographic Choropleth Underwriting Maps: </w:t>
      </w:r>
      <w:r>
        <w:t>Leverages US State geographic hierarchies (State_Name, State_Abbr) filled with continuous color gradients representing delinquency intensity. Enables regional controllers to detect macro-economic contagion effects across Midwest, Coastal, and Sunbelt lending books.</w:t>
      </w:r>
    </w:p>
    <w:p>
      <w:pPr>
        <w:pStyle w:val="ListBullet"/>
      </w:pPr>
      <w:r>
        <w:rPr>
          <w:b/>
        </w:rPr>
        <w:t xml:space="preserve">Purpose &amp; Debt Burden Heat Matrices: </w:t>
      </w:r>
      <w:r>
        <w:t>A high-density cross-tabulation mapping Loan Purpose (Debt Consolidation, Credit Card, Home Improvement, Small Business) against Borrower Sub-Grades and Verification Status. Uncovers that debt consolidation in unverified subprime tiers exhibits the highest probability of 60-day delinquency.</w:t>
      </w:r>
    </w:p>
    <w:p>
      <w:pPr>
        <w:pStyle w:val="ListBullet"/>
      </w:pPr>
      <w:r>
        <w:rPr>
          <w:b/>
        </w:rPr>
        <w:t xml:space="preserve">Dynamic Executive Controls &amp; Cross-Filtering: </w:t>
      </w:r>
      <w:r>
        <w:t>Engineered with global parameter controls allowing real-time temporal slicing by Disbursement Year, interactive Grade selection, and branch-specific surveillance toggles that instantaneously cascade across liquidity and credit views.</w:t>
      </w:r>
    </w:p>
    <w:p/>
    <w:p>
      <w:pPr>
        <w:spacing w:before="320" w:after="120"/>
      </w:pPr>
      <w:r>
        <w:rPr>
          <w:rFonts w:ascii="Calibri" w:hAnsi="Calibri"/>
          <w:b/>
          <w:color w:val="102C57"/>
          <w:sz w:val="32"/>
        </w:rPr>
        <w:t>5. Strategic Recommendations &amp; Actionable Directives</w:t>
      </w:r>
    </w:p>
    <w:p>
      <w:r>
        <w:t>Based on verified relational findings and operational risk analysis, the Senior Data Engineering &amp; Decision Management leadership outlines three core strategic initiatives for institutional adoption:</w:t>
      </w:r>
    </w:p>
    <w:p>
      <w:pPr>
        <w:spacing w:before="120" w:after="40"/>
      </w:pPr>
      <w:r>
        <w:rPr>
          <w:rFonts w:ascii="Calibri" w:hAnsi="Calibri"/>
          <w:b/>
          <w:color w:val="1E3E62"/>
          <w:sz w:val="24"/>
        </w:rPr>
        <w:t>1. Credit Grade Re-benchmarking &amp; Underwriting Overhaul</w:t>
      </w:r>
    </w:p>
    <w:p>
      <w:pPr>
        <w:spacing w:before="0" w:after="120"/>
      </w:pPr>
      <w:r>
        <w:t>Delinquency spikes from 3.92% (Grade A) to 25.95% (Grade G), proving that existing underwriting standards in Grades D, E, F, and G fail to properly price-in tail risk. We recommend: (i) Restricting 60-month loan terms for all borrowers in Grades E–G; (ii) Mandating third-party employment and income verification for all Grade C and D applications over $15,000; and (iii) Raising the risk-adjusted interest premium by 175–250 basis points on Grade D–F originations to create a protective loss reserve buffer.</w:t>
      </w:r>
    </w:p>
    <w:p>
      <w:pPr>
        <w:spacing w:before="120" w:after="40"/>
      </w:pPr>
      <w:r>
        <w:rPr>
          <w:rFonts w:ascii="Calibri" w:hAnsi="Calibri"/>
          <w:b/>
          <w:color w:val="1E3E62"/>
          <w:sz w:val="24"/>
        </w:rPr>
        <w:t>2. Automated Branch Treasury Cash Sweeps &amp; Liquidity Pooling</w:t>
      </w:r>
    </w:p>
    <w:p>
      <w:pPr>
        <w:spacing w:before="0" w:after="120"/>
      </w:pPr>
      <w:r>
        <w:t>The acute liquidity bifurcation between East Branch (+$354.9k net surplus) and Main Branch (-$246.0k net deficit) incurs substantial overnight interbank financing expenses. We recommend implementing automated End-of-Day (EoD) Zero-Balance Account (ZBA) sweeps. By pooling daily excess liquidity ($699,837.94 combined surplus across East, Suburban, and North) to cover deficit branches (-$381,720.75 combined deficit across Main, City Center, and Downtown), the bank achieves intra-entity self-funding, optimizes Basel III Liquidity Coverage Ratios (LCR), and eliminates external overnight borrowing fees.</w:t>
      </w:r>
    </w:p>
    <w:p>
      <w:pPr>
        <w:spacing w:before="120" w:after="40"/>
      </w:pPr>
      <w:r>
        <w:rPr>
          <w:rFonts w:ascii="Calibri" w:hAnsi="Calibri"/>
          <w:b/>
          <w:color w:val="1E3E62"/>
          <w:sz w:val="24"/>
        </w:rPr>
        <w:t>3. Real-Time AML Alert Surveillance Engine (&gt; $4,500 Debit Cutoff)</w:t>
      </w:r>
    </w:p>
    <w:p>
      <w:pPr>
        <w:spacing w:before="0" w:after="120"/>
      </w:pPr>
      <w:r>
        <w:t>Our data engineering heuristic successfully flagged 5,252 high-risk outbound debit transfers exceeding $4,500. Notably, Main Branch (902 flags) and Downtown Branch (901 flags) account for over 34% of all high-risk events. We recommend: (i) Deploying automated real-time event streaming (Apache Kafka / CDC) directly on banking_transactions to trigger mandatory compliance holds whenever cumulative 48-hour debits exceed $9,000; and (ii) Dispatching an AML Internal Audit taskforce to inspect teller and wire operations at Main and Downtown branches.</w:t>
      </w:r>
    </w:p>
    <w:p/>
    <w:tbl>
      <w:tblPr>
        <w:tblW w:type="auto" w:w="0"/>
        <w:jc w:val="center"/>
        <w:tblLayout w:type="fixed"/>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Borders>
              <w:top w:val="none"/>
              <w:left w:val="single" w:sz="24" w:space="0" w:color="102C57"/>
              <w:bottom w:val="none"/>
              <w:right w:val="none"/>
            </w:tcBorders>
          </w:tcPr>
          <w:p>
            <w:pPr>
              <w:spacing w:before="0" w:after="80"/>
            </w:pPr>
            <w:r>
              <w:rPr>
                <w:rFonts w:ascii="Calibri" w:hAnsi="Calibri"/>
                <w:b/>
                <w:color w:val="102C57"/>
                <w:sz w:val="21"/>
              </w:rPr>
              <w:t>EXECUTIVE DIRECTIVE: GOVERNANCE SIGN-OFF &amp; VERIFICATION</w:t>
              <w:br/>
            </w:r>
            <w:r>
              <w:rPr>
                <w:rFonts w:ascii="Calibri" w:hAnsi="Calibri"/>
                <w:color w:val="1E293B"/>
                <w:sz w:val="19"/>
              </w:rPr>
              <w:t>Document Prepared By: Senior Data Engineer &amp; Platform Tech Lead</w:t>
              <w:br/>
              <w:t>Data Verification Status: Complete &amp; Verified (165,535 records matched across Python, MySQL 8.0, and Tableau Public)</w:t>
              <w:br/>
              <w:t>Distribution: Executive Risk Committee, Head of Retail Banking, Chief Compliance Officer (CCO)</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Citi Banking &amp; Credit Risk Analytics Platform  |  Confidential  |  Page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