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 w:after="240" w:before="0"/>
      </w:pPr>
      <w:r>
        <w:rPr>
          <w:rFonts w:ascii="Cambria Math" w:hAnsi="Cambria Math" w:cs="Cambria Math" w:eastAsia="Cambria Math"/>
          <w:b/>
          <w:i w:val="0"/>
          <w:color w:val="000000"/>
          <w:sz w:val="28"/>
        </w:rPr>
        <w:t>Author Contact List</w:t>
      </w:r>
    </w:p>
    <w:p/>
    <w:p>
      <w:pPr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(Order of precedence as on title page)</w:t>
      </w:r>
    </w:p>
    <w:p/>
    <w:p>
      <w:pPr>
        <w:spacing w:lineRule="auto" w:line="360" w:after="160" w:before="0"/>
      </w:pPr>
      <w:r>
        <w:rPr>
          <w:rFonts w:ascii="Cambria Math" w:hAnsi="Cambria Math" w:cs="Cambria Math" w:eastAsia="Cambria Math"/>
          <w:b/>
          <w:i w:val="0"/>
          <w:color w:val="000000"/>
          <w:sz w:val="24"/>
        </w:rPr>
        <w:t>1. Sanjay Basu, MD, PhD (corresponding author)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Affiliation: Department of Medicine, University of California, San Francisco, San Francisco, CA; Waymark, San Francisco, CA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Email: sanjay.basu@ucsf.edu</w:t>
      </w:r>
    </w:p>
    <w:p/>
    <w:p>
      <w:pPr>
        <w:spacing w:lineRule="auto" w:line="360" w:after="160" w:before="0"/>
      </w:pPr>
      <w:r>
        <w:rPr>
          <w:rFonts w:ascii="Cambria Math" w:hAnsi="Cambria Math" w:cs="Cambria Math" w:eastAsia="Cambria Math"/>
          <w:b/>
          <w:i w:val="0"/>
          <w:color w:val="000000"/>
          <w:sz w:val="24"/>
        </w:rPr>
        <w:t>2. [Peter Shin, PhD, MPH — pending invitation/acceptance]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Affiliation: Geiger Gibson Program in Community Health, Milken Institute School of Public Health, The George Washington University, Washington, DC</w:t>
      </w:r>
    </w:p>
    <w:p>
      <w:pPr>
        <w:pStyle w:val="ListBullet"/>
        <w:spacing w:lineRule="auto" w:line="360" w:after="120" w:before="0"/>
      </w:pPr>
      <w:r>
        <w:rPr>
          <w:rFonts w:ascii="Cambria Math" w:hAnsi="Cambria Math" w:cs="Cambria Math" w:eastAsia="Cambria Math"/>
          <w:b w:val="0"/>
          <w:i w:val="0"/>
          <w:color w:val="000000"/>
          <w:sz w:val="22"/>
        </w:rPr>
        <w:t>Email: pshin@gwu.edu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 w:after="120"/>
    </w:pPr>
    <w:rPr>
      <w:rFonts w:ascii="Cambria Math" w:hAnsi="Cambria Math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