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240" w:before="0"/>
      </w:pPr>
      <w:r>
        <w:rPr>
          <w:rFonts w:ascii="Cambria Math" w:hAnsi="Cambria Math" w:cs="Cambria Math" w:eastAsia="Cambria Math"/>
          <w:b/>
          <w:i w:val="0"/>
          <w:color w:val="000000"/>
          <w:sz w:val="28"/>
        </w:rPr>
        <w:t>Title Page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Category: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Brief Communication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Title: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Community Health Centers as Rural Safety-Net Absorbers: A Center-Level Event Study of Rural Hospital Closures, 2014–2024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Authors: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Sanjay Basu, MD, PhD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  <w:vertAlign w:val="superscript"/>
        </w:rPr>
        <w:t>1,2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[Peter Shin, PhD, MPH — proposed senior author]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  <w:vertAlign w:val="superscript"/>
        </w:rPr>
        <w:t>3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Affiliations: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  <w:vertAlign w:val="superscript"/>
        </w:rPr>
        <w:t>1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Department of Medicine, University of California, San Francisco, San Francisco, CA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  <w:vertAlign w:val="superscript"/>
        </w:rPr>
        <w:t>2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Waymark, San Francisco, CA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  <w:vertAlign w:val="superscript"/>
        </w:rPr>
        <w:t>3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Geiger Gibson Program in Community Health, Milken Institute School of Public Health, The George Washington University, Washington, DC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Running head: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CHCs and rural hospital closures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Correspondence: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Sanjay Basu, MD, PhD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Email: sanjay.basu@ucsf.edu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Addresses for publication: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Sanjay Basu: UCSF Department of Medicine / Waymark, San Francisco, CA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Number of tables: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2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Number of figures: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2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Number of boxes: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0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Number of references:</w:t>
      </w: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 xml:space="preserve"> 14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Abbreviations used in the article: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ACA — Affordable Care Act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ATT — Average treatment effect on the treated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BHCMIS — Bureau of Primary Health Care Management Information System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BMI — Body mass index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CAH — Critical access hospital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CHC — Community health center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CHIP — Children's Health Insurance Program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CI — Confidence interval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DiD — Difference-in-differences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FQHC — Federally qualified health center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HRSA — Health Resources and Services Administration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HTN — Hypertension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LAL — Look-alike (Health Center Program look-alike)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NHSC — National Health Service Corps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pp — Percentage points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PPS — Prospective Payment System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RUCA — Rural-Urban Commuting Area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THC — Teaching Health Center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TWFE — Two-way fixed effects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UDS — Uniform Data System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ZIP — Zone Improvement Plan (postal code)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/>
          <w:i w:val="0"/>
          <w:color w:val="000000"/>
          <w:sz w:val="22"/>
        </w:rPr>
        <w:t>AI use disclosure (per JHCPU policy):</w:t>
      </w:r>
    </w:p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The author used Claude (Anthropic) as a coding assistant to help write data-ingest, statistical-analysis, and figure-generation scripts (Python). All study design decisions, statistical model selection, manuscript text, and final code review were performed by the author. No AI-generated text was used verbatim in the manuscript; AI assistance was limited to code drafting and discussion/refinement of analytic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Cambria Math" w:hAnsi="Cambria Math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