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Brief Communication</w:t>
      </w:r>
    </w:p>
    <w:p>
      <w:pPr>
        <w:pStyle w:val="BodyText"/>
      </w:pPr>
      <w:r>
        <w:rPr>
          <w:b/>
          <w:bCs/>
        </w:rPr>
        <w:t xml:space="preserve">Title:</w:t>
      </w:r>
      <w:r>
        <w:t xml:space="preserve"> </w:t>
      </w:r>
      <w:r>
        <w:t xml:space="preserve">Community Health Centers as Rural Safety-Net Absorbers: A Center-Level Event Study of Rural Hospital Closures, 2014–2024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Sanjay Basu, MD, PhD</w:t>
      </w:r>
      <w:r>
        <w:t xml:space="preserve">1,2</w:t>
      </w:r>
      <w:r>
        <w:t xml:space="preserve"> </w:t>
      </w:r>
      <w:r>
        <w:t xml:space="preserve">[Peter Shin, PhD, MPH — proposed senior author]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Affiliations:</w:t>
      </w:r>
      <w:r>
        <w:t xml:space="preserve"> </w:t>
      </w:r>
      <w:r>
        <w:t xml:space="preserve">1</w:t>
      </w:r>
      <w:r>
        <w:t xml:space="preserve"> </w:t>
      </w:r>
      <w:r>
        <w:t xml:space="preserve">Waymark, San Francisco, CA</w:t>
      </w:r>
      <w:r>
        <w:t xml:space="preserve"> </w:t>
      </w:r>
      <w:r>
        <w:t xml:space="preserve">2</w:t>
      </w:r>
      <w:r>
        <w:t xml:space="preserve"> </w:t>
      </w:r>
      <w:r>
        <w:t xml:space="preserve">Department of Epidemiology and Biostatistics, University of California, San Francisco, San Francisco, CA</w:t>
      </w:r>
      <w:r>
        <w:t xml:space="preserve"> </w:t>
      </w:r>
      <w:r>
        <w:t xml:space="preserve">3</w:t>
      </w:r>
      <w:r>
        <w:t xml:space="preserve"> </w:t>
      </w:r>
      <w:r>
        <w:t xml:space="preserve">Geiger Gibson Program in Community Health, Milken Institute School of Public Health, The George Washington University, Washington, DC</w:t>
      </w:r>
    </w:p>
    <w:p>
      <w:pPr>
        <w:pStyle w:val="BodyText"/>
      </w:pPr>
      <w:r>
        <w:rPr>
          <w:b/>
          <w:bCs/>
        </w:rPr>
        <w:t xml:space="preserve">Running head:</w:t>
      </w:r>
      <w:r>
        <w:t xml:space="preserve"> </w:t>
      </w:r>
      <w:r>
        <w:t xml:space="preserve">CHCs and rural hospital closures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Sanjay Basu, MD, PhD</w:t>
      </w:r>
      <w:r>
        <w:t xml:space="preserve"> </w:t>
      </w:r>
      <w:r>
        <w:t xml:space="preserve">Email: sanjay.basu@ucsf.edu</w:t>
      </w:r>
    </w:p>
    <w:p>
      <w:pPr>
        <w:pStyle w:val="BodyText"/>
      </w:pPr>
      <w:r>
        <w:rPr>
          <w:b/>
          <w:bCs/>
        </w:rPr>
        <w:t xml:space="preserve">Addresses for publication:</w:t>
      </w:r>
      <w:r>
        <w:t xml:space="preserve"> </w:t>
      </w:r>
      <w:r>
        <w:t xml:space="preserve">- Sanjay Basu: Waymark / UCSF Department of Epidemiology and Biostatistics, San Francisco, CA</w:t>
      </w:r>
    </w:p>
    <w:p>
      <w:pPr>
        <w:pStyle w:val="BodyText"/>
      </w:pPr>
      <w:r>
        <w:rPr>
          <w:b/>
          <w:bCs/>
        </w:rPr>
        <w:t xml:space="preserve">Number of tables: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Number of figures: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Number of boxes: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Number of references:</w:t>
      </w:r>
      <w:r>
        <w:t xml:space="preserve"> </w:t>
      </w:r>
      <w:r>
        <w:t xml:space="preserve">14</w:t>
      </w:r>
    </w:p>
    <w:p>
      <w:pPr>
        <w:pStyle w:val="BodyText"/>
      </w:pPr>
      <w:r>
        <w:rPr>
          <w:b/>
          <w:bCs/>
        </w:rPr>
        <w:t xml:space="preserve">Abbreviations used in the article:</w:t>
      </w:r>
      <w:r>
        <w:t xml:space="preserve"> </w:t>
      </w:r>
      <w:r>
        <w:t xml:space="preserve">- ACA — Affordable Care Act</w:t>
      </w:r>
      <w:r>
        <w:t xml:space="preserve"> </w:t>
      </w:r>
      <w:r>
        <w:t xml:space="preserve">- ATT — Average treatment effect on the treated</w:t>
      </w:r>
      <w:r>
        <w:t xml:space="preserve"> </w:t>
      </w:r>
      <w:r>
        <w:t xml:space="preserve">- BHCMIS — Bureau of Primary Health Care Management Information System</w:t>
      </w:r>
      <w:r>
        <w:t xml:space="preserve"> </w:t>
      </w:r>
      <w:r>
        <w:t xml:space="preserve">- BMI — Body mass index</w:t>
      </w:r>
      <w:r>
        <w:t xml:space="preserve"> </w:t>
      </w:r>
      <w:r>
        <w:t xml:space="preserve">- CAH — Critical access hospital</w:t>
      </w:r>
      <w:r>
        <w:t xml:space="preserve"> </w:t>
      </w:r>
      <w:r>
        <w:t xml:space="preserve">- CHC — Community health center</w:t>
      </w:r>
      <w:r>
        <w:t xml:space="preserve"> </w:t>
      </w:r>
      <w:r>
        <w:t xml:space="preserve">- CHIP — Children’s Health Insurance Program</w:t>
      </w:r>
      <w:r>
        <w:t xml:space="preserve"> </w:t>
      </w:r>
      <w:r>
        <w:t xml:space="preserve">- CI — Confidence interval</w:t>
      </w:r>
      <w:r>
        <w:t xml:space="preserve"> </w:t>
      </w:r>
      <w:r>
        <w:t xml:space="preserve">- DiD — Difference-in-differences</w:t>
      </w:r>
      <w:r>
        <w:t xml:space="preserve"> </w:t>
      </w:r>
      <w:r>
        <w:t xml:space="preserve">- FQHC — Federally qualified health center</w:t>
      </w:r>
      <w:r>
        <w:t xml:space="preserve"> </w:t>
      </w:r>
      <w:r>
        <w:t xml:space="preserve">- HRSA — Health Resources and Services Administration</w:t>
      </w:r>
      <w:r>
        <w:t xml:space="preserve"> </w:t>
      </w:r>
      <w:r>
        <w:t xml:space="preserve">- HTN — Hypertension</w:t>
      </w:r>
      <w:r>
        <w:t xml:space="preserve"> </w:t>
      </w:r>
      <w:r>
        <w:t xml:space="preserve">- LAL — Look-alike (Health Center Program look-alike)</w:t>
      </w:r>
      <w:r>
        <w:t xml:space="preserve"> </w:t>
      </w:r>
      <w:r>
        <w:t xml:space="preserve">- NHSC — National Health Service Corps</w:t>
      </w:r>
      <w:r>
        <w:t xml:space="preserve"> </w:t>
      </w:r>
      <w:r>
        <w:t xml:space="preserve">- pp — Percentage points</w:t>
      </w:r>
      <w:r>
        <w:t xml:space="preserve"> </w:t>
      </w:r>
      <w:r>
        <w:t xml:space="preserve">- PPS — Prospective Payment System</w:t>
      </w:r>
      <w:r>
        <w:t xml:space="preserve"> </w:t>
      </w:r>
      <w:r>
        <w:t xml:space="preserve">- RUCA — Rural-Urban Commuting Area</w:t>
      </w:r>
      <w:r>
        <w:t xml:space="preserve"> </w:t>
      </w:r>
      <w:r>
        <w:t xml:space="preserve">- THC — Teaching Health Center</w:t>
      </w:r>
      <w:r>
        <w:t xml:space="preserve"> </w:t>
      </w:r>
      <w:r>
        <w:t xml:space="preserve">- TWFE — Two-way fixed effects</w:t>
      </w:r>
      <w:r>
        <w:t xml:space="preserve"> </w:t>
      </w:r>
      <w:r>
        <w:t xml:space="preserve">- UDS — Uniform Data System</w:t>
      </w:r>
      <w:r>
        <w:t xml:space="preserve"> </w:t>
      </w:r>
      <w:r>
        <w:t xml:space="preserve">- ZIP — Zone Improvement Plan (postal code)</w:t>
      </w:r>
    </w:p>
    <w:p>
      <w:pPr>
        <w:pStyle w:val="BodyText"/>
      </w:pPr>
      <w:r>
        <w:rPr>
          <w:b/>
          <w:bCs/>
        </w:rPr>
        <w:t xml:space="preserve">AI use disclosure (per JHCPU policy):</w:t>
      </w:r>
      <w:r>
        <w:t xml:space="preserve"> </w:t>
      </w:r>
      <w:r>
        <w:t xml:space="preserve">The author used Claude (Anthropic) as a coding assistant to help write data-ingest, statistical-analysis, and figure-generation scripts (Python). All study design decisions, statistical model selection, manuscript text, and final code review were performed by the author. No AI-generated text was used verbatim in the manuscript; AI assistance was limited to code drafting and discussion/refinement of analytic strategy.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2026-04-29T13:34:27Z</dcterms:created>
  <dcterms:modified xsi:type="dcterms:W3CDTF">2026-04-29T13:34:27Z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