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360" w:after="120" w:before="0"/>
      </w:pPr>
      <w:r>
        <w:rPr>
          <w:rFonts w:ascii="Cambria Math" w:hAnsi="Cambria Math" w:cs="Cambria Math" w:eastAsia="Cambria Math"/>
          <w:b w:val="0"/>
          <w:i w:val="0"/>
          <w:color w:val="000000"/>
          <w:sz w:val="22"/>
        </w:rPr>
        <w:t>Dear Dr. Brennan and Editorial Team,</w:t>
      </w:r>
    </w:p>
    <w:p/>
    <w:p>
      <w:pPr>
        <w:spacing w:lineRule="auto" w:line="360" w:after="120" w:before="0"/>
      </w:pPr>
      <w:r>
        <w:rPr>
          <w:rFonts w:ascii="Cambria Math" w:hAnsi="Cambria Math" w:cs="Cambria Math" w:eastAsia="Cambria Math"/>
          <w:b w:val="0"/>
          <w:i w:val="0"/>
          <w:color w:val="000000"/>
          <w:sz w:val="22"/>
        </w:rPr>
        <w:t xml:space="preserve">We are pleased to submit the attached manuscript, "Community Health Centers as Rural Safety-Net Absorbers: A Center-Level Event Study of Rural Hospital Closures, 2014–2024," for consideration as a </w:t>
      </w:r>
      <w:r>
        <w:rPr>
          <w:rFonts w:ascii="Cambria Math" w:hAnsi="Cambria Math" w:cs="Cambria Math" w:eastAsia="Cambria Math"/>
          <w:b/>
          <w:i w:val="0"/>
          <w:color w:val="000000"/>
          <w:sz w:val="22"/>
        </w:rPr>
        <w:t>Brief Communication</w:t>
      </w:r>
      <w:r>
        <w:rPr>
          <w:rFonts w:ascii="Cambria Math" w:hAnsi="Cambria Math" w:cs="Cambria Math" w:eastAsia="Cambria Math"/>
          <w:b w:val="0"/>
          <w:i w:val="0"/>
          <w:color w:val="000000"/>
          <w:sz w:val="22"/>
        </w:rPr>
        <w:t xml:space="preserve"> in the JHCPU Special Supplement on Policy Impact and Innovations in Community Health Centers, sponsored by the National Association of Community Health Centers (NACHC).</w:t>
      </w:r>
    </w:p>
    <w:p/>
    <w:p>
      <w:pPr>
        <w:spacing w:lineRule="auto" w:line="360" w:after="120" w:before="0"/>
      </w:pPr>
      <w:r>
        <w:rPr>
          <w:rFonts w:ascii="Cambria Math" w:hAnsi="Cambria Math" w:cs="Cambria Math" w:eastAsia="Cambria Math"/>
          <w:b w:val="0"/>
          <w:i w:val="0"/>
          <w:color w:val="000000"/>
          <w:sz w:val="22"/>
        </w:rPr>
        <w:t>The manuscript provides the first center-level operational event-study evidence on how rural community health centers responded to local hospital closures from 2014 through 2024. Using a panel of 1,642 health centers linked to the UNC Sheps Center rural hospital closure registry, and the heterogeneity-robust Callaway–Sant'Anna staggered difference-in-differences estimator, we find that exposed centers absorbed approximately 14% more patients without measurable payer-mix erosion or broad clinical-quality decline, and with modest improvement in hypertension control. A pediatric-immunization signal points to service-line strain that warrants targeted federal investment.</w:t>
      </w:r>
    </w:p>
    <w:p/>
    <w:p>
      <w:pPr>
        <w:spacing w:lineRule="auto" w:line="360" w:after="120" w:before="0"/>
      </w:pPr>
      <w:r>
        <w:rPr>
          <w:rFonts w:ascii="Cambria Math" w:hAnsi="Cambria Math" w:cs="Cambria Math" w:eastAsia="Cambria Math"/>
          <w:b w:val="0"/>
          <w:i w:val="0"/>
          <w:color w:val="000000"/>
          <w:sz w:val="22"/>
        </w:rPr>
        <w:t>The work directly addresses the supplement's call for evidence on rural access and impacts of hospital closures, the financial and clinical effects of federal/state/local policy on CHCs, and the operational consequences of the Health Center Program's "policy quilt." It complements existing Geiger Gibson program work on CHC financing and the Medicaid unwinding by characterizing operational behavior under closure exposure.</w:t>
      </w:r>
    </w:p>
    <w:p/>
    <w:p>
      <w:pPr>
        <w:spacing w:lineRule="auto" w:line="360" w:after="120" w:before="0"/>
      </w:pPr>
      <w:r>
        <w:rPr>
          <w:rFonts w:ascii="Cambria Math" w:hAnsi="Cambria Math" w:cs="Cambria Math" w:eastAsia="Cambria Math"/>
          <w:b w:val="0"/>
          <w:i w:val="0"/>
          <w:color w:val="000000"/>
          <w:sz w:val="22"/>
        </w:rPr>
        <w:t>We confirm that:</w:t>
      </w:r>
    </w:p>
    <w:p>
      <w:pPr>
        <w:pStyle w:val="ListBullet"/>
        <w:spacing w:lineRule="auto" w:line="360" w:after="120" w:before="0"/>
      </w:pPr>
      <w:r>
        <w:rPr>
          <w:rFonts w:ascii="Cambria Math" w:hAnsi="Cambria Math" w:cs="Cambria Math" w:eastAsia="Cambria Math"/>
          <w:b w:val="0"/>
          <w:i w:val="0"/>
          <w:color w:val="000000"/>
          <w:sz w:val="22"/>
        </w:rPr>
        <w:t>The research was conducted using publicly available secondary data (HRSA Uniform Data System Electronic Reading Room files; UNC Sheps Center Rural Hospital Closures registry); no human subjects were involved and no IRB review was required.</w:t>
      </w:r>
    </w:p>
    <w:p>
      <w:pPr>
        <w:pStyle w:val="ListBullet"/>
        <w:spacing w:lineRule="auto" w:line="360" w:after="120" w:before="0"/>
      </w:pPr>
      <w:r>
        <w:rPr>
          <w:rFonts w:ascii="Cambria Math" w:hAnsi="Cambria Math" w:cs="Cambria Math" w:eastAsia="Cambria Math"/>
          <w:b w:val="0"/>
          <w:i w:val="0"/>
          <w:color w:val="000000"/>
          <w:sz w:val="22"/>
        </w:rPr>
        <w:t>The manuscript is not presently under consideration at another publication, will not be while under consideration with JHCPU, and has not appeared elsewhere in print or online.</w:t>
      </w:r>
    </w:p>
    <w:p>
      <w:pPr>
        <w:pStyle w:val="ListBullet"/>
        <w:spacing w:lineRule="auto" w:line="360" w:after="120" w:before="0"/>
      </w:pPr>
      <w:r>
        <w:rPr>
          <w:rFonts w:ascii="Cambria Math" w:hAnsi="Cambria Math" w:cs="Cambria Math" w:eastAsia="Cambria Math"/>
          <w:b w:val="0"/>
          <w:i w:val="0"/>
          <w:color w:val="000000"/>
          <w:sz w:val="22"/>
        </w:rPr>
        <w:t>All co-authors have contributed substantially to the paper and have approved the version being submitted.</w:t>
      </w:r>
    </w:p>
    <w:p/>
    <w:p>
      <w:pPr>
        <w:spacing w:lineRule="auto" w:line="360" w:after="120" w:before="0"/>
      </w:pPr>
      <w:r>
        <w:rPr>
          <w:rFonts w:ascii="Cambria Math" w:hAnsi="Cambria Math" w:cs="Cambria Math" w:eastAsia="Cambria Math"/>
          <w:b/>
          <w:i w:val="0"/>
          <w:color w:val="000000"/>
          <w:sz w:val="22"/>
        </w:rPr>
        <w:t>AI use:</w:t>
      </w:r>
      <w:r>
        <w:rPr>
          <w:rFonts w:ascii="Cambria Math" w:hAnsi="Cambria Math" w:cs="Cambria Math" w:eastAsia="Cambria Math"/>
          <w:b w:val="0"/>
          <w:i w:val="0"/>
          <w:color w:val="000000"/>
          <w:sz w:val="22"/>
        </w:rPr>
        <w:t xml:space="preserve"> Per JHCPU policy, we disclose that the corresponding author used Claude (Anthropic) as a coding assistant to help write data-ingest, statistical-analysis, and figure-generation Python scripts. All study design decisions, statistical model selection, manuscript text, and final code review were performed by the human authors. No AI-generated text was used verbatim in the manuscript; AI assistance was limited to code drafting and analytic-strategy discussion. Grammarly was not used.</w:t>
      </w:r>
    </w:p>
    <w:p/>
    <w:p>
      <w:pPr>
        <w:spacing w:lineRule="auto" w:line="360" w:after="120" w:before="0"/>
      </w:pPr>
      <w:r>
        <w:rPr>
          <w:rFonts w:ascii="Cambria Math" w:hAnsi="Cambria Math" w:cs="Cambria Math" w:eastAsia="Cambria Math"/>
          <w:b w:val="0"/>
          <w:i w:val="0"/>
          <w:color w:val="000000"/>
          <w:sz w:val="22"/>
        </w:rPr>
        <w:t>Thank you for considering our submission.</w:t>
      </w:r>
    </w:p>
    <w:p/>
    <w:p>
      <w:pPr>
        <w:spacing w:lineRule="auto" w:line="360" w:after="120" w:before="0"/>
      </w:pPr>
      <w:r>
        <w:rPr>
          <w:rFonts w:ascii="Cambria Math" w:hAnsi="Cambria Math" w:cs="Cambria Math" w:eastAsia="Cambria Math"/>
          <w:b w:val="0"/>
          <w:i w:val="0"/>
          <w:color w:val="000000"/>
          <w:sz w:val="22"/>
        </w:rPr>
        <w:t>Sincerely,</w:t>
      </w:r>
    </w:p>
    <w:p/>
    <w:p>
      <w:pPr>
        <w:spacing w:lineRule="auto" w:line="360" w:after="120" w:before="0"/>
      </w:pPr>
      <w:r>
        <w:rPr>
          <w:rFonts w:ascii="Cambria Math" w:hAnsi="Cambria Math" w:cs="Cambria Math" w:eastAsia="Cambria Math"/>
          <w:b w:val="0"/>
          <w:i w:val="0"/>
          <w:color w:val="000000"/>
          <w:sz w:val="22"/>
        </w:rPr>
        <w:t>Sanjay Basu, MD, PhD</w:t>
      </w:r>
    </w:p>
    <w:p>
      <w:pPr>
        <w:spacing w:lineRule="auto" w:line="360" w:after="120" w:before="0"/>
      </w:pPr>
      <w:r>
        <w:rPr>
          <w:rFonts w:ascii="Cambria Math" w:hAnsi="Cambria Math" w:cs="Cambria Math" w:eastAsia="Cambria Math"/>
          <w:b w:val="0"/>
          <w:i w:val="0"/>
          <w:color w:val="000000"/>
          <w:sz w:val="22"/>
        </w:rPr>
        <w:t>UCSF Department of Medicine / Waymark</w:t>
      </w:r>
    </w:p>
    <w:p>
      <w:pPr>
        <w:spacing w:lineRule="auto" w:line="360" w:after="120" w:before="0"/>
      </w:pPr>
      <w:r>
        <w:rPr>
          <w:rFonts w:ascii="Cambria Math" w:hAnsi="Cambria Math" w:cs="Cambria Math" w:eastAsia="Cambria Math"/>
          <w:b w:val="0"/>
          <w:i w:val="0"/>
          <w:color w:val="000000"/>
          <w:sz w:val="22"/>
        </w:rPr>
        <w:t>sanjay.basu@ucsf.edu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after="120"/>
    </w:pPr>
    <w:rPr>
      <w:rFonts w:ascii="Cambria Math" w:hAnsi="Cambria Math"/>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