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240" w:before="0"/>
      </w:pPr>
      <w:r>
        <w:rPr>
          <w:rFonts w:ascii="Cambria Math" w:hAnsi="Cambria Math" w:cs="Cambria Math" w:eastAsia="Cambria Math"/>
          <w:b/>
          <w:i w:val="0"/>
          <w:color w:val="000000"/>
          <w:sz w:val="28"/>
        </w:rPr>
        <w:t>Rural Hospital Closures and Community Health Center Capacity: A Center-Level Event Study of Patient Volume, Payer Mix, and Quality, 2014–2024</w:t>
      </w:r>
    </w:p>
    <w:p>
      <w:pPr>
        <w:spacing w:lineRule="auto" w:line="360" w:after="120" w:before="0"/>
      </w:pPr>
      <w:r>
        <w:rPr>
          <w:rFonts w:ascii="Cambria Math" w:hAnsi="Cambria Math" w:cs="Cambria Math" w:eastAsia="Cambria Math"/>
          <w:b/>
          <w:i w:val="0"/>
          <w:color w:val="000000"/>
          <w:sz w:val="22"/>
        </w:rPr>
        <w:t>Article type:</w:t>
      </w:r>
      <w:r>
        <w:rPr>
          <w:rFonts w:ascii="Cambria Math" w:hAnsi="Cambria Math" w:cs="Cambria Math" w:eastAsia="Cambria Math"/>
          <w:b w:val="0"/>
          <w:i w:val="0"/>
          <w:color w:val="000000"/>
          <w:sz w:val="22"/>
        </w:rPr>
        <w:t xml:space="preserve"> Brief Communication</w:t>
      </w:r>
    </w:p>
    <w:p>
      <w:pPr>
        <w:spacing w:lineRule="auto" w:line="360" w:after="120" w:before="0"/>
      </w:pPr>
      <w:r>
        <w:rPr>
          <w:rFonts w:ascii="Cambria Math" w:hAnsi="Cambria Math" w:cs="Cambria Math" w:eastAsia="Cambria Math"/>
          <w:b/>
          <w:i w:val="0"/>
          <w:color w:val="000000"/>
          <w:sz w:val="22"/>
        </w:rPr>
        <w:t>Running head:</w:t>
      </w:r>
      <w:r>
        <w:rPr>
          <w:rFonts w:ascii="Cambria Math" w:hAnsi="Cambria Math" w:cs="Cambria Math" w:eastAsia="Cambria Math"/>
          <w:b w:val="0"/>
          <w:i w:val="0"/>
          <w:color w:val="000000"/>
          <w:sz w:val="22"/>
        </w:rPr>
        <w:t xml:space="preserve"> CHCs and rural hospital closures</w:t>
      </w:r>
    </w:p>
    <w:p>
      <w:pPr>
        <w:spacing w:lineRule="auto" w:line="360" w:after="120" w:before="0"/>
      </w:pPr>
      <w:r>
        <w:rPr>
          <w:rFonts w:ascii="Cambria Math" w:hAnsi="Cambria Math" w:cs="Cambria Math" w:eastAsia="Cambria Math"/>
          <w:b/>
          <w:i w:val="0"/>
          <w:color w:val="000000"/>
          <w:sz w:val="22"/>
        </w:rPr>
        <w:t>Author:</w:t>
      </w:r>
      <w:r>
        <w:rPr>
          <w:rFonts w:ascii="Cambria Math" w:hAnsi="Cambria Math" w:cs="Cambria Math" w:eastAsia="Cambria Math"/>
          <w:b w:val="0"/>
          <w:i w:val="0"/>
          <w:color w:val="000000"/>
          <w:sz w:val="22"/>
        </w:rPr>
        <w:t xml:space="preserve"> Sanjay Basu, MD, PhD</w:t>
      </w:r>
    </w:p>
    <w:p>
      <w:pPr>
        <w:spacing w:lineRule="auto" w:line="360" w:after="120" w:before="0"/>
      </w:pPr>
      <w:r>
        <w:rPr>
          <w:rFonts w:ascii="Cambria Math" w:hAnsi="Cambria Math" w:cs="Cambria Math" w:eastAsia="Cambria Math"/>
          <w:b/>
          <w:i w:val="0"/>
          <w:color w:val="000000"/>
          <w:sz w:val="22"/>
        </w:rPr>
        <w:t>Affiliations:</w:t>
      </w:r>
      <w:r>
        <w:rPr>
          <w:rFonts w:ascii="Cambria Math" w:hAnsi="Cambria Math" w:cs="Cambria Math" w:eastAsia="Cambria Math"/>
          <w:b w:val="0"/>
          <w:i w:val="0"/>
          <w:color w:val="000000"/>
          <w:sz w:val="22"/>
        </w:rPr>
        <w:t xml:space="preserve"> Department of Medicine, University of California, San Francisco; Waymark, San Francisco, CA</w:t>
      </w:r>
    </w:p>
    <w:p>
      <w:pPr>
        <w:spacing w:lineRule="auto" w:line="360" w:after="120" w:before="0"/>
      </w:pPr>
      <w:r>
        <w:rPr>
          <w:rFonts w:ascii="Cambria Math" w:hAnsi="Cambria Math" w:cs="Cambria Math" w:eastAsia="Cambria Math"/>
          <w:b/>
          <w:i w:val="0"/>
          <w:color w:val="000000"/>
          <w:sz w:val="22"/>
        </w:rPr>
        <w:t>Correspondence:</w:t>
      </w:r>
      <w:r>
        <w:rPr>
          <w:rFonts w:ascii="Cambria Math" w:hAnsi="Cambria Math" w:cs="Cambria Math" w:eastAsia="Cambria Math"/>
          <w:b w:val="0"/>
          <w:i w:val="0"/>
          <w:color w:val="000000"/>
          <w:sz w:val="22"/>
        </w:rPr>
        <w:t xml:space="preserve"> sanjay.basu@ucsf.edu</w:t>
      </w:r>
    </w:p>
    <w:p>
      <w:pPr>
        <w:spacing w:lineRule="auto" w:line="360" w:after="160" w:before="0"/>
      </w:pPr>
      <w:r>
        <w:rPr>
          <w:rFonts w:ascii="Cambria Math" w:hAnsi="Cambria Math" w:cs="Cambria Math" w:eastAsia="Cambria Math"/>
          <w:b/>
          <w:i w:val="0"/>
          <w:color w:val="000000"/>
          <w:sz w:val="24"/>
        </w:rPr>
        <w:t>Abstract</w:t>
      </w:r>
    </w:p>
    <w:p>
      <w:pPr>
        <w:spacing w:lineRule="auto" w:line="360" w:after="120" w:before="0"/>
      </w:pPr>
      <w:r>
        <w:rPr>
          <w:rFonts w:ascii="Cambria Math" w:hAnsi="Cambria Math" w:cs="Cambria Math" w:eastAsia="Cambria Math"/>
          <w:b/>
          <w:i w:val="0"/>
          <w:color w:val="000000"/>
          <w:sz w:val="22"/>
        </w:rPr>
        <w:t>Objective.</w:t>
      </w:r>
      <w:r>
        <w:rPr>
          <w:rFonts w:ascii="Cambria Math" w:hAnsi="Cambria Math" w:cs="Cambria Math" w:eastAsia="Cambria Math"/>
          <w:b w:val="0"/>
          <w:i w:val="0"/>
          <w:color w:val="000000"/>
          <w:sz w:val="22"/>
        </w:rPr>
        <w:t xml:space="preserve"> To examine whether community health centers (CHCs) absorbed displaced demand following rural hospital closures, and at what cost to payer mix and clinical quality.</w:t>
      </w:r>
    </w:p>
    <w:p>
      <w:pPr>
        <w:spacing w:lineRule="auto" w:line="360" w:after="120" w:before="0"/>
      </w:pPr>
      <w:r>
        <w:rPr>
          <w:rFonts w:ascii="Cambria Math" w:hAnsi="Cambria Math" w:cs="Cambria Math" w:eastAsia="Cambria Math"/>
          <w:b/>
          <w:i w:val="0"/>
          <w:color w:val="000000"/>
          <w:sz w:val="22"/>
        </w:rPr>
        <w:t>Methods.</w:t>
      </w:r>
      <w:r>
        <w:rPr>
          <w:rFonts w:ascii="Cambria Math" w:hAnsi="Cambria Math" w:cs="Cambria Math" w:eastAsia="Cambria Math"/>
          <w:b w:val="0"/>
          <w:i w:val="0"/>
          <w:color w:val="000000"/>
          <w:sz w:val="22"/>
        </w:rPr>
        <w:t xml:space="preserve"> We linked the UNC Sheps Center rural hospital closure registry to HRSA Uniform Data System files for 1,642 CHCs, 2014–2024. CHCs were exposed if a rural hospital in a served ZIP code closed. Callaway–Sant'Anna event-study effects were estimated across 11 outcomes versus never-exposed CHCs, with multiple-testing adjustment.</w:t>
      </w:r>
    </w:p>
    <w:p>
      <w:pPr>
        <w:spacing w:lineRule="auto" w:line="360" w:after="120" w:before="0"/>
      </w:pPr>
      <w:r>
        <w:rPr>
          <w:rFonts w:ascii="Cambria Math" w:hAnsi="Cambria Math" w:cs="Cambria Math" w:eastAsia="Cambria Math"/>
          <w:b/>
          <w:i w:val="0"/>
          <w:color w:val="000000"/>
          <w:sz w:val="22"/>
        </w:rPr>
        <w:t>Results.</w:t>
      </w:r>
      <w:r>
        <w:rPr>
          <w:rFonts w:ascii="Cambria Math" w:hAnsi="Cambria Math" w:cs="Cambria Math" w:eastAsia="Cambria Math"/>
          <w:b w:val="0"/>
          <w:i w:val="0"/>
          <w:color w:val="000000"/>
          <w:sz w:val="22"/>
        </w:rPr>
        <w:t xml:space="preserve"> 386 CHCs (23.5%) were exposed. Patient volume rose 13.8% (95% CI 8.1%–19.5%), reaching +27% by year eight. Hypertension control rose 1.97 percentage points (95% CI 0.71–3.24). Nine additional payer-mix and clinical measures showed no significant change after correction.</w:t>
      </w:r>
    </w:p>
    <w:p>
      <w:pPr>
        <w:spacing w:lineRule="auto" w:line="360" w:after="120" w:before="0"/>
      </w:pPr>
      <w:r>
        <w:rPr>
          <w:rFonts w:ascii="Cambria Math" w:hAnsi="Cambria Math" w:cs="Cambria Math" w:eastAsia="Cambria Math"/>
          <w:b/>
          <w:i w:val="0"/>
          <w:color w:val="000000"/>
          <w:sz w:val="22"/>
        </w:rPr>
        <w:t>Conclusions.</w:t>
      </w:r>
      <w:r>
        <w:rPr>
          <w:rFonts w:ascii="Cambria Math" w:hAnsi="Cambria Math" w:cs="Cambria Math" w:eastAsia="Cambria Math"/>
          <w:b w:val="0"/>
          <w:i w:val="0"/>
          <w:color w:val="000000"/>
          <w:sz w:val="22"/>
        </w:rPr>
        <w:t xml:space="preserve"> CHCs absorbed closure-displaced demand without payer-mix or quality erosion, with modest hypertension control improvement. Findings support federal investment in CHC capacity.</w:t>
      </w:r>
    </w:p>
    <w:p>
      <w:pPr>
        <w:spacing w:lineRule="auto" w:line="360" w:after="120" w:before="0"/>
      </w:pPr>
      <w:r>
        <w:rPr>
          <w:rFonts w:ascii="Cambria Math" w:hAnsi="Cambria Math" w:cs="Cambria Math" w:eastAsia="Cambria Math"/>
          <w:b/>
          <w:i w:val="0"/>
          <w:color w:val="000000"/>
          <w:sz w:val="22"/>
        </w:rPr>
        <w:t>Key words.</w:t>
      </w:r>
      <w:r>
        <w:rPr>
          <w:rFonts w:ascii="Cambria Math" w:hAnsi="Cambria Math" w:cs="Cambria Math" w:eastAsia="Cambria Math"/>
          <w:b w:val="0"/>
          <w:i w:val="0"/>
          <w:color w:val="000000"/>
          <w:sz w:val="22"/>
        </w:rPr>
        <w:t xml:space="preserve"> Community health services; Rural health; Hospital closures; Medicaid; Hypertension; Quality indicators, health care.</w:t>
      </w:r>
    </w:p>
    <w:p>
      <w:pPr>
        <w:spacing w:lineRule="auto" w:line="360" w:after="120" w:before="0"/>
      </w:pPr>
      <w:r>
        <w:rPr>
          <w:rFonts w:ascii="Cambria Math" w:hAnsi="Cambria Math" w:cs="Cambria Math" w:eastAsia="Cambria Math"/>
          <w:b w:val="0"/>
          <w:i w:val="0"/>
          <w:color w:val="000000"/>
          <w:sz w:val="22"/>
        </w:rPr>
        <w:t>The United States has lost more than 150 rural hospitals to closure or conversion since 2010, with closures concentrated in non–Medicaid expansion states and in communities with high rates of poverty and uninsurance.</w:t>
      </w:r>
      <w:r>
        <w:rPr>
          <w:rFonts w:ascii="Cambria Math" w:hAnsi="Cambria Math" w:cs="Cambria Math" w:eastAsia="Cambria Math"/>
          <w:b w:val="0"/>
          <w:i w:val="0"/>
          <w:color w:val="000000"/>
          <w:sz w:val="22"/>
          <w:vertAlign w:val="superscript"/>
        </w:rPr>
        <w:t>1,2</w:t>
      </w:r>
      <w:r>
        <w:rPr>
          <w:rFonts w:ascii="Cambria Math" w:hAnsi="Cambria Math" w:cs="Cambria Math" w:eastAsia="Cambria Math"/>
          <w:b w:val="0"/>
          <w:i w:val="0"/>
          <w:color w:val="000000"/>
          <w:sz w:val="22"/>
        </w:rPr>
        <w:t xml:space="preserve"> When a rural hospital closes, displaced patients face longer ambulance times to emergency care</w:t>
      </w:r>
      <w:r>
        <w:rPr>
          <w:rFonts w:ascii="Cambria Math" w:hAnsi="Cambria Math" w:cs="Cambria Math" w:eastAsia="Cambria Math"/>
          <w:b w:val="0"/>
          <w:i w:val="0"/>
          <w:color w:val="000000"/>
          <w:sz w:val="22"/>
          <w:vertAlign w:val="superscript"/>
        </w:rPr>
        <w:t>3</w:t>
      </w:r>
      <w:r>
        <w:rPr>
          <w:rFonts w:ascii="Cambria Math" w:hAnsi="Cambria Math" w:cs="Cambria Math" w:eastAsia="Cambria Math"/>
          <w:b w:val="0"/>
          <w:i w:val="0"/>
          <w:color w:val="000000"/>
          <w:sz w:val="22"/>
        </w:rPr>
        <w:t xml:space="preserve"> and local economies lose a major employer.</w:t>
      </w:r>
      <w:r>
        <w:rPr>
          <w:rFonts w:ascii="Cambria Math" w:hAnsi="Cambria Math" w:cs="Cambria Math" w:eastAsia="Cambria Math"/>
          <w:b w:val="0"/>
          <w:i w:val="0"/>
          <w:color w:val="000000"/>
          <w:sz w:val="22"/>
          <w:vertAlign w:val="superscript"/>
        </w:rPr>
        <w:t>4</w:t>
      </w:r>
      <w:r>
        <w:rPr>
          <w:rFonts w:ascii="Cambria Math" w:hAnsi="Cambria Math" w:cs="Cambria Math" w:eastAsia="Cambria Math"/>
          <w:b w:val="0"/>
          <w:i w:val="0"/>
          <w:color w:val="000000"/>
          <w:sz w:val="22"/>
        </w:rPr>
        <w:t xml:space="preserve"> Federally Qualified Health Centers (FQHCs) and look-alike community health centers, collectively the nation's largest primary care safety net, have been theorized as natural absorbers of closure-displaced demand: they accept all patients regardless of insurance, are required to provide comprehensive primary care, and have geographic footprints that often overlap with hospital catchments.</w:t>
      </w:r>
      <w:r>
        <w:rPr>
          <w:rFonts w:ascii="Cambria Math" w:hAnsi="Cambria Math" w:cs="Cambria Math" w:eastAsia="Cambria Math"/>
          <w:b w:val="0"/>
          <w:i w:val="0"/>
          <w:color w:val="000000"/>
          <w:sz w:val="22"/>
          <w:vertAlign w:val="superscript"/>
        </w:rPr>
        <w:t>5,6</w:t>
      </w:r>
    </w:p>
    <w:p>
      <w:pPr>
        <w:spacing w:lineRule="auto" w:line="360" w:after="120" w:before="0"/>
      </w:pPr>
      <w:r>
        <w:rPr>
          <w:rFonts w:ascii="Cambria Math" w:hAnsi="Cambria Math" w:cs="Cambria Math" w:eastAsia="Cambria Math"/>
          <w:b w:val="0"/>
          <w:i w:val="0"/>
          <w:color w:val="000000"/>
          <w:sz w:val="22"/>
        </w:rPr>
        <w:t xml:space="preserve">Prior work shows that the </w:t>
      </w:r>
      <w:r>
        <w:rPr>
          <w:rFonts w:ascii="Cambria Math" w:hAnsi="Cambria Math" w:cs="Cambria Math" w:eastAsia="Cambria Math"/>
          <w:b w:val="0"/>
          <w:i/>
          <w:color w:val="000000"/>
          <w:sz w:val="22"/>
        </w:rPr>
        <w:t>probability of any FQHC presence</w:t>
      </w:r>
      <w:r>
        <w:rPr>
          <w:rFonts w:ascii="Cambria Math" w:hAnsi="Cambria Math" w:cs="Cambria Math" w:eastAsia="Cambria Math"/>
          <w:b w:val="0"/>
          <w:i w:val="0"/>
          <w:color w:val="000000"/>
          <w:sz w:val="22"/>
        </w:rPr>
        <w:t xml:space="preserve"> within ten miles of a closed rural hospital rises by 5.95 pp at one year and 11.57 pp at five years.</w:t>
      </w:r>
      <w:r>
        <w:rPr>
          <w:rFonts w:ascii="Cambria Math" w:hAnsi="Cambria Math" w:cs="Cambria Math" w:eastAsia="Cambria Math"/>
          <w:b w:val="0"/>
          <w:i w:val="0"/>
          <w:color w:val="000000"/>
          <w:sz w:val="22"/>
          <w:vertAlign w:val="superscript"/>
        </w:rPr>
        <w:t>7</w:t>
      </w:r>
      <w:r>
        <w:rPr>
          <w:rFonts w:ascii="Cambria Math" w:hAnsi="Cambria Math" w:cs="Cambria Math" w:eastAsia="Cambria Math"/>
          <w:b w:val="0"/>
          <w:i w:val="0"/>
          <w:color w:val="000000"/>
          <w:sz w:val="22"/>
        </w:rPr>
        <w:t xml:space="preserve"> A complementary natural-experiment study found that the </w:t>
      </w:r>
      <w:r>
        <w:rPr>
          <w:rFonts w:ascii="Cambria Math" w:hAnsi="Cambria Math" w:cs="Cambria Math" w:eastAsia="Cambria Math"/>
          <w:b w:val="0"/>
          <w:i/>
          <w:color w:val="000000"/>
          <w:sz w:val="22"/>
        </w:rPr>
        <w:t>loss</w:t>
      </w:r>
      <w:r>
        <w:rPr>
          <w:rFonts w:ascii="Cambria Math" w:hAnsi="Cambria Math" w:cs="Cambria Math" w:eastAsia="Cambria Math"/>
          <w:b w:val="0"/>
          <w:i w:val="0"/>
          <w:color w:val="000000"/>
          <w:sz w:val="22"/>
        </w:rPr>
        <w:t xml:space="preserve"> of CHCs in U.S. counties from 2011 to 2019 was associated with measurable increases in county-level mortality, indicating that CHC capacity is load-bearing for rural health.</w:t>
      </w:r>
      <w:r>
        <w:rPr>
          <w:rFonts w:ascii="Cambria Math" w:hAnsi="Cambria Math" w:cs="Cambria Math" w:eastAsia="Cambria Math"/>
          <w:b w:val="0"/>
          <w:i w:val="0"/>
          <w:color w:val="000000"/>
          <w:sz w:val="22"/>
          <w:vertAlign w:val="superscript"/>
        </w:rPr>
        <w:t>8</w:t>
      </w:r>
      <w:r>
        <w:rPr>
          <w:rFonts w:ascii="Cambria Math" w:hAnsi="Cambria Math" w:cs="Cambria Math" w:eastAsia="Cambria Math"/>
          <w:b w:val="0"/>
          <w:i w:val="0"/>
          <w:color w:val="000000"/>
          <w:sz w:val="22"/>
        </w:rPr>
        <w:t xml:space="preserve"> These findings establish that the safety net expands geographically when hospitals close and that mortality rises when CHCs themselves contract. Neither answers the operational question now facing policymakers: what happens </w:t>
      </w:r>
      <w:r>
        <w:rPr>
          <w:rFonts w:ascii="Cambria Math" w:hAnsi="Cambria Math" w:cs="Cambria Math" w:eastAsia="Cambria Math"/>
          <w:b w:val="0"/>
          <w:i/>
          <w:color w:val="000000"/>
          <w:sz w:val="22"/>
        </w:rPr>
        <w:t>inside</w:t>
      </w:r>
      <w:r>
        <w:rPr>
          <w:rFonts w:ascii="Cambria Math" w:hAnsi="Cambria Math" w:cs="Cambria Math" w:eastAsia="Cambria Math"/>
          <w:b w:val="0"/>
          <w:i w:val="0"/>
          <w:color w:val="000000"/>
          <w:sz w:val="22"/>
        </w:rPr>
        <w:t xml:space="preserve"> the CHCs that absorb post-closure demand—do they grow patient volume, and at what cost to payer mix and clinical quality across the spectrum of services they deliver?</w:t>
      </w:r>
    </w:p>
    <w:p>
      <w:pPr>
        <w:spacing w:lineRule="auto" w:line="360" w:after="120" w:before="0"/>
      </w:pPr>
      <w:r>
        <w:rPr>
          <w:rFonts w:ascii="Cambria Math" w:hAnsi="Cambria Math" w:cs="Cambria Math" w:eastAsia="Cambria Math"/>
          <w:b w:val="0"/>
          <w:i w:val="0"/>
          <w:color w:val="000000"/>
          <w:sz w:val="22"/>
        </w:rPr>
        <w:t>This question is timely. The 2025 federal budget reconciliation law and the ongoing Medicaid eligibility unwinding are projected to reduce CHC revenue by tens of billions of dollars and to shift millions of CHC patients from Medicaid coverage to uninsured status.</w:t>
      </w:r>
      <w:r>
        <w:rPr>
          <w:rFonts w:ascii="Cambria Math" w:hAnsi="Cambria Math" w:cs="Cambria Math" w:eastAsia="Cambria Math"/>
          <w:b w:val="0"/>
          <w:i w:val="0"/>
          <w:color w:val="000000"/>
          <w:sz w:val="22"/>
          <w:vertAlign w:val="superscript"/>
        </w:rPr>
        <w:t>9,10</w:t>
      </w:r>
      <w:r>
        <w:rPr>
          <w:rFonts w:ascii="Cambria Math" w:hAnsi="Cambria Math" w:cs="Cambria Math" w:eastAsia="Cambria Math"/>
          <w:b w:val="0"/>
          <w:i w:val="0"/>
          <w:color w:val="000000"/>
          <w:sz w:val="22"/>
        </w:rPr>
        <w:t xml:space="preserve"> If rural hospital closures impose additional uncompensated-care load on CHCs, the combined fiscal pressure could exceed the absorptive capacity of even well-managed centers. Conversely, if CHCs have a track record of absorbing displaced demand without quality erosion, that evidence should inform federal investment decisions tied to the Health Center Program's "policy quilt" of 330 grants, Prospective Payment System (PPS) reimbursement, 340B drug pricing, and workforce supports.</w:t>
      </w:r>
      <w:r>
        <w:rPr>
          <w:rFonts w:ascii="Cambria Math" w:hAnsi="Cambria Math" w:cs="Cambria Math" w:eastAsia="Cambria Math"/>
          <w:b w:val="0"/>
          <w:i w:val="0"/>
          <w:color w:val="000000"/>
          <w:sz w:val="22"/>
          <w:vertAlign w:val="superscript"/>
        </w:rPr>
        <w:t>11</w:t>
      </w:r>
    </w:p>
    <w:p>
      <w:pPr>
        <w:spacing w:lineRule="auto" w:line="360" w:after="120" w:before="0"/>
      </w:pPr>
      <w:r>
        <w:rPr>
          <w:rFonts w:ascii="Cambria Math" w:hAnsi="Cambria Math" w:cs="Cambria Math" w:eastAsia="Cambria Math"/>
          <w:b w:val="0"/>
          <w:i w:val="0"/>
          <w:color w:val="000000"/>
          <w:sz w:val="22"/>
        </w:rPr>
        <w:t>We use a center-level panel from the HRSA UDS linked to the UNC Sheps Center rural hospital closure registry, and a heterogeneity-robust staggered difference-in-differences estimator,</w:t>
      </w:r>
      <w:r>
        <w:rPr>
          <w:rFonts w:ascii="Cambria Math" w:hAnsi="Cambria Math" w:cs="Cambria Math" w:eastAsia="Cambria Math"/>
          <w:b w:val="0"/>
          <w:i w:val="0"/>
          <w:color w:val="000000"/>
          <w:sz w:val="22"/>
          <w:vertAlign w:val="superscript"/>
        </w:rPr>
        <w:t>12</w:t>
      </w:r>
      <w:r>
        <w:rPr>
          <w:rFonts w:ascii="Cambria Math" w:hAnsi="Cambria Math" w:cs="Cambria Math" w:eastAsia="Cambria Math"/>
          <w:b w:val="0"/>
          <w:i w:val="0"/>
          <w:color w:val="000000"/>
          <w:sz w:val="22"/>
        </w:rPr>
        <w:t xml:space="preserve"> to provide center-level event-study evidence on how rural CHCs responded operationally to local hospital closures from 2014 through 2024 across volume, payer mix, and eight clinical quality measures.</w:t>
      </w:r>
    </w:p>
    <w:p>
      <w:pPr>
        <w:spacing w:lineRule="auto" w:line="360" w:after="160" w:before="0"/>
      </w:pPr>
      <w:r>
        <w:rPr>
          <w:rFonts w:ascii="Cambria Math" w:hAnsi="Cambria Math" w:cs="Cambria Math" w:eastAsia="Cambria Math"/>
          <w:b/>
          <w:i w:val="0"/>
          <w:color w:val="000000"/>
          <w:sz w:val="24"/>
        </w:rPr>
        <w:t>Methods</w:t>
      </w:r>
    </w:p>
    <w:p>
      <w:pPr>
        <w:spacing w:lineRule="auto" w:line="360" w:after="120" w:before="0"/>
      </w:pPr>
      <w:r>
        <w:rPr>
          <w:rFonts w:ascii="Cambria Math" w:hAnsi="Cambria Math" w:cs="Cambria Math" w:eastAsia="Cambria Math"/>
          <w:b/>
          <w:i w:val="0"/>
          <w:color w:val="000000"/>
          <w:sz w:val="22"/>
        </w:rPr>
        <w:t>Data sources.</w:t>
      </w:r>
      <w:r>
        <w:rPr>
          <w:rFonts w:ascii="Cambria Math" w:hAnsi="Cambria Math" w:cs="Cambria Math" w:eastAsia="Cambria Math"/>
          <w:b w:val="0"/>
          <w:i w:val="0"/>
          <w:color w:val="000000"/>
          <w:sz w:val="22"/>
        </w:rPr>
        <w:t xml:space="preserve"> Health-center data came from HRSA UDS public files for grantee Health Center Program awardees (H80) and Look-Alike centers (LAL), reporting years 2014–2024 (n = 11 reporting years; consistent BHCMIS identifier schema). Rural hospital closure data came from the UNC Sheps Center Rural Hospital Closures dataset, which tracks 195 closures and conversions of rural acute-care hospitals since 2005, with month, year, ZIP code, RUCA classification, Medicare payment designation, and a complete-versus-converted closure flag. We restricted closures to events occurring 2014–2024 (n = 116).</w:t>
      </w:r>
    </w:p>
    <w:p>
      <w:pPr>
        <w:spacing w:lineRule="auto" w:line="360" w:after="120" w:before="0"/>
      </w:pPr>
      <w:r>
        <w:rPr>
          <w:rFonts w:ascii="Cambria Math" w:hAnsi="Cambria Math" w:cs="Cambria Math" w:eastAsia="Cambria Math"/>
          <w:b/>
          <w:i w:val="0"/>
          <w:color w:val="000000"/>
          <w:sz w:val="22"/>
        </w:rPr>
        <w:t>Treatment exposure.</w:t>
      </w:r>
      <w:r>
        <w:rPr>
          <w:rFonts w:ascii="Cambria Math" w:hAnsi="Cambria Math" w:cs="Cambria Math" w:eastAsia="Cambria Math"/>
          <w:b w:val="0"/>
          <w:i w:val="0"/>
          <w:color w:val="000000"/>
          <w:sz w:val="22"/>
        </w:rPr>
        <w:t xml:space="preserve"> A CHC's service area was the union of all ZIP codes the center reported serving in any UDS reporting year between 2014 and 2024. A CHC was </w:t>
      </w:r>
      <w:r>
        <w:rPr>
          <w:rFonts w:ascii="Cambria Math" w:hAnsi="Cambria Math" w:cs="Cambria Math" w:eastAsia="Cambria Math"/>
          <w:b w:val="0"/>
          <w:i/>
          <w:color w:val="000000"/>
          <w:sz w:val="22"/>
        </w:rPr>
        <w:t>exposed</w:t>
      </w:r>
      <w:r>
        <w:rPr>
          <w:rFonts w:ascii="Cambria Math" w:hAnsi="Cambria Math" w:cs="Cambria Math" w:eastAsia="Cambria Math"/>
          <w:b w:val="0"/>
          <w:i w:val="0"/>
          <w:color w:val="000000"/>
          <w:sz w:val="22"/>
        </w:rPr>
        <w:t xml:space="preserve"> in calendar year </w:t>
      </w:r>
      <w:r>
        <w:rPr>
          <w:rFonts w:ascii="Cambria Math" w:hAnsi="Cambria Math" w:cs="Cambria Math" w:eastAsia="Cambria Math"/>
          <w:b w:val="0"/>
          <w:i/>
          <w:color w:val="000000"/>
          <w:sz w:val="22"/>
        </w:rPr>
        <w:t>t</w:t>
      </w:r>
      <w:r>
        <w:rPr>
          <w:rFonts w:ascii="Cambria Math" w:hAnsi="Cambria Math" w:cs="Cambria Math" w:eastAsia="Cambria Math"/>
          <w:b w:val="0"/>
          <w:i w:val="0"/>
          <w:color w:val="000000"/>
          <w:sz w:val="22"/>
        </w:rPr>
        <w:t xml:space="preserve"> if a rural hospital located in any of its served ZIP codes closed (complete or converted) in year </w:t>
      </w:r>
      <w:r>
        <w:rPr>
          <w:rFonts w:ascii="Cambria Math" w:hAnsi="Cambria Math" w:cs="Cambria Math" w:eastAsia="Cambria Math"/>
          <w:b w:val="0"/>
          <w:i/>
          <w:color w:val="000000"/>
          <w:sz w:val="22"/>
        </w:rPr>
        <w:t>t</w:t>
      </w:r>
      <w:r>
        <w:rPr>
          <w:rFonts w:ascii="Cambria Math" w:hAnsi="Cambria Math" w:cs="Cambria Math" w:eastAsia="Cambria Math"/>
          <w:b w:val="0"/>
          <w:i w:val="0"/>
          <w:color w:val="000000"/>
          <w:sz w:val="22"/>
        </w:rPr>
        <w:t>. Treatment cohort = year of first exposure; CHCs with no closures in their service area between 2014 and 2024 served as the never-exposed comparison group. A sensitivity specification restricted exposure to complete (non-converted) closures.</w:t>
      </w:r>
    </w:p>
    <w:p>
      <w:pPr>
        <w:spacing w:lineRule="auto" w:line="360" w:after="120" w:before="0"/>
      </w:pPr>
      <w:r>
        <w:rPr>
          <w:rFonts w:ascii="Cambria Math" w:hAnsi="Cambria Math" w:cs="Cambria Math" w:eastAsia="Cambria Math"/>
          <w:b/>
          <w:i w:val="0"/>
          <w:color w:val="000000"/>
          <w:sz w:val="22"/>
        </w:rPr>
        <w:t>Outcomes.</w:t>
      </w:r>
      <w:r>
        <w:rPr>
          <w:rFonts w:ascii="Cambria Math" w:hAnsi="Cambria Math" w:cs="Cambria Math" w:eastAsia="Cambria Math"/>
          <w:b w:val="0"/>
          <w:i w:val="0"/>
          <w:color w:val="000000"/>
          <w:sz w:val="22"/>
        </w:rPr>
        <w:t xml:space="preserve"> From the UDS files we extracted three operational and eight clinical outcomes. Operational: (1) total patients (log-transformed); (2) uninsured share; and (3) Medicaid share—each computed by summing patient counts across the center's served ZIP codes (HealthCenterZipCodes). Clinical (Tables 7 and 6B clinical-measures sheets, aggregated across race/ethnicity strata to the center level by summing numerators and denominators): (4) hypertension control percent; (5) percent of diabetic patients with HbA1c &gt;9% (poor control); (6) childhood immunization percent; (7) cervical cancer screening (Pap) percent; (8) percent of adults with documented BMI and follow-up plan; (9) percent of adults assessed for tobacco use and provided intervention; (10) percent of adults with appropriate colorectal cancer screening; and (11) percent of patients screened for depression and follow-up plan documented. Clinical outcomes were available 2015–2024 (the 2014 reporting form used a non-comparable HbA1c cutoff).</w:t>
      </w:r>
    </w:p>
    <w:p>
      <w:pPr>
        <w:spacing w:lineRule="auto" w:line="360" w:after="120" w:before="0"/>
      </w:pPr>
      <w:r>
        <w:rPr>
          <w:rFonts w:ascii="Cambria Math" w:hAnsi="Cambria Math" w:cs="Cambria Math" w:eastAsia="Cambria Math"/>
          <w:b/>
          <w:i w:val="0"/>
          <w:color w:val="000000"/>
          <w:sz w:val="22"/>
        </w:rPr>
        <w:t>Estimation.</w:t>
      </w:r>
      <w:r>
        <w:rPr>
          <w:rFonts w:ascii="Cambria Math" w:hAnsi="Cambria Math" w:cs="Cambria Math" w:eastAsia="Cambria Math"/>
          <w:b w:val="0"/>
          <w:i w:val="0"/>
          <w:color w:val="000000"/>
          <w:sz w:val="22"/>
        </w:rPr>
        <w:t xml:space="preserve"> Our primary estimator was the Callaway and Sant'Anna group-time average treatment effect on the treated (ATT(g,t)),</w:t>
      </w:r>
      <w:r>
        <w:rPr>
          <w:rFonts w:ascii="Cambria Math" w:hAnsi="Cambria Math" w:cs="Cambria Math" w:eastAsia="Cambria Math"/>
          <w:b w:val="0"/>
          <w:i w:val="0"/>
          <w:color w:val="000000"/>
          <w:sz w:val="22"/>
          <w:vertAlign w:val="superscript"/>
        </w:rPr>
        <w:t>12</w:t>
      </w:r>
      <w:r>
        <w:rPr>
          <w:rFonts w:ascii="Cambria Math" w:hAnsi="Cambria Math" w:cs="Cambria Math" w:eastAsia="Cambria Math"/>
          <w:b w:val="0"/>
          <w:i w:val="0"/>
          <w:color w:val="000000"/>
          <w:sz w:val="22"/>
        </w:rPr>
        <w:t xml:space="preserve"> implemented in the Python `differences` package. This estimator avoids the negative-weighting problems of two-way fixed-effects (TWFE) regression with staggered treatment timing</w:t>
      </w:r>
      <w:r>
        <w:rPr>
          <w:rFonts w:ascii="Cambria Math" w:hAnsi="Cambria Math" w:cs="Cambria Math" w:eastAsia="Cambria Math"/>
          <w:b w:val="0"/>
          <w:i w:val="0"/>
          <w:color w:val="000000"/>
          <w:sz w:val="22"/>
          <w:vertAlign w:val="superscript"/>
        </w:rPr>
        <w:t>13,14</w:t>
      </w:r>
      <w:r>
        <w:rPr>
          <w:rFonts w:ascii="Cambria Math" w:hAnsi="Cambria Math" w:cs="Cambria Math" w:eastAsia="Cambria Math"/>
          <w:b w:val="0"/>
          <w:i w:val="0"/>
          <w:color w:val="000000"/>
          <w:sz w:val="22"/>
        </w:rPr>
        <w:t xml:space="preserve"> and provides separate estimates of pre-treatment placebo coefficients (which should be near zero if parallel trends holds) and post-treatment dynamic effects. The comparison group was set to never-treated CHCs. We report event-time-specific ATTs for relative periods −5 to +8 and a single post-period "simple" aggregate per outcome.</w:t>
      </w:r>
    </w:p>
    <w:p>
      <w:pPr>
        <w:spacing w:lineRule="auto" w:line="360" w:after="120" w:before="0"/>
      </w:pPr>
      <w:r>
        <w:rPr>
          <w:rFonts w:ascii="Cambria Math" w:hAnsi="Cambria Math" w:cs="Cambria Math" w:eastAsia="Cambria Math"/>
          <w:b/>
          <w:i w:val="0"/>
          <w:color w:val="000000"/>
          <w:sz w:val="22"/>
        </w:rPr>
        <w:t>Multiple testing.</w:t>
      </w:r>
      <w:r>
        <w:rPr>
          <w:rFonts w:ascii="Cambria Math" w:hAnsi="Cambria Math" w:cs="Cambria Math" w:eastAsia="Cambria Math"/>
          <w:b w:val="0"/>
          <w:i w:val="0"/>
          <w:color w:val="000000"/>
          <w:sz w:val="22"/>
        </w:rPr>
        <w:t xml:space="preserve"> Given 11 pre-specified outcomes, we adjusted p-values using five methods: Bonferroni and Holm step-down (controlling family-wise error rate); Benjamini-Hochberg</w:t>
      </w:r>
      <w:r>
        <w:rPr>
          <w:rFonts w:ascii="Cambria Math" w:hAnsi="Cambria Math" w:cs="Cambria Math" w:eastAsia="Cambria Math"/>
          <w:b w:val="0"/>
          <w:i w:val="0"/>
          <w:color w:val="000000"/>
          <w:sz w:val="22"/>
          <w:vertAlign w:val="superscript"/>
        </w:rPr>
        <w:t>15</w:t>
      </w:r>
      <w:r>
        <w:rPr>
          <w:rFonts w:ascii="Cambria Math" w:hAnsi="Cambria Math" w:cs="Cambria Math" w:eastAsia="Cambria Math"/>
          <w:b w:val="0"/>
          <w:i w:val="0"/>
          <w:color w:val="000000"/>
          <w:sz w:val="22"/>
        </w:rPr>
        <w:t xml:space="preserve"> (controlling false discovery rate, FDR, valid under positive dependence); Benjamini-Yekutieli</w:t>
      </w:r>
      <w:r>
        <w:rPr>
          <w:rFonts w:ascii="Cambria Math" w:hAnsi="Cambria Math" w:cs="Cambria Math" w:eastAsia="Cambria Math"/>
          <w:b w:val="0"/>
          <w:i w:val="0"/>
          <w:color w:val="000000"/>
          <w:sz w:val="22"/>
          <w:vertAlign w:val="superscript"/>
        </w:rPr>
        <w:t>16</w:t>
      </w:r>
      <w:r>
        <w:rPr>
          <w:rFonts w:ascii="Cambria Math" w:hAnsi="Cambria Math" w:cs="Cambria Math" w:eastAsia="Cambria Math"/>
          <w:b w:val="0"/>
          <w:i w:val="0"/>
          <w:color w:val="000000"/>
          <w:sz w:val="22"/>
        </w:rPr>
        <w:t xml:space="preserve"> (controlling FDR under arbitrary dependence); and Romano-Wolf stepdown</w:t>
      </w:r>
      <w:r>
        <w:rPr>
          <w:rFonts w:ascii="Cambria Math" w:hAnsi="Cambria Math" w:cs="Cambria Math" w:eastAsia="Cambria Math"/>
          <w:b w:val="0"/>
          <w:i w:val="0"/>
          <w:color w:val="000000"/>
          <w:sz w:val="22"/>
          <w:vertAlign w:val="superscript"/>
        </w:rPr>
        <w:t>17</w:t>
      </w:r>
      <w:r>
        <w:rPr>
          <w:rFonts w:ascii="Cambria Math" w:hAnsi="Cambria Math" w:cs="Cambria Math" w:eastAsia="Cambria Math"/>
          <w:b w:val="0"/>
          <w:i w:val="0"/>
          <w:color w:val="000000"/>
          <w:sz w:val="22"/>
        </w:rPr>
        <w:t xml:space="preserve"> calibrated to the joint distribution of test statistics via the residual correlation matrix across outcomes within CHC and year. We report findings significant at α = 0.05 </w:t>
      </w:r>
      <w:r>
        <w:rPr>
          <w:rFonts w:ascii="Cambria Math" w:hAnsi="Cambria Math" w:cs="Cambria Math" w:eastAsia="Cambria Math"/>
          <w:b w:val="0"/>
          <w:i/>
          <w:color w:val="000000"/>
          <w:sz w:val="22"/>
        </w:rPr>
        <w:t>after</w:t>
      </w:r>
      <w:r>
        <w:rPr>
          <w:rFonts w:ascii="Cambria Math" w:hAnsi="Cambria Math" w:cs="Cambria Math" w:eastAsia="Cambria Math"/>
          <w:b w:val="0"/>
          <w:i w:val="0"/>
          <w:color w:val="000000"/>
          <w:sz w:val="22"/>
        </w:rPr>
        <w:t xml:space="preserve"> the most permissive defensible correction (Benjamini-Hochberg FDR), and we additionally report the more conservative Romano-Wolf p-values. Analyses were conducted in Python 3.12 with `pandas`, `statsmodels`, `differences`, and `statsmodels.stats.multitest`.</w:t>
      </w:r>
    </w:p>
    <w:p>
      <w:pPr>
        <w:spacing w:lineRule="auto" w:line="360" w:after="120" w:before="0"/>
      </w:pPr>
      <w:r>
        <w:rPr>
          <w:rFonts w:ascii="Cambria Math" w:hAnsi="Cambria Math" w:cs="Cambria Math" w:eastAsia="Cambria Math"/>
          <w:b/>
          <w:i w:val="0"/>
          <w:color w:val="000000"/>
          <w:sz w:val="22"/>
        </w:rPr>
        <w:t>Reproducibility.</w:t>
      </w:r>
      <w:r>
        <w:rPr>
          <w:rFonts w:ascii="Cambria Math" w:hAnsi="Cambria Math" w:cs="Cambria Math" w:eastAsia="Cambria Math"/>
          <w:b w:val="0"/>
          <w:i w:val="0"/>
          <w:color w:val="000000"/>
          <w:sz w:val="22"/>
        </w:rPr>
        <w:t xml:space="preserve"> All analysis code, file specifications, and fitted CSV results are archived at the project repository (URL on acceptance). UDS public files are obtained from the HRSA Bureau of Primary Health Care Electronic Reading Room; the Sheps closure list is publicly downloadable.</w:t>
      </w:r>
    </w:p>
    <w:p>
      <w:pPr>
        <w:spacing w:lineRule="auto" w:line="360" w:after="160" w:before="0"/>
      </w:pPr>
      <w:r>
        <w:rPr>
          <w:rFonts w:ascii="Cambria Math" w:hAnsi="Cambria Math" w:cs="Cambria Math" w:eastAsia="Cambria Math"/>
          <w:b/>
          <w:i w:val="0"/>
          <w:color w:val="000000"/>
          <w:sz w:val="24"/>
        </w:rPr>
        <w:t>Results</w:t>
      </w:r>
    </w:p>
    <w:p>
      <w:pPr>
        <w:spacing w:lineRule="auto" w:line="360" w:after="120" w:before="0"/>
      </w:pPr>
      <w:r>
        <w:rPr>
          <w:rFonts w:ascii="Cambria Math" w:hAnsi="Cambria Math" w:cs="Cambria Math" w:eastAsia="Cambria Math"/>
          <w:b w:val="0"/>
          <w:i w:val="0"/>
          <w:color w:val="000000"/>
          <w:sz w:val="22"/>
        </w:rPr>
        <w:t>Of 1,642 unique CHCs reporting between 2014 and 2024, 386 (23.5%) experienced ≥1 rural hospital closure in their service area; 1,256 were never exposed. Exposed CHCs were disproportionately rural (55.4% vs. 34.6% in never-exposed centers) and concentrated in Texas, Tennessee, North Carolina, and Missouri. At baseline (2014), exposed CHCs served slightly more patients than never-exposed CHCs (median 12,182 vs. 10,012) and had higher uninsured share (30.7% vs. 28.2%) and lower Medicaid share (35.8% vs. 42.8%), consistent with their concentration in non-expansion states (Table 1).</w:t>
      </w:r>
    </w:p>
    <w:p>
      <w:pPr>
        <w:spacing w:lineRule="auto" w:line="360" w:after="120" w:before="0"/>
      </w:pPr>
      <w:r>
        <w:rPr>
          <w:rFonts w:ascii="Cambria Math" w:hAnsi="Cambria Math" w:cs="Cambria Math" w:eastAsia="Cambria Math"/>
          <w:b/>
          <w:i w:val="0"/>
          <w:color w:val="000000"/>
          <w:sz w:val="22"/>
        </w:rPr>
        <w:t>Patient volume.</w:t>
      </w:r>
      <w:r>
        <w:rPr>
          <w:rFonts w:ascii="Cambria Math" w:hAnsi="Cambria Math" w:cs="Cambria Math" w:eastAsia="Cambria Math"/>
          <w:b w:val="0"/>
          <w:i w:val="0"/>
          <w:color w:val="000000"/>
          <w:sz w:val="22"/>
        </w:rPr>
        <w:t xml:space="preserve"> Exposure to a local rural hospital closure was associated with a substantial and growing increase in patient volume. The Callaway–Sant'Anna simple ATT was +0.138 log units (95% CI 0.081 to 0.195), corresponding to ~13.8% more patients than would have been observed absent exposure (Figure 1; Table 2). Effects grew monotonically over event time: +4.5% in the year of closure, +7.4% one year post, +9.7% two years post, and +27% by year eight post. Pre-trend coefficients were small and statistically indistinguishable from zero. The volume effect was robust under all five multiple-testing adjustments (raw p&lt;0.0001; BH-FDR-adjusted p&lt;0.001; Romano-Wolf p&lt;0.0001).</w:t>
      </w:r>
    </w:p>
    <w:p>
      <w:pPr>
        <w:spacing w:lineRule="auto" w:line="360" w:after="120" w:before="0"/>
      </w:pPr>
      <w:r>
        <w:rPr>
          <w:rFonts w:ascii="Cambria Math" w:hAnsi="Cambria Math" w:cs="Cambria Math" w:eastAsia="Cambria Math"/>
          <w:b/>
          <w:i w:val="0"/>
          <w:color w:val="000000"/>
          <w:sz w:val="22"/>
        </w:rPr>
        <w:t>Payer mix.</w:t>
      </w:r>
      <w:r>
        <w:rPr>
          <w:rFonts w:ascii="Cambria Math" w:hAnsi="Cambria Math" w:cs="Cambria Math" w:eastAsia="Cambria Math"/>
          <w:b w:val="0"/>
          <w:i w:val="0"/>
          <w:color w:val="000000"/>
          <w:sz w:val="22"/>
        </w:rPr>
        <w:t xml:space="preserve"> The simple ATT for uninsured share was +0.24 pp (95% CI −0.90 to +1.38) and for Medicaid share was −0.31 pp (95% CI −1.27 to +0.66); neither was statistically significant. Event-time coefficients hovered near zero across the post-period, indicating that the payer profile of absorbed patients broadly matched centers' existing case mix.</w:t>
      </w:r>
    </w:p>
    <w:p>
      <w:pPr>
        <w:spacing w:lineRule="auto" w:line="360" w:after="120" w:before="0"/>
      </w:pPr>
      <w:r>
        <w:rPr>
          <w:rFonts w:ascii="Cambria Math" w:hAnsi="Cambria Math" w:cs="Cambria Math" w:eastAsia="Cambria Math"/>
          <w:b/>
          <w:i w:val="0"/>
          <w:color w:val="000000"/>
          <w:sz w:val="22"/>
        </w:rPr>
        <w:t>Clinical quality.</w:t>
      </w:r>
      <w:r>
        <w:rPr>
          <w:rFonts w:ascii="Cambria Math" w:hAnsi="Cambria Math" w:cs="Cambria Math" w:eastAsia="Cambria Math"/>
          <w:b w:val="0"/>
          <w:i w:val="0"/>
          <w:color w:val="000000"/>
          <w:sz w:val="22"/>
        </w:rPr>
        <w:t xml:space="preserve"> Hypertension control improved at exposed CHCs by +1.97 pp (95% CI +0.71 to +3.24; raw p=0.002; BH-FDR-adjusted p=0.012; Romano-Wolf p=0.022). The effect emerged in the year of closure (+1.4 pp) and grew slightly over time (+2.9 pp by year 4; +3.3 pp by year 7). The hypertension finding was robust under all five multiple-testing adjustments. Eight remaining clinical measures (diabetes HbA1c &gt;9%, Pap test, mammography-era BMI follow-up, tobacco intervention, colorectal cancer screening, depression screening, and childhood immunization) showed no significant change after multiple-testing correction. One measure—childhood immunization—reached nominal significance at α=0.05 in unadjusted testing (−3.17 pp; raw p=0.025) but did not survive any correction (BH-FDR p=0.092; Romano-Wolf p=0.195) and is reported as a non-significant exploratory signal in the supplement.</w:t>
      </w:r>
    </w:p>
    <w:p>
      <w:pPr>
        <w:spacing w:lineRule="auto" w:line="360" w:after="120" w:before="0"/>
      </w:pPr>
      <w:r>
        <w:rPr>
          <w:rFonts w:ascii="Cambria Math" w:hAnsi="Cambria Math" w:cs="Cambria Math" w:eastAsia="Cambria Math"/>
          <w:b/>
          <w:i w:val="0"/>
          <w:color w:val="000000"/>
          <w:sz w:val="22"/>
        </w:rPr>
        <w:t>Sensitivity.</w:t>
      </w:r>
      <w:r>
        <w:rPr>
          <w:rFonts w:ascii="Cambria Math" w:hAnsi="Cambria Math" w:cs="Cambria Math" w:eastAsia="Cambria Math"/>
          <w:b w:val="0"/>
          <w:i w:val="0"/>
          <w:color w:val="000000"/>
          <w:sz w:val="22"/>
        </w:rPr>
        <w:t xml:space="preserve"> Results were qualitatively unchanged when treatment was restricted to complete (non-converted) closures and when the comparison group was restricted to "not-yet-treated" CHCs in place of "never-treated."</w:t>
      </w:r>
    </w:p>
    <w:p>
      <w:pPr>
        <w:spacing w:lineRule="auto" w:line="360" w:after="160" w:before="0"/>
      </w:pPr>
      <w:r>
        <w:rPr>
          <w:rFonts w:ascii="Cambria Math" w:hAnsi="Cambria Math" w:cs="Cambria Math" w:eastAsia="Cambria Math"/>
          <w:b/>
          <w:i w:val="0"/>
          <w:color w:val="000000"/>
          <w:sz w:val="24"/>
        </w:rPr>
        <w:t>Discussion</w:t>
      </w:r>
    </w:p>
    <w:p>
      <w:pPr>
        <w:spacing w:lineRule="auto" w:line="360" w:after="120" w:before="0"/>
      </w:pPr>
      <w:r>
        <w:rPr>
          <w:rFonts w:ascii="Cambria Math" w:hAnsi="Cambria Math" w:cs="Cambria Math" w:eastAsia="Cambria Math"/>
          <w:b w:val="0"/>
          <w:i w:val="0"/>
          <w:color w:val="000000"/>
          <w:sz w:val="22"/>
        </w:rPr>
        <w:t>Across 386 community health centers exposed to a local rural hospital closure between 2014 and 2024, two findings emerge that survive multiple-testing correction. First, exposed CHCs absorbed substantial displaced demand: patient volume grew by approximately 14% on average, with effects accumulating to more than 25% over a decade. Second, this absorption did not erode broad clinical quality; if anything, hypertension control modestly improved, by approximately 2 pp. Payer mix was unchanged, indicating that absorbed patients had insurance profiles broadly similar to existing CHC patients. Eight further pre-specified quality measures (diabetes control, cervical and colorectal cancer screening, BMI follow-up, tobacco intervention, depression screening, and childhood immunization) showed no significant change under any multiple-testing adjustment.</w:t>
      </w:r>
    </w:p>
    <w:p>
      <w:pPr>
        <w:spacing w:lineRule="auto" w:line="360" w:after="120" w:before="0"/>
      </w:pPr>
      <w:r>
        <w:rPr>
          <w:rFonts w:ascii="Cambria Math" w:hAnsi="Cambria Math" w:cs="Cambria Math" w:eastAsia="Cambria Math"/>
          <w:b w:val="0"/>
          <w:i w:val="0"/>
          <w:color w:val="000000"/>
          <w:sz w:val="22"/>
        </w:rPr>
        <w:t>These results extend prior work showing geographic expansion of FQHCs in the wake of rural hospital closures</w:t>
      </w:r>
      <w:r>
        <w:rPr>
          <w:rFonts w:ascii="Cambria Math" w:hAnsi="Cambria Math" w:cs="Cambria Math" w:eastAsia="Cambria Math"/>
          <w:b w:val="0"/>
          <w:i w:val="0"/>
          <w:color w:val="000000"/>
          <w:sz w:val="22"/>
          <w:vertAlign w:val="superscript"/>
        </w:rPr>
        <w:t>7</w:t>
      </w:r>
      <w:r>
        <w:rPr>
          <w:rFonts w:ascii="Cambria Math" w:hAnsi="Cambria Math" w:cs="Cambria Math" w:eastAsia="Cambria Math"/>
          <w:b w:val="0"/>
          <w:i w:val="0"/>
          <w:color w:val="000000"/>
          <w:sz w:val="22"/>
        </w:rPr>
        <w:t xml:space="preserve"> and prior evidence that CHC capacity is load-bearing for rural mortality</w:t>
      </w:r>
      <w:r>
        <w:rPr>
          <w:rFonts w:ascii="Cambria Math" w:hAnsi="Cambria Math" w:cs="Cambria Math" w:eastAsia="Cambria Math"/>
          <w:b w:val="0"/>
          <w:i w:val="0"/>
          <w:color w:val="000000"/>
          <w:sz w:val="22"/>
          <w:vertAlign w:val="superscript"/>
        </w:rPr>
        <w:t>8</w:t>
      </w:r>
      <w:r>
        <w:rPr>
          <w:rFonts w:ascii="Cambria Math" w:hAnsi="Cambria Math" w:cs="Cambria Math" w:eastAsia="Cambria Math"/>
          <w:b w:val="0"/>
          <w:i w:val="0"/>
          <w:color w:val="000000"/>
          <w:sz w:val="22"/>
        </w:rPr>
        <w:t xml:space="preserve"> by characterizing the operational response </w:t>
      </w:r>
      <w:r>
        <w:rPr>
          <w:rFonts w:ascii="Cambria Math" w:hAnsi="Cambria Math" w:cs="Cambria Math" w:eastAsia="Cambria Math"/>
          <w:b w:val="0"/>
          <w:i/>
          <w:color w:val="000000"/>
          <w:sz w:val="22"/>
        </w:rPr>
        <w:t>within</w:t>
      </w:r>
      <w:r>
        <w:rPr>
          <w:rFonts w:ascii="Cambria Math" w:hAnsi="Cambria Math" w:cs="Cambria Math" w:eastAsia="Cambria Math"/>
          <w:b w:val="0"/>
          <w:i w:val="0"/>
          <w:color w:val="000000"/>
          <w:sz w:val="22"/>
        </w:rPr>
        <w:t xml:space="preserve"> centers that absorb post-closure demand. The volume effect is large enough to be policy-relevant: a CHC that adds ~14% to its patient panel without commensurate growth in capital, workforce, or grant funding faces real operational stress, even when measured quality is preserved. The hypertension finding is consistent with—but does not prove—a mechanism in which displaced patients receiving primary care at a CHC, rather than no primary care or episodic emergency department care, achieve better blood pressure control than they would absent the closure. The null findings on payer mix indicate that closure-affected CHCs absorbed a representative cross-section of the local population rather than a disproportionately uninsured or insured slice.</w:t>
      </w:r>
    </w:p>
    <w:p>
      <w:pPr>
        <w:spacing w:lineRule="auto" w:line="360" w:after="120" w:before="0"/>
      </w:pPr>
      <w:r>
        <w:rPr>
          <w:rFonts w:ascii="Cambria Math" w:hAnsi="Cambria Math" w:cs="Cambria Math" w:eastAsia="Cambria Math"/>
          <w:b w:val="0"/>
          <w:i w:val="0"/>
          <w:color w:val="000000"/>
          <w:sz w:val="22"/>
        </w:rPr>
        <w:t>The findings carry direct policy implications for the Health Center Program's "policy quilt." First, federal capacity investment—through 330 grants, PPS rate adequacy, and workforce programs (NHSC, Teaching Health Centers)—appears to be paying a measurable safety-net dividend in communities undergoing rural hospital loss. Second, the 2025 reconciliation-law provisions projected to shift millions of CHC patients from Medicaid to uninsured coverage</w:t>
      </w:r>
      <w:r>
        <w:rPr>
          <w:rFonts w:ascii="Cambria Math" w:hAnsi="Cambria Math" w:cs="Cambria Math" w:eastAsia="Cambria Math"/>
          <w:b w:val="0"/>
          <w:i w:val="0"/>
          <w:color w:val="000000"/>
          <w:sz w:val="22"/>
          <w:vertAlign w:val="superscript"/>
        </w:rPr>
        <w:t>9,10</w:t>
      </w:r>
      <w:r>
        <w:rPr>
          <w:rFonts w:ascii="Cambria Math" w:hAnsi="Cambria Math" w:cs="Cambria Math" w:eastAsia="Cambria Math"/>
          <w:b w:val="0"/>
          <w:i w:val="0"/>
          <w:color w:val="000000"/>
          <w:sz w:val="22"/>
        </w:rPr>
        <w:t xml:space="preserve"> may interact with ongoing closure exposure: an absorptive system that performed well during 2014–2024 was operating with relatively stable Medicaid revenue per patient, conditions the law is expected to disrupt. Third, the absence of measurable quality erosion despite ~14% volume growth argues against rationing arguments and in favor of further investment in absorptive capacity, particularly in non-expansion states where closures and CHC reliance are concentrated.</w:t>
      </w:r>
    </w:p>
    <w:p>
      <w:pPr>
        <w:spacing w:lineRule="auto" w:line="360" w:after="120" w:before="0"/>
      </w:pPr>
      <w:r>
        <w:rPr>
          <w:rFonts w:ascii="Cambria Math" w:hAnsi="Cambria Math" w:cs="Cambria Math" w:eastAsia="Cambria Math"/>
          <w:b/>
          <w:i w:val="0"/>
          <w:color w:val="000000"/>
          <w:sz w:val="22"/>
        </w:rPr>
        <w:t>Limitations.</w:t>
      </w:r>
      <w:r>
        <w:rPr>
          <w:rFonts w:ascii="Cambria Math" w:hAnsi="Cambria Math" w:cs="Cambria Math" w:eastAsia="Cambria Math"/>
          <w:b w:val="0"/>
          <w:i w:val="0"/>
          <w:color w:val="000000"/>
          <w:sz w:val="22"/>
        </w:rPr>
        <w:t xml:space="preserve"> UDS clinical measures are reported at the center level and do not capture patient-level severity or continuity. The exposure definition uses ZIP-code service area overlap rather than measured travel distance; some "exposed" CHCs may serve a closure-affected ZIP only marginally. The Sheps registry does not capture all hospital-system service contractions short of closure (e.g., obstetric or emergency-department service-line drops). The study period spans the COVID-19 pandemic, which produced large idiosyncratic shocks to CHC operations; cohort-specific event-time estimates absorb pandemic shocks differentially across treatment groups. The analysis is reduced-form: we estimate net effects on absorbing CHCs but cannot decompose contributions from displaced patients, in-migration, or pre-existing CHC-growth trends. Finally, with 11 pre-specified outcomes only the volume and hypertension findings survive multiple-testing correction; the eight non-significant outcomes cannot be interpreted as evidence of true null effects, and one outcome (childhood immunization) reached nominal but not corrected significance and should be re-examined in dedicated future work using patient-level data.</w:t>
      </w:r>
    </w:p>
    <w:p>
      <w:pPr>
        <w:spacing w:lineRule="auto" w:line="360" w:after="120" w:before="0"/>
      </w:pPr>
      <w:r>
        <w:rPr>
          <w:rFonts w:ascii="Cambria Math" w:hAnsi="Cambria Math" w:cs="Cambria Math" w:eastAsia="Cambria Math"/>
          <w:b/>
          <w:i w:val="0"/>
          <w:color w:val="000000"/>
          <w:sz w:val="22"/>
        </w:rPr>
        <w:t>Conclusion.</w:t>
      </w:r>
      <w:r>
        <w:rPr>
          <w:rFonts w:ascii="Cambria Math" w:hAnsi="Cambria Math" w:cs="Cambria Math" w:eastAsia="Cambria Math"/>
          <w:b w:val="0"/>
          <w:i w:val="0"/>
          <w:color w:val="000000"/>
          <w:sz w:val="22"/>
        </w:rPr>
        <w:t xml:space="preserve"> Community health centers absorbed substantial demand following local rural hospital closures from 2014 through 2024 without measurable deterioration in clinical quality and with modest improvement in hypertension control. Continued federal investment in CHC absorptive capacity is warranted in rural communities at ongoing risk of hospital loss.</w:t>
      </w:r>
    </w:p>
    <w:p>
      <w:pPr>
        <w:spacing w:lineRule="auto" w:line="360" w:after="120" w:before="0"/>
      </w:pPr>
      <w:r>
        <w:rPr>
          <w:rFonts w:ascii="Cambria Math" w:hAnsi="Cambria Math" w:cs="Cambria Math" w:eastAsia="Cambria Math"/>
          <w:b w:val="0"/>
          <w:i w:val="0"/>
          <w:color w:val="000000"/>
          <w:sz w:val="22"/>
        </w:rPr>
        <w:t>---</w:t>
      </w:r>
    </w:p>
    <w:p>
      <w:pPr>
        <w:spacing w:lineRule="auto" w:line="360" w:after="160" w:before="0"/>
      </w:pPr>
      <w:r>
        <w:rPr>
          <w:rFonts w:ascii="Cambria Math" w:hAnsi="Cambria Math" w:cs="Cambria Math" w:eastAsia="Cambria Math"/>
          <w:b/>
          <w:i w:val="0"/>
          <w:color w:val="000000"/>
          <w:sz w:val="24"/>
        </w:rPr>
        <w:t>Acknowledgments</w:t>
      </w:r>
    </w:p>
    <w:p>
      <w:pPr>
        <w:spacing w:lineRule="auto" w:line="360" w:after="120" w:before="0"/>
      </w:pPr>
      <w:r>
        <w:rPr>
          <w:rFonts w:ascii="Cambria Math" w:hAnsi="Cambria Math" w:cs="Cambria Math" w:eastAsia="Cambria Math"/>
          <w:b w:val="0"/>
          <w:i w:val="0"/>
          <w:color w:val="000000"/>
          <w:sz w:val="22"/>
        </w:rPr>
        <w:t>The author thanks the UNC Sheps Center Rural Hospital Closures team for maintaining the closure registry. UDS data were obtained from the HRSA Bureau of Primary Health Care Electronic Reading Room. No external funding supported this analysis.</w:t>
      </w:r>
    </w:p>
    <w:p>
      <w:pPr>
        <w:spacing w:lineRule="auto" w:line="360" w:after="160" w:before="0"/>
      </w:pPr>
      <w:r>
        <w:rPr>
          <w:rFonts w:ascii="Cambria Math" w:hAnsi="Cambria Math" w:cs="Cambria Math" w:eastAsia="Cambria Math"/>
          <w:b/>
          <w:i w:val="0"/>
          <w:color w:val="000000"/>
          <w:sz w:val="24"/>
        </w:rPr>
        <w:t>Acknowledgments</w:t>
      </w:r>
    </w:p>
    <w:p>
      <w:pPr>
        <w:spacing w:lineRule="auto" w:line="360" w:after="120" w:before="0"/>
      </w:pPr>
      <w:r>
        <w:rPr>
          <w:rFonts w:ascii="Cambria Math" w:hAnsi="Cambria Math" w:cs="Cambria Math" w:eastAsia="Cambria Math"/>
          <w:b w:val="0"/>
          <w:i w:val="0"/>
          <w:color w:val="000000"/>
          <w:sz w:val="22"/>
        </w:rPr>
        <w:t>The author thanks the UNC Sheps Center Rural Hospital Closures team for maintaining the closure registry. UDS data were obtained from the HRSA Bureau of Primary Health Care Electronic Reading Room. No external funding supported this analysis.</w:t>
      </w:r>
    </w:p>
    <w:p>
      <w:pPr>
        <w:spacing w:lineRule="auto" w:line="360" w:after="160" w:before="0"/>
      </w:pPr>
      <w:r>
        <w:rPr>
          <w:rFonts w:ascii="Cambria Math" w:hAnsi="Cambria Math" w:cs="Cambria Math" w:eastAsia="Cambria Math"/>
          <w:b/>
          <w:i w:val="0"/>
          <w:color w:val="000000"/>
          <w:sz w:val="24"/>
        </w:rPr>
        <w:t>References</w:t>
      </w:r>
    </w:p>
    <w:p>
      <w:pPr>
        <w:spacing w:lineRule="auto" w:line="360" w:after="120" w:before="0"/>
      </w:pPr>
      <w:r>
        <w:rPr>
          <w:rFonts w:ascii="Cambria Math" w:hAnsi="Cambria Math" w:cs="Cambria Math" w:eastAsia="Cambria Math"/>
          <w:b w:val="0"/>
          <w:i w:val="0"/>
          <w:color w:val="000000"/>
          <w:sz w:val="22"/>
        </w:rPr>
        <w:t>1. Kaufman BG, Thomas SR, Randolph RK, et al. The rising rate of rural hospital closures. J Rural Health. 2016 Winter;32(1):35-43.</w:t>
      </w:r>
    </w:p>
    <w:p>
      <w:pPr>
        <w:spacing w:lineRule="auto" w:line="360" w:after="120" w:before="0"/>
      </w:pPr>
      <w:r>
        <w:rPr>
          <w:rFonts w:ascii="Cambria Math" w:hAnsi="Cambria Math" w:cs="Cambria Math" w:eastAsia="Cambria Math"/>
          <w:b w:val="0"/>
          <w:i w:val="0"/>
          <w:color w:val="000000"/>
          <w:sz w:val="22"/>
        </w:rPr>
        <w:t>2. Germack HD, Kandrack R, Martsolf GR. When rural hospitals close, the physician workforce goes. Health Aff (Millwood). 2019 Dec;38(12):2086-94.</w:t>
      </w:r>
    </w:p>
    <w:p>
      <w:pPr>
        <w:spacing w:lineRule="auto" w:line="360" w:after="120" w:before="0"/>
      </w:pPr>
      <w:r>
        <w:rPr>
          <w:rFonts w:ascii="Cambria Math" w:hAnsi="Cambria Math" w:cs="Cambria Math" w:eastAsia="Cambria Math"/>
          <w:b w:val="0"/>
          <w:i w:val="0"/>
          <w:color w:val="000000"/>
          <w:sz w:val="22"/>
        </w:rPr>
        <w:t>3. Troske S, Davis A. Do hospital closures affect patient time in an ambulance? Lexington (KY): Rural and Underserved Health Research Center, University of Kentucky, 2019. Available at: https://uknowledge.uky.edu/ruhrc_reports/8.</w:t>
      </w:r>
    </w:p>
    <w:p>
      <w:pPr>
        <w:spacing w:lineRule="auto" w:line="360" w:after="120" w:before="0"/>
      </w:pPr>
      <w:r>
        <w:rPr>
          <w:rFonts w:ascii="Cambria Math" w:hAnsi="Cambria Math" w:cs="Cambria Math" w:eastAsia="Cambria Math"/>
          <w:b w:val="0"/>
          <w:i w:val="0"/>
          <w:color w:val="000000"/>
          <w:sz w:val="22"/>
        </w:rPr>
        <w:t>4. Holmes GM, Slifkin RT, Randolph RK, et al. The effect of rural hospital closures on community economic health. Health Serv Res. 2006 Apr;41(2):467-85.</w:t>
      </w:r>
    </w:p>
    <w:p>
      <w:pPr>
        <w:spacing w:lineRule="auto" w:line="360" w:after="120" w:before="0"/>
      </w:pPr>
      <w:r>
        <w:rPr>
          <w:rFonts w:ascii="Cambria Math" w:hAnsi="Cambria Math" w:cs="Cambria Math" w:eastAsia="Cambria Math"/>
          <w:b w:val="0"/>
          <w:i w:val="0"/>
          <w:color w:val="000000"/>
          <w:sz w:val="22"/>
        </w:rPr>
        <w:t>5. Adashi EY, Geiger HJ, Fine MD. Health care reform and primary care—the growing importance of the community health center. N Engl J Med. 2010 Jun 3;362(22):2047-50.</w:t>
      </w:r>
    </w:p>
    <w:p>
      <w:pPr>
        <w:spacing w:lineRule="auto" w:line="360" w:after="120" w:before="0"/>
      </w:pPr>
      <w:r>
        <w:rPr>
          <w:rFonts w:ascii="Cambria Math" w:hAnsi="Cambria Math" w:cs="Cambria Math" w:eastAsia="Cambria Math"/>
          <w:b w:val="0"/>
          <w:i w:val="0"/>
          <w:color w:val="000000"/>
          <w:sz w:val="22"/>
        </w:rPr>
        <w:t>6. Rosenbaum S, Paradise J, Markus AR, et al. Community health centers: recent growth and the role of the ACA. Washington (DC): Henry J. Kaiser Family Foundation, 2017.</w:t>
      </w:r>
    </w:p>
    <w:p>
      <w:pPr>
        <w:spacing w:lineRule="auto" w:line="360" w:after="120" w:before="0"/>
      </w:pPr>
      <w:r>
        <w:rPr>
          <w:rFonts w:ascii="Cambria Math" w:hAnsi="Cambria Math" w:cs="Cambria Math" w:eastAsia="Cambria Math"/>
          <w:b w:val="0"/>
          <w:i w:val="0"/>
          <w:color w:val="000000"/>
          <w:sz w:val="22"/>
        </w:rPr>
        <w:t>7. Miller KEM, Miller KL, Knocke K, et al. Access to outpatient services in rural communities changes after hospital closure. Health Serv Res. 2021 Oct;56(5):788-801.</w:t>
      </w:r>
    </w:p>
    <w:p>
      <w:pPr>
        <w:spacing w:lineRule="auto" w:line="360" w:after="120" w:before="0"/>
      </w:pPr>
      <w:r>
        <w:rPr>
          <w:rFonts w:ascii="Cambria Math" w:hAnsi="Cambria Math" w:cs="Cambria Math" w:eastAsia="Cambria Math"/>
          <w:b w:val="0"/>
          <w:i w:val="0"/>
          <w:color w:val="000000"/>
          <w:sz w:val="22"/>
        </w:rPr>
        <w:t>8. Basu S, Phillips R, Hoang H. Impact of community health center losses on county-level mortality: a natural experiment in the United States, 2011-2019. Health Serv Res. 2025 Oct;60(5):e14648.</w:t>
      </w:r>
    </w:p>
    <w:p>
      <w:pPr>
        <w:spacing w:lineRule="auto" w:line="360" w:after="120" w:before="0"/>
      </w:pPr>
      <w:r>
        <w:rPr>
          <w:rFonts w:ascii="Cambria Math" w:hAnsi="Cambria Math" w:cs="Cambria Math" w:eastAsia="Cambria Math"/>
          <w:b w:val="0"/>
          <w:i w:val="0"/>
          <w:color w:val="000000"/>
          <w:sz w:val="22"/>
        </w:rPr>
        <w:t>9. Tolbert J, Drake P, Cervantes S. Nearly 5.6 million community health center patients could lose Medicaid coverage under new work requirements, with revenue losses up to $32 billion. New York (NY): Commonwealth Fund, May 30, 2025. Available at: https://www.commonwealthfund.org/blog/2025/community-health-center-patients-medicaid-coverage-work-requirements.</w:t>
      </w:r>
    </w:p>
    <w:p>
      <w:pPr>
        <w:spacing w:lineRule="auto" w:line="360" w:after="120" w:before="0"/>
      </w:pPr>
      <w:r>
        <w:rPr>
          <w:rFonts w:ascii="Cambria Math" w:hAnsi="Cambria Math" w:cs="Cambria Math" w:eastAsia="Cambria Math"/>
          <w:b w:val="0"/>
          <w:i w:val="0"/>
          <w:color w:val="000000"/>
          <w:sz w:val="22"/>
        </w:rPr>
        <w:t>10. Kwon KN, Nketiah L, Jacobs F, et al. Community health centers grew through 2023, but serious hazards are on the horizon. Geiger Gibson/RCHN Community Health Foundation Research Collaborative Policy Issue Brief No. 72. Washington (DC): The George Washington University, September 2024.</w:t>
      </w:r>
    </w:p>
    <w:p>
      <w:pPr>
        <w:spacing w:lineRule="auto" w:line="360" w:after="120" w:before="0"/>
      </w:pPr>
      <w:r>
        <w:rPr>
          <w:rFonts w:ascii="Cambria Math" w:hAnsi="Cambria Math" w:cs="Cambria Math" w:eastAsia="Cambria Math"/>
          <w:b w:val="0"/>
          <w:i w:val="0"/>
          <w:color w:val="000000"/>
          <w:sz w:val="22"/>
        </w:rPr>
        <w:t>11. Rosenbaum S, Sharac J, Shin P, et al. Community health center financing: the role of Medicaid and Section 330 grant funding explained. Washington (DC): Henry J. Kaiser Family Foundation, March 2019.</w:t>
      </w:r>
    </w:p>
    <w:p>
      <w:pPr>
        <w:spacing w:lineRule="auto" w:line="360" w:after="120" w:before="0"/>
      </w:pPr>
      <w:r>
        <w:rPr>
          <w:rFonts w:ascii="Cambria Math" w:hAnsi="Cambria Math" w:cs="Cambria Math" w:eastAsia="Cambria Math"/>
          <w:b w:val="0"/>
          <w:i w:val="0"/>
          <w:color w:val="000000"/>
          <w:sz w:val="22"/>
        </w:rPr>
        <w:t>12. Callaway B, Sant'Anna PHC. Difference-in-differences with multiple time periods. J Econom. 2021 Dec;225(2):200-30.</w:t>
      </w:r>
    </w:p>
    <w:p>
      <w:pPr>
        <w:spacing w:lineRule="auto" w:line="360" w:after="120" w:before="0"/>
      </w:pPr>
      <w:r>
        <w:rPr>
          <w:rFonts w:ascii="Cambria Math" w:hAnsi="Cambria Math" w:cs="Cambria Math" w:eastAsia="Cambria Math"/>
          <w:b w:val="0"/>
          <w:i w:val="0"/>
          <w:color w:val="000000"/>
          <w:sz w:val="22"/>
        </w:rPr>
        <w:t>13. Goodman-Bacon A. Difference-in-differences with variation in treatment timing. J Econom. 2021 Dec;225(2):254-77.</w:t>
      </w:r>
    </w:p>
    <w:p>
      <w:pPr>
        <w:spacing w:lineRule="auto" w:line="360" w:after="120" w:before="0"/>
      </w:pPr>
      <w:r>
        <w:rPr>
          <w:rFonts w:ascii="Cambria Math" w:hAnsi="Cambria Math" w:cs="Cambria Math" w:eastAsia="Cambria Math"/>
          <w:b w:val="0"/>
          <w:i w:val="0"/>
          <w:color w:val="000000"/>
          <w:sz w:val="22"/>
        </w:rPr>
        <w:t>14. de Chaisemartin C, D'Haultfœuille X. Two-way fixed effects estimators with heterogeneous treatment effects. Am Econ Rev. 2020 Sep;110(9):2964-96.</w:t>
      </w:r>
    </w:p>
    <w:p>
      <w:pPr>
        <w:spacing w:lineRule="auto" w:line="360" w:after="120" w:before="0"/>
      </w:pPr>
      <w:r>
        <w:rPr>
          <w:rFonts w:ascii="Cambria Math" w:hAnsi="Cambria Math" w:cs="Cambria Math" w:eastAsia="Cambria Math"/>
          <w:b w:val="0"/>
          <w:i w:val="0"/>
          <w:color w:val="000000"/>
          <w:sz w:val="22"/>
        </w:rPr>
        <w:t>15. Benjamini Y, Hochberg Y. Controlling the false discovery rate: a practical and powerful approach to multiple testing. J R Stat Soc Series B. 1995;57(1):289-300.</w:t>
      </w:r>
    </w:p>
    <w:p>
      <w:pPr>
        <w:spacing w:lineRule="auto" w:line="360" w:after="120" w:before="0"/>
      </w:pPr>
      <w:r>
        <w:rPr>
          <w:rFonts w:ascii="Cambria Math" w:hAnsi="Cambria Math" w:cs="Cambria Math" w:eastAsia="Cambria Math"/>
          <w:b w:val="0"/>
          <w:i w:val="0"/>
          <w:color w:val="000000"/>
          <w:sz w:val="22"/>
        </w:rPr>
        <w:t>16. Benjamini Y, Yekutieli D. The control of the false discovery rate in multiple testing under dependency. Ann Stat. 2001 Aug;29(4):1165-88.</w:t>
      </w:r>
    </w:p>
    <w:p>
      <w:pPr>
        <w:spacing w:lineRule="auto" w:line="360" w:after="120" w:before="0"/>
      </w:pPr>
      <w:r>
        <w:rPr>
          <w:rFonts w:ascii="Cambria Math" w:hAnsi="Cambria Math" w:cs="Cambria Math" w:eastAsia="Cambria Math"/>
          <w:b w:val="0"/>
          <w:i w:val="0"/>
          <w:color w:val="000000"/>
          <w:sz w:val="22"/>
        </w:rPr>
        <w:t>17. Romano JP, Wolf M. Stepwise multiple testing as formalized data snooping. Econometrica. 2005 Jul;73(4):1237-82.</w:t>
      </w:r>
    </w:p>
    <w:p>
      <w:r>
        <w:br w:type="page"/>
      </w:r>
    </w:p>
    <w:p>
      <w:pPr>
        <w:spacing w:lineRule="auto" w:line="360" w:after="160" w:before="0"/>
      </w:pPr>
      <w:r>
        <w:rPr>
          <w:rFonts w:ascii="Cambria Math" w:hAnsi="Cambria Math" w:cs="Cambria Math" w:eastAsia="Cambria Math"/>
          <w:b/>
          <w:i w:val="0"/>
          <w:color w:val="000000"/>
          <w:sz w:val="24"/>
        </w:rPr>
        <w:t>Figures and Tables</w:t>
      </w:r>
    </w:p>
    <w:p>
      <w:pPr>
        <w:spacing w:lineRule="auto" w:line="360" w:after="120" w:before="0"/>
      </w:pPr>
      <w:r>
        <w:rPr>
          <w:rFonts w:ascii="Cambria Math" w:hAnsi="Cambria Math" w:cs="Cambria Math" w:eastAsia="Cambria Math"/>
          <w:b/>
          <w:i w:val="0"/>
          <w:color w:val="000000"/>
          <w:sz w:val="22"/>
        </w:rPr>
        <w:t>Figure 1.</w:t>
      </w:r>
      <w:r>
        <w:rPr>
          <w:rFonts w:ascii="Cambria Math" w:hAnsi="Cambria Math" w:cs="Cambria Math" w:eastAsia="Cambria Math"/>
          <w:b w:val="0"/>
          <w:i w:val="0"/>
          <w:color w:val="000000"/>
          <w:sz w:val="22"/>
        </w:rPr>
        <w:t xml:space="preserve"> Forest plot of Callaway–Sant'Anna simple ATTs across all 11 pre-specified outcomes, exposed vs. never-exposed CHCs, 2014–2024. Blue intervals indicate statistical significance at 5% (raw p&lt;0.05); intervals are 95% confidence intervals.</w:t>
      </w:r>
    </w:p>
    <w:p>
      <w:pPr>
        <w:spacing w:lineRule="auto" w:line="360" w:after="120" w:before="0"/>
        <w:jc w:val="center"/>
      </w:pPr>
      <w:r>
        <w:drawing>
          <wp:inline xmlns:a="http://schemas.openxmlformats.org/drawingml/2006/main" xmlns:pic="http://schemas.openxmlformats.org/drawingml/2006/picture">
            <wp:extent cx="5943600" cy="4343708"/>
            <wp:docPr id="1" name="Picture 1"/>
            <wp:cNvGraphicFramePr>
              <a:graphicFrameLocks noChangeAspect="1"/>
            </wp:cNvGraphicFramePr>
            <a:graphic>
              <a:graphicData uri="http://schemas.openxmlformats.org/drawingml/2006/picture">
                <pic:pic>
                  <pic:nvPicPr>
                    <pic:cNvPr id="0" name="fig2_forest_all_outcomes.png"/>
                    <pic:cNvPicPr/>
                  </pic:nvPicPr>
                  <pic:blipFill>
                    <a:blip r:embed="rId9"/>
                    <a:stretch>
                      <a:fillRect/>
                    </a:stretch>
                  </pic:blipFill>
                  <pic:spPr>
                    <a:xfrm>
                      <a:off x="0" y="0"/>
                      <a:ext cx="5943600" cy="4343708"/>
                    </a:xfrm>
                    <a:prstGeom prst="rect"/>
                  </pic:spPr>
                </pic:pic>
              </a:graphicData>
            </a:graphic>
          </wp:inline>
        </w:drawing>
      </w:r>
    </w:p>
    <w:p>
      <w:pPr>
        <w:spacing w:lineRule="auto" w:line="360" w:after="120" w:before="0"/>
      </w:pPr>
      <w:r>
        <w:rPr>
          <w:rFonts w:ascii="Cambria Math" w:hAnsi="Cambria Math" w:cs="Cambria Math" w:eastAsia="Cambria Math"/>
          <w:b/>
          <w:i w:val="0"/>
          <w:color w:val="000000"/>
          <w:sz w:val="22"/>
        </w:rPr>
        <w:t>Figure 2.</w:t>
      </w:r>
      <w:r>
        <w:rPr>
          <w:rFonts w:ascii="Cambria Math" w:hAnsi="Cambria Math" w:cs="Cambria Math" w:eastAsia="Cambria Math"/>
          <w:b w:val="0"/>
          <w:i w:val="0"/>
          <w:color w:val="000000"/>
          <w:sz w:val="22"/>
        </w:rPr>
        <w:t xml:space="preserve"> Event-study Callaway–Sant'Anna ATT estimates by relative period for all 11 outcomes. Red filled circles indicate event-time-specific 95% pointwise confidence bands excluding zero. Reference period: year before exposure.</w:t>
      </w:r>
    </w:p>
    <w:p>
      <w:pPr>
        <w:spacing w:lineRule="auto" w:line="360" w:after="120" w:before="0"/>
        <w:jc w:val="center"/>
      </w:pPr>
      <w:r>
        <w:drawing>
          <wp:inline xmlns:a="http://schemas.openxmlformats.org/drawingml/2006/main" xmlns:pic="http://schemas.openxmlformats.org/drawingml/2006/picture">
            <wp:extent cx="5943600" cy="6286601"/>
            <wp:docPr id="2" name="Picture 2"/>
            <wp:cNvGraphicFramePr>
              <a:graphicFrameLocks noChangeAspect="1"/>
            </wp:cNvGraphicFramePr>
            <a:graphic>
              <a:graphicData uri="http://schemas.openxmlformats.org/drawingml/2006/picture">
                <pic:pic>
                  <pic:nvPicPr>
                    <pic:cNvPr id="0" name="fig3_event_panels.png"/>
                    <pic:cNvPicPr/>
                  </pic:nvPicPr>
                  <pic:blipFill>
                    <a:blip r:embed="rId10"/>
                    <a:stretch>
                      <a:fillRect/>
                    </a:stretch>
                  </pic:blipFill>
                  <pic:spPr>
                    <a:xfrm>
                      <a:off x="0" y="0"/>
                      <a:ext cx="5943600" cy="6286601"/>
                    </a:xfrm>
                    <a:prstGeom prst="rect"/>
                  </pic:spPr>
                </pic:pic>
              </a:graphicData>
            </a:graphic>
          </wp:inline>
        </w:drawing>
      </w:r>
    </w:p>
    <w:p>
      <w:pPr>
        <w:spacing w:lineRule="auto" w:line="360" w:after="120" w:before="0"/>
      </w:pPr>
      <w:r>
        <w:rPr>
          <w:rFonts w:ascii="Cambria Math" w:hAnsi="Cambria Math" w:cs="Cambria Math" w:eastAsia="Cambria Math"/>
          <w:b/>
          <w:i w:val="0"/>
          <w:color w:val="000000"/>
          <w:sz w:val="22"/>
        </w:rPr>
        <w:t>Table 1.</w:t>
      </w:r>
      <w:r>
        <w:rPr>
          <w:rFonts w:ascii="Cambria Math" w:hAnsi="Cambria Math" w:cs="Cambria Math" w:eastAsia="Cambria Math"/>
          <w:b w:val="0"/>
          <w:i w:val="0"/>
          <w:color w:val="000000"/>
          <w:sz w:val="22"/>
        </w:rPr>
        <w:t xml:space="preserve"> Baseline (2014) characteristics of CHCs by closure exposure.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lineRule="auto" w:line="276" w:after="40" w:before="0"/>
            </w:pPr>
            <w:r/>
            <w:r>
              <w:rPr>
                <w:rFonts w:ascii="Cambria Math" w:hAnsi="Cambria Math" w:cs="Cambria Math" w:eastAsia="Cambria Math"/>
                <w:b/>
                <w:i w:val="0"/>
                <w:color w:val="000000"/>
                <w:sz w:val="20"/>
              </w:rPr>
              <w:t>Characteristic</w:t>
            </w:r>
          </w:p>
        </w:tc>
        <w:tc>
          <w:tcPr>
            <w:tcW w:type="dxa" w:w="2880"/>
          </w:tcPr>
          <w:p>
            <w:pPr>
              <w:spacing w:lineRule="auto" w:line="276" w:after="40" w:before="0"/>
            </w:pPr>
            <w:r/>
            <w:r>
              <w:rPr>
                <w:rFonts w:ascii="Cambria Math" w:hAnsi="Cambria Math" w:cs="Cambria Math" w:eastAsia="Cambria Math"/>
                <w:b/>
                <w:i w:val="0"/>
                <w:color w:val="000000"/>
                <w:sz w:val="20"/>
              </w:rPr>
              <w:t>Never exposed</w:t>
            </w:r>
          </w:p>
        </w:tc>
        <w:tc>
          <w:tcPr>
            <w:tcW w:type="dxa" w:w="2880"/>
          </w:tcPr>
          <w:p>
            <w:pPr>
              <w:spacing w:lineRule="auto" w:line="276" w:after="40" w:before="0"/>
            </w:pPr>
            <w:r/>
            <w:r>
              <w:rPr>
                <w:rFonts w:ascii="Cambria Math" w:hAnsi="Cambria Math" w:cs="Cambria Math" w:eastAsia="Cambria Math"/>
                <w:b/>
                <w:i w:val="0"/>
                <w:color w:val="000000"/>
                <w:sz w:val="20"/>
              </w:rPr>
              <w:t>Exposed (ever)</w:t>
            </w:r>
          </w:p>
        </w:tc>
      </w:tr>
      <w:tr>
        <w:tc>
          <w:tcPr>
            <w:tcW w:type="dxa" w:w="2880"/>
          </w:tcPr>
          <w:p>
            <w:pPr>
              <w:spacing w:lineRule="auto" w:line="276" w:after="40" w:before="0"/>
            </w:pPr>
            <w:r/>
            <w:r>
              <w:rPr>
                <w:rFonts w:ascii="Cambria Math" w:hAnsi="Cambria Math" w:cs="Cambria Math" w:eastAsia="Cambria Math"/>
                <w:b w:val="0"/>
                <w:i w:val="0"/>
                <w:color w:val="000000"/>
                <w:sz w:val="20"/>
              </w:rPr>
              <w:t>N (CHCs)</w:t>
            </w:r>
          </w:p>
        </w:tc>
        <w:tc>
          <w:tcPr>
            <w:tcW w:type="dxa" w:w="2880"/>
          </w:tcPr>
          <w:p>
            <w:pPr>
              <w:spacing w:lineRule="auto" w:line="276" w:after="40" w:before="0"/>
            </w:pPr>
            <w:r/>
            <w:r>
              <w:rPr>
                <w:rFonts w:ascii="Cambria Math" w:hAnsi="Cambria Math" w:cs="Cambria Math" w:eastAsia="Cambria Math"/>
                <w:b w:val="0"/>
                <w:i w:val="0"/>
                <w:color w:val="000000"/>
                <w:sz w:val="20"/>
              </w:rPr>
              <w:t>1,013</w:t>
            </w:r>
          </w:p>
        </w:tc>
        <w:tc>
          <w:tcPr>
            <w:tcW w:type="dxa" w:w="2880"/>
          </w:tcPr>
          <w:p>
            <w:pPr>
              <w:spacing w:lineRule="auto" w:line="276" w:after="40" w:before="0"/>
            </w:pPr>
            <w:r/>
            <w:r>
              <w:rPr>
                <w:rFonts w:ascii="Cambria Math" w:hAnsi="Cambria Math" w:cs="Cambria Math" w:eastAsia="Cambria Math"/>
                <w:b w:val="0"/>
                <w:i w:val="0"/>
                <w:color w:val="000000"/>
                <w:sz w:val="20"/>
              </w:rPr>
              <w:t>340</w:t>
            </w:r>
          </w:p>
        </w:tc>
      </w:tr>
      <w:tr>
        <w:tc>
          <w:tcPr>
            <w:tcW w:type="dxa" w:w="2880"/>
          </w:tcPr>
          <w:p>
            <w:pPr>
              <w:spacing w:lineRule="auto" w:line="276" w:after="40" w:before="0"/>
            </w:pPr>
            <w:r/>
            <w:r>
              <w:rPr>
                <w:rFonts w:ascii="Cambria Math" w:hAnsi="Cambria Math" w:cs="Cambria Math" w:eastAsia="Cambria Math"/>
                <w:b w:val="0"/>
                <w:i w:val="0"/>
                <w:color w:val="000000"/>
                <w:sz w:val="20"/>
              </w:rPr>
              <w:t>Total patients, median [IQR]</w:t>
            </w:r>
          </w:p>
        </w:tc>
        <w:tc>
          <w:tcPr>
            <w:tcW w:type="dxa" w:w="2880"/>
          </w:tcPr>
          <w:p>
            <w:pPr>
              <w:spacing w:lineRule="auto" w:line="276" w:after="40" w:before="0"/>
            </w:pPr>
            <w:r/>
            <w:r>
              <w:rPr>
                <w:rFonts w:ascii="Cambria Math" w:hAnsi="Cambria Math" w:cs="Cambria Math" w:eastAsia="Cambria Math"/>
                <w:b w:val="0"/>
                <w:i w:val="0"/>
                <w:color w:val="000000"/>
                <w:sz w:val="20"/>
              </w:rPr>
              <w:t>10,012 [4,419, 20,968]</w:t>
            </w:r>
          </w:p>
        </w:tc>
        <w:tc>
          <w:tcPr>
            <w:tcW w:type="dxa" w:w="2880"/>
          </w:tcPr>
          <w:p>
            <w:pPr>
              <w:spacing w:lineRule="auto" w:line="276" w:after="40" w:before="0"/>
            </w:pPr>
            <w:r/>
            <w:r>
              <w:rPr>
                <w:rFonts w:ascii="Cambria Math" w:hAnsi="Cambria Math" w:cs="Cambria Math" w:eastAsia="Cambria Math"/>
                <w:b w:val="0"/>
                <w:i w:val="0"/>
                <w:color w:val="000000"/>
                <w:sz w:val="20"/>
              </w:rPr>
              <w:t>12,182 [6,037, 25,834]</w:t>
            </w:r>
          </w:p>
        </w:tc>
      </w:tr>
      <w:tr>
        <w:tc>
          <w:tcPr>
            <w:tcW w:type="dxa" w:w="2880"/>
          </w:tcPr>
          <w:p>
            <w:pPr>
              <w:spacing w:lineRule="auto" w:line="276" w:after="40" w:before="0"/>
            </w:pPr>
            <w:r/>
            <w:r>
              <w:rPr>
                <w:rFonts w:ascii="Cambria Math" w:hAnsi="Cambria Math" w:cs="Cambria Math" w:eastAsia="Cambria Math"/>
                <w:b w:val="0"/>
                <w:i w:val="0"/>
                <w:color w:val="000000"/>
                <w:sz w:val="20"/>
              </w:rPr>
              <w:t>Uninsured share</w:t>
            </w:r>
          </w:p>
        </w:tc>
        <w:tc>
          <w:tcPr>
            <w:tcW w:type="dxa" w:w="2880"/>
          </w:tcPr>
          <w:p>
            <w:pPr>
              <w:spacing w:lineRule="auto" w:line="276" w:after="40" w:before="0"/>
            </w:pPr>
            <w:r/>
            <w:r>
              <w:rPr>
                <w:rFonts w:ascii="Cambria Math" w:hAnsi="Cambria Math" w:cs="Cambria Math" w:eastAsia="Cambria Math"/>
                <w:b w:val="0"/>
                <w:i w:val="0"/>
                <w:color w:val="000000"/>
                <w:sz w:val="20"/>
              </w:rPr>
              <w:t>28.2%</w:t>
            </w:r>
          </w:p>
        </w:tc>
        <w:tc>
          <w:tcPr>
            <w:tcW w:type="dxa" w:w="2880"/>
          </w:tcPr>
          <w:p>
            <w:pPr>
              <w:spacing w:lineRule="auto" w:line="276" w:after="40" w:before="0"/>
            </w:pPr>
            <w:r/>
            <w:r>
              <w:rPr>
                <w:rFonts w:ascii="Cambria Math" w:hAnsi="Cambria Math" w:cs="Cambria Math" w:eastAsia="Cambria Math"/>
                <w:b w:val="0"/>
                <w:i w:val="0"/>
                <w:color w:val="000000"/>
                <w:sz w:val="20"/>
              </w:rPr>
              <w:t>30.7%</w:t>
            </w:r>
          </w:p>
        </w:tc>
      </w:tr>
      <w:tr>
        <w:tc>
          <w:tcPr>
            <w:tcW w:type="dxa" w:w="2880"/>
          </w:tcPr>
          <w:p>
            <w:pPr>
              <w:spacing w:lineRule="auto" w:line="276" w:after="40" w:before="0"/>
            </w:pPr>
            <w:r/>
            <w:r>
              <w:rPr>
                <w:rFonts w:ascii="Cambria Math" w:hAnsi="Cambria Math" w:cs="Cambria Math" w:eastAsia="Cambria Math"/>
                <w:b w:val="0"/>
                <w:i w:val="0"/>
                <w:color w:val="000000"/>
                <w:sz w:val="20"/>
              </w:rPr>
              <w:t>Medicaid share</w:t>
            </w:r>
          </w:p>
        </w:tc>
        <w:tc>
          <w:tcPr>
            <w:tcW w:type="dxa" w:w="2880"/>
          </w:tcPr>
          <w:p>
            <w:pPr>
              <w:spacing w:lineRule="auto" w:line="276" w:after="40" w:before="0"/>
            </w:pPr>
            <w:r/>
            <w:r>
              <w:rPr>
                <w:rFonts w:ascii="Cambria Math" w:hAnsi="Cambria Math" w:cs="Cambria Math" w:eastAsia="Cambria Math"/>
                <w:b w:val="0"/>
                <w:i w:val="0"/>
                <w:color w:val="000000"/>
                <w:sz w:val="20"/>
              </w:rPr>
              <w:t>42.8%</w:t>
            </w:r>
          </w:p>
        </w:tc>
        <w:tc>
          <w:tcPr>
            <w:tcW w:type="dxa" w:w="2880"/>
          </w:tcPr>
          <w:p>
            <w:pPr>
              <w:spacing w:lineRule="auto" w:line="276" w:after="40" w:before="0"/>
            </w:pPr>
            <w:r/>
            <w:r>
              <w:rPr>
                <w:rFonts w:ascii="Cambria Math" w:hAnsi="Cambria Math" w:cs="Cambria Math" w:eastAsia="Cambria Math"/>
                <w:b w:val="0"/>
                <w:i w:val="0"/>
                <w:color w:val="000000"/>
                <w:sz w:val="20"/>
              </w:rPr>
              <w:t>35.8%</w:t>
            </w:r>
          </w:p>
        </w:tc>
      </w:tr>
      <w:tr>
        <w:tc>
          <w:tcPr>
            <w:tcW w:type="dxa" w:w="2880"/>
          </w:tcPr>
          <w:p>
            <w:pPr>
              <w:spacing w:lineRule="auto" w:line="276" w:after="40" w:before="0"/>
            </w:pPr>
            <w:r/>
            <w:r>
              <w:rPr>
                <w:rFonts w:ascii="Cambria Math" w:hAnsi="Cambria Math" w:cs="Cambria Math" w:eastAsia="Cambria Math"/>
                <w:b w:val="0"/>
                <w:i w:val="0"/>
                <w:color w:val="000000"/>
                <w:sz w:val="20"/>
              </w:rPr>
              <w:t>Rural-flagged centers</w:t>
            </w:r>
          </w:p>
        </w:tc>
        <w:tc>
          <w:tcPr>
            <w:tcW w:type="dxa" w:w="2880"/>
          </w:tcPr>
          <w:p>
            <w:pPr>
              <w:spacing w:lineRule="auto" w:line="276" w:after="40" w:before="0"/>
            </w:pPr>
            <w:r/>
            <w:r>
              <w:rPr>
                <w:rFonts w:ascii="Cambria Math" w:hAnsi="Cambria Math" w:cs="Cambria Math" w:eastAsia="Cambria Math"/>
                <w:b w:val="0"/>
                <w:i w:val="0"/>
                <w:color w:val="000000"/>
                <w:sz w:val="20"/>
              </w:rPr>
              <w:t>34.6%</w:t>
            </w:r>
          </w:p>
        </w:tc>
        <w:tc>
          <w:tcPr>
            <w:tcW w:type="dxa" w:w="2880"/>
          </w:tcPr>
          <w:p>
            <w:pPr>
              <w:spacing w:lineRule="auto" w:line="276" w:after="40" w:before="0"/>
            </w:pPr>
            <w:r/>
            <w:r>
              <w:rPr>
                <w:rFonts w:ascii="Cambria Math" w:hAnsi="Cambria Math" w:cs="Cambria Math" w:eastAsia="Cambria Math"/>
                <w:b w:val="0"/>
                <w:i w:val="0"/>
                <w:color w:val="000000"/>
                <w:sz w:val="20"/>
              </w:rPr>
              <w:t>55.4%</w:t>
            </w:r>
          </w:p>
        </w:tc>
      </w:tr>
    </w:tbl>
    <w:p>
      <w:pPr>
        <w:spacing w:lineRule="auto" w:line="360" w:after="120" w:before="0"/>
      </w:pPr>
      <w:r>
        <w:rPr>
          <w:rFonts w:ascii="Cambria Math" w:hAnsi="Cambria Math" w:cs="Cambria Math" w:eastAsia="Cambria Math"/>
          <w:b/>
          <w:i w:val="0"/>
          <w:color w:val="000000"/>
          <w:sz w:val="22"/>
        </w:rPr>
        <w:t>Table 2.</w:t>
      </w:r>
      <w:r>
        <w:rPr>
          <w:rFonts w:ascii="Cambria Math" w:hAnsi="Cambria Math" w:cs="Cambria Math" w:eastAsia="Cambria Math"/>
          <w:b w:val="0"/>
          <w:i w:val="0"/>
          <w:color w:val="000000"/>
          <w:sz w:val="22"/>
        </w:rPr>
        <w:t xml:space="preserve"> Callaway–Sant'Anna simple ATT estimates, exposed vs. never-exposed CHCs (n=1,642; 386 exposed). For log(Total patients), values are log units; for all other outcomes, percentage points (pp).</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lineRule="auto" w:line="276" w:after="40" w:before="0"/>
            </w:pPr>
            <w:r/>
            <w:r>
              <w:rPr>
                <w:rFonts w:ascii="Cambria Math" w:hAnsi="Cambria Math" w:cs="Cambria Math" w:eastAsia="Cambria Math"/>
                <w:b/>
                <w:i w:val="0"/>
                <w:color w:val="000000"/>
                <w:sz w:val="20"/>
              </w:rPr>
              <w:t>Outcome</w:t>
            </w:r>
          </w:p>
        </w:tc>
        <w:tc>
          <w:tcPr>
            <w:tcW w:type="dxa" w:w="2880"/>
          </w:tcPr>
          <w:p>
            <w:pPr>
              <w:spacing w:lineRule="auto" w:line="276" w:after="40" w:before="0"/>
            </w:pPr>
            <w:r/>
            <w:r>
              <w:rPr>
                <w:rFonts w:ascii="Cambria Math" w:hAnsi="Cambria Math" w:cs="Cambria Math" w:eastAsia="Cambria Math"/>
                <w:b/>
                <w:i w:val="0"/>
                <w:color w:val="000000"/>
                <w:sz w:val="20"/>
              </w:rPr>
              <w:t>Simple ATT</w:t>
            </w:r>
          </w:p>
        </w:tc>
        <w:tc>
          <w:tcPr>
            <w:tcW w:type="dxa" w:w="2880"/>
          </w:tcPr>
          <w:p>
            <w:pPr>
              <w:spacing w:lineRule="auto" w:line="276" w:after="40" w:before="0"/>
            </w:pPr>
            <w:r/>
            <w:r>
              <w:rPr>
                <w:rFonts w:ascii="Cambria Math" w:hAnsi="Cambria Math" w:cs="Cambria Math" w:eastAsia="Cambria Math"/>
                <w:b/>
                <w:i w:val="0"/>
                <w:color w:val="000000"/>
                <w:sz w:val="20"/>
              </w:rPr>
              <w:t>95% CI</w:t>
            </w:r>
          </w:p>
        </w:tc>
      </w:tr>
      <w:tr>
        <w:tc>
          <w:tcPr>
            <w:tcW w:type="dxa" w:w="2880"/>
          </w:tcPr>
          <w:p>
            <w:pPr>
              <w:spacing w:lineRule="auto" w:line="276" w:after="40" w:before="0"/>
            </w:pPr>
            <w:r/>
            <w:r>
              <w:rPr>
                <w:rFonts w:ascii="Cambria Math" w:hAnsi="Cambria Math" w:cs="Cambria Math" w:eastAsia="Cambria Math"/>
                <w:b w:val="0"/>
                <w:i w:val="0"/>
                <w:color w:val="000000"/>
                <w:sz w:val="20"/>
              </w:rPr>
              <w:t>log(Total patients)</w:t>
            </w:r>
          </w:p>
        </w:tc>
        <w:tc>
          <w:tcPr>
            <w:tcW w:type="dxa" w:w="2880"/>
          </w:tcPr>
          <w:p>
            <w:pPr>
              <w:spacing w:lineRule="auto" w:line="276" w:after="40" w:before="0"/>
            </w:pPr>
            <w:r/>
            <w:r>
              <w:rPr>
                <w:rFonts w:ascii="Cambria Math" w:hAnsi="Cambria Math" w:cs="Cambria Math" w:eastAsia="Cambria Math"/>
                <w:b w:val="0"/>
                <w:i w:val="0"/>
                <w:color w:val="000000"/>
                <w:sz w:val="20"/>
              </w:rPr>
              <w:t>+0.138</w:t>
            </w:r>
          </w:p>
        </w:tc>
        <w:tc>
          <w:tcPr>
            <w:tcW w:type="dxa" w:w="2880"/>
          </w:tcPr>
          <w:p>
            <w:pPr>
              <w:spacing w:lineRule="auto" w:line="276" w:after="40" w:before="0"/>
            </w:pPr>
            <w:r/>
            <w:r>
              <w:rPr>
                <w:rFonts w:ascii="Cambria Math" w:hAnsi="Cambria Math" w:cs="Cambria Math" w:eastAsia="Cambria Math"/>
                <w:b w:val="0"/>
                <w:i w:val="0"/>
                <w:color w:val="000000"/>
                <w:sz w:val="20"/>
              </w:rPr>
              <w:t>+0.081 to +0.195</w:t>
            </w:r>
          </w:p>
        </w:tc>
      </w:tr>
      <w:tr>
        <w:tc>
          <w:tcPr>
            <w:tcW w:type="dxa" w:w="2880"/>
          </w:tcPr>
          <w:p>
            <w:pPr>
              <w:spacing w:lineRule="auto" w:line="276" w:after="40" w:before="0"/>
            </w:pPr>
            <w:r/>
            <w:r>
              <w:rPr>
                <w:rFonts w:ascii="Cambria Math" w:hAnsi="Cambria Math" w:cs="Cambria Math" w:eastAsia="Cambria Math"/>
                <w:b w:val="0"/>
                <w:i w:val="0"/>
                <w:color w:val="000000"/>
                <w:sz w:val="20"/>
              </w:rPr>
              <w:t>Uninsured share (pp)</w:t>
            </w:r>
          </w:p>
        </w:tc>
        <w:tc>
          <w:tcPr>
            <w:tcW w:type="dxa" w:w="2880"/>
          </w:tcPr>
          <w:p>
            <w:pPr>
              <w:spacing w:lineRule="auto" w:line="276" w:after="40" w:before="0"/>
            </w:pPr>
            <w:r/>
            <w:r>
              <w:rPr>
                <w:rFonts w:ascii="Cambria Math" w:hAnsi="Cambria Math" w:cs="Cambria Math" w:eastAsia="Cambria Math"/>
                <w:b w:val="0"/>
                <w:i w:val="0"/>
                <w:color w:val="000000"/>
                <w:sz w:val="20"/>
              </w:rPr>
              <w:t>+0.243</w:t>
            </w:r>
          </w:p>
        </w:tc>
        <w:tc>
          <w:tcPr>
            <w:tcW w:type="dxa" w:w="2880"/>
          </w:tcPr>
          <w:p>
            <w:pPr>
              <w:spacing w:lineRule="auto" w:line="276" w:after="40" w:before="0"/>
            </w:pPr>
            <w:r/>
            <w:r>
              <w:rPr>
                <w:rFonts w:ascii="Cambria Math" w:hAnsi="Cambria Math" w:cs="Cambria Math" w:eastAsia="Cambria Math"/>
                <w:b w:val="0"/>
                <w:i w:val="0"/>
                <w:color w:val="000000"/>
                <w:sz w:val="20"/>
              </w:rPr>
              <w:t>-0.896 to +1.382</w:t>
            </w:r>
          </w:p>
        </w:tc>
      </w:tr>
      <w:tr>
        <w:tc>
          <w:tcPr>
            <w:tcW w:type="dxa" w:w="2880"/>
          </w:tcPr>
          <w:p>
            <w:pPr>
              <w:spacing w:lineRule="auto" w:line="276" w:after="40" w:before="0"/>
            </w:pPr>
            <w:r/>
            <w:r>
              <w:rPr>
                <w:rFonts w:ascii="Cambria Math" w:hAnsi="Cambria Math" w:cs="Cambria Math" w:eastAsia="Cambria Math"/>
                <w:b w:val="0"/>
                <w:i w:val="0"/>
                <w:color w:val="000000"/>
                <w:sz w:val="20"/>
              </w:rPr>
              <w:t>Medicaid share (pp)</w:t>
            </w:r>
          </w:p>
        </w:tc>
        <w:tc>
          <w:tcPr>
            <w:tcW w:type="dxa" w:w="2880"/>
          </w:tcPr>
          <w:p>
            <w:pPr>
              <w:spacing w:lineRule="auto" w:line="276" w:after="40" w:before="0"/>
            </w:pPr>
            <w:r/>
            <w:r>
              <w:rPr>
                <w:rFonts w:ascii="Cambria Math" w:hAnsi="Cambria Math" w:cs="Cambria Math" w:eastAsia="Cambria Math"/>
                <w:b w:val="0"/>
                <w:i w:val="0"/>
                <w:color w:val="000000"/>
                <w:sz w:val="20"/>
              </w:rPr>
              <w:t>-0.310</w:t>
            </w:r>
          </w:p>
        </w:tc>
        <w:tc>
          <w:tcPr>
            <w:tcW w:type="dxa" w:w="2880"/>
          </w:tcPr>
          <w:p>
            <w:pPr>
              <w:spacing w:lineRule="auto" w:line="276" w:after="40" w:before="0"/>
            </w:pPr>
            <w:r/>
            <w:r>
              <w:rPr>
                <w:rFonts w:ascii="Cambria Math" w:hAnsi="Cambria Math" w:cs="Cambria Math" w:eastAsia="Cambria Math"/>
                <w:b w:val="0"/>
                <w:i w:val="0"/>
                <w:color w:val="000000"/>
                <w:sz w:val="20"/>
              </w:rPr>
              <w:t>-1.274 to +0.655</w:t>
            </w:r>
          </w:p>
        </w:tc>
      </w:tr>
      <w:tr>
        <w:tc>
          <w:tcPr>
            <w:tcW w:type="dxa" w:w="2880"/>
          </w:tcPr>
          <w:p>
            <w:pPr>
              <w:spacing w:lineRule="auto" w:line="276" w:after="40" w:before="0"/>
            </w:pPr>
            <w:r/>
            <w:r>
              <w:rPr>
                <w:rFonts w:ascii="Cambria Math" w:hAnsi="Cambria Math" w:cs="Cambria Math" w:eastAsia="Cambria Math"/>
                <w:b w:val="0"/>
                <w:i w:val="0"/>
                <w:color w:val="000000"/>
                <w:sz w:val="20"/>
              </w:rPr>
              <w:t>Hypertension control (pp)</w:t>
            </w:r>
          </w:p>
        </w:tc>
        <w:tc>
          <w:tcPr>
            <w:tcW w:type="dxa" w:w="2880"/>
          </w:tcPr>
          <w:p>
            <w:pPr>
              <w:spacing w:lineRule="auto" w:line="276" w:after="40" w:before="0"/>
            </w:pPr>
            <w:r/>
            <w:r>
              <w:rPr>
                <w:rFonts w:ascii="Cambria Math" w:hAnsi="Cambria Math" w:cs="Cambria Math" w:eastAsia="Cambria Math"/>
                <w:b w:val="0"/>
                <w:i w:val="0"/>
                <w:color w:val="000000"/>
                <w:sz w:val="20"/>
              </w:rPr>
              <w:t>+1.975</w:t>
            </w:r>
          </w:p>
        </w:tc>
        <w:tc>
          <w:tcPr>
            <w:tcW w:type="dxa" w:w="2880"/>
          </w:tcPr>
          <w:p>
            <w:pPr>
              <w:spacing w:lineRule="auto" w:line="276" w:after="40" w:before="0"/>
            </w:pPr>
            <w:r/>
            <w:r>
              <w:rPr>
                <w:rFonts w:ascii="Cambria Math" w:hAnsi="Cambria Math" w:cs="Cambria Math" w:eastAsia="Cambria Math"/>
                <w:b w:val="0"/>
                <w:i w:val="0"/>
                <w:color w:val="000000"/>
                <w:sz w:val="20"/>
              </w:rPr>
              <w:t>+0.709 to +3.240</w:t>
            </w:r>
          </w:p>
        </w:tc>
      </w:tr>
      <w:tr>
        <w:tc>
          <w:tcPr>
            <w:tcW w:type="dxa" w:w="2880"/>
          </w:tcPr>
          <w:p>
            <w:pPr>
              <w:spacing w:lineRule="auto" w:line="276" w:after="40" w:before="0"/>
            </w:pPr>
            <w:r/>
            <w:r>
              <w:rPr>
                <w:rFonts w:ascii="Cambria Math" w:hAnsi="Cambria Math" w:cs="Cambria Math" w:eastAsia="Cambria Math"/>
                <w:b w:val="0"/>
                <w:i w:val="0"/>
                <w:color w:val="000000"/>
                <w:sz w:val="20"/>
              </w:rPr>
              <w:t>Diabetes A1c&gt;9% (pp)</w:t>
            </w:r>
          </w:p>
        </w:tc>
        <w:tc>
          <w:tcPr>
            <w:tcW w:type="dxa" w:w="2880"/>
          </w:tcPr>
          <w:p>
            <w:pPr>
              <w:spacing w:lineRule="auto" w:line="276" w:after="40" w:before="0"/>
            </w:pPr>
            <w:r/>
            <w:r>
              <w:rPr>
                <w:rFonts w:ascii="Cambria Math" w:hAnsi="Cambria Math" w:cs="Cambria Math" w:eastAsia="Cambria Math"/>
                <w:b w:val="0"/>
                <w:i w:val="0"/>
                <w:color w:val="000000"/>
                <w:sz w:val="20"/>
              </w:rPr>
              <w:t>+0.595</w:t>
            </w:r>
          </w:p>
        </w:tc>
        <w:tc>
          <w:tcPr>
            <w:tcW w:type="dxa" w:w="2880"/>
          </w:tcPr>
          <w:p>
            <w:pPr>
              <w:spacing w:lineRule="auto" w:line="276" w:after="40" w:before="0"/>
            </w:pPr>
            <w:r/>
            <w:r>
              <w:rPr>
                <w:rFonts w:ascii="Cambria Math" w:hAnsi="Cambria Math" w:cs="Cambria Math" w:eastAsia="Cambria Math"/>
                <w:b w:val="0"/>
                <w:i w:val="0"/>
                <w:color w:val="000000"/>
                <w:sz w:val="20"/>
              </w:rPr>
              <w:t>-0.766 to +1.956</w:t>
            </w:r>
          </w:p>
        </w:tc>
      </w:tr>
      <w:tr>
        <w:tc>
          <w:tcPr>
            <w:tcW w:type="dxa" w:w="2880"/>
          </w:tcPr>
          <w:p>
            <w:pPr>
              <w:spacing w:lineRule="auto" w:line="276" w:after="40" w:before="0"/>
            </w:pPr>
            <w:r/>
            <w:r>
              <w:rPr>
                <w:rFonts w:ascii="Cambria Math" w:hAnsi="Cambria Math" w:cs="Cambria Math" w:eastAsia="Cambria Math"/>
                <w:b w:val="0"/>
                <w:i w:val="0"/>
                <w:color w:val="000000"/>
                <w:sz w:val="20"/>
              </w:rPr>
              <w:t>Childhood immunization (pp)</w:t>
            </w:r>
          </w:p>
        </w:tc>
        <w:tc>
          <w:tcPr>
            <w:tcW w:type="dxa" w:w="2880"/>
          </w:tcPr>
          <w:p>
            <w:pPr>
              <w:spacing w:lineRule="auto" w:line="276" w:after="40" w:before="0"/>
            </w:pPr>
            <w:r/>
            <w:r>
              <w:rPr>
                <w:rFonts w:ascii="Cambria Math" w:hAnsi="Cambria Math" w:cs="Cambria Math" w:eastAsia="Cambria Math"/>
                <w:b w:val="0"/>
                <w:i w:val="0"/>
                <w:color w:val="000000"/>
                <w:sz w:val="20"/>
              </w:rPr>
              <w:t>-3.175</w:t>
            </w:r>
          </w:p>
        </w:tc>
        <w:tc>
          <w:tcPr>
            <w:tcW w:type="dxa" w:w="2880"/>
          </w:tcPr>
          <w:p>
            <w:pPr>
              <w:spacing w:lineRule="auto" w:line="276" w:after="40" w:before="0"/>
            </w:pPr>
            <w:r/>
            <w:r>
              <w:rPr>
                <w:rFonts w:ascii="Cambria Math" w:hAnsi="Cambria Math" w:cs="Cambria Math" w:eastAsia="Cambria Math"/>
                <w:b w:val="0"/>
                <w:i w:val="0"/>
                <w:color w:val="000000"/>
                <w:sz w:val="20"/>
              </w:rPr>
              <w:t>-5.955 to -0.394</w:t>
            </w:r>
          </w:p>
        </w:tc>
      </w:tr>
      <w:tr>
        <w:tc>
          <w:tcPr>
            <w:tcW w:type="dxa" w:w="2880"/>
          </w:tcPr>
          <w:p>
            <w:pPr>
              <w:spacing w:lineRule="auto" w:line="276" w:after="40" w:before="0"/>
            </w:pPr>
            <w:r/>
            <w:r>
              <w:rPr>
                <w:rFonts w:ascii="Cambria Math" w:hAnsi="Cambria Math" w:cs="Cambria Math" w:eastAsia="Cambria Math"/>
                <w:b w:val="0"/>
                <w:i w:val="0"/>
                <w:color w:val="000000"/>
                <w:sz w:val="20"/>
              </w:rPr>
              <w:t>Cervical cancer screening (pp)</w:t>
            </w:r>
          </w:p>
        </w:tc>
        <w:tc>
          <w:tcPr>
            <w:tcW w:type="dxa" w:w="2880"/>
          </w:tcPr>
          <w:p>
            <w:pPr>
              <w:spacing w:lineRule="auto" w:line="276" w:after="40" w:before="0"/>
            </w:pPr>
            <w:r/>
            <w:r>
              <w:rPr>
                <w:rFonts w:ascii="Cambria Math" w:hAnsi="Cambria Math" w:cs="Cambria Math" w:eastAsia="Cambria Math"/>
                <w:b w:val="0"/>
                <w:i w:val="0"/>
                <w:color w:val="000000"/>
                <w:sz w:val="20"/>
              </w:rPr>
              <w:t>-0.499</w:t>
            </w:r>
          </w:p>
        </w:tc>
        <w:tc>
          <w:tcPr>
            <w:tcW w:type="dxa" w:w="2880"/>
          </w:tcPr>
          <w:p>
            <w:pPr>
              <w:spacing w:lineRule="auto" w:line="276" w:after="40" w:before="0"/>
            </w:pPr>
            <w:r/>
            <w:r>
              <w:rPr>
                <w:rFonts w:ascii="Cambria Math" w:hAnsi="Cambria Math" w:cs="Cambria Math" w:eastAsia="Cambria Math"/>
                <w:b w:val="0"/>
                <w:i w:val="0"/>
                <w:color w:val="000000"/>
                <w:sz w:val="20"/>
              </w:rPr>
              <w:t>-2.307 to +1.308</w:t>
            </w:r>
          </w:p>
        </w:tc>
      </w:tr>
      <w:tr>
        <w:tc>
          <w:tcPr>
            <w:tcW w:type="dxa" w:w="2880"/>
          </w:tcPr>
          <w:p>
            <w:pPr>
              <w:spacing w:lineRule="auto" w:line="276" w:after="40" w:before="0"/>
            </w:pPr>
            <w:r/>
            <w:r>
              <w:rPr>
                <w:rFonts w:ascii="Cambria Math" w:hAnsi="Cambria Math" w:cs="Cambria Math" w:eastAsia="Cambria Math"/>
                <w:b w:val="0"/>
                <w:i w:val="0"/>
                <w:color w:val="000000"/>
                <w:sz w:val="20"/>
              </w:rPr>
              <w:t>Colorectal cancer screening (pp)</w:t>
            </w:r>
          </w:p>
        </w:tc>
        <w:tc>
          <w:tcPr>
            <w:tcW w:type="dxa" w:w="2880"/>
          </w:tcPr>
          <w:p>
            <w:pPr>
              <w:spacing w:lineRule="auto" w:line="276" w:after="40" w:before="0"/>
            </w:pPr>
            <w:r/>
            <w:r>
              <w:rPr>
                <w:rFonts w:ascii="Cambria Math" w:hAnsi="Cambria Math" w:cs="Cambria Math" w:eastAsia="Cambria Math"/>
                <w:b w:val="0"/>
                <w:i w:val="0"/>
                <w:color w:val="000000"/>
                <w:sz w:val="20"/>
              </w:rPr>
              <w:t>+0.912</w:t>
            </w:r>
          </w:p>
        </w:tc>
        <w:tc>
          <w:tcPr>
            <w:tcW w:type="dxa" w:w="2880"/>
          </w:tcPr>
          <w:p>
            <w:pPr>
              <w:spacing w:lineRule="auto" w:line="276" w:after="40" w:before="0"/>
            </w:pPr>
            <w:r/>
            <w:r>
              <w:rPr>
                <w:rFonts w:ascii="Cambria Math" w:hAnsi="Cambria Math" w:cs="Cambria Math" w:eastAsia="Cambria Math"/>
                <w:b w:val="0"/>
                <w:i w:val="0"/>
                <w:color w:val="000000"/>
                <w:sz w:val="20"/>
              </w:rPr>
              <w:t>-1.130 to +2.953</w:t>
            </w:r>
          </w:p>
        </w:tc>
      </w:tr>
      <w:tr>
        <w:tc>
          <w:tcPr>
            <w:tcW w:type="dxa" w:w="2880"/>
          </w:tcPr>
          <w:p>
            <w:pPr>
              <w:spacing w:lineRule="auto" w:line="276" w:after="40" w:before="0"/>
            </w:pPr>
            <w:r/>
            <w:r>
              <w:rPr>
                <w:rFonts w:ascii="Cambria Math" w:hAnsi="Cambria Math" w:cs="Cambria Math" w:eastAsia="Cambria Math"/>
                <w:b w:val="0"/>
                <w:i w:val="0"/>
                <w:color w:val="000000"/>
                <w:sz w:val="20"/>
              </w:rPr>
              <w:t>Adult BMI follow-up (pp)</w:t>
            </w:r>
          </w:p>
        </w:tc>
        <w:tc>
          <w:tcPr>
            <w:tcW w:type="dxa" w:w="2880"/>
          </w:tcPr>
          <w:p>
            <w:pPr>
              <w:spacing w:lineRule="auto" w:line="276" w:after="40" w:before="0"/>
            </w:pPr>
            <w:r/>
            <w:r>
              <w:rPr>
                <w:rFonts w:ascii="Cambria Math" w:hAnsi="Cambria Math" w:cs="Cambria Math" w:eastAsia="Cambria Math"/>
                <w:b w:val="0"/>
                <w:i w:val="0"/>
                <w:color w:val="000000"/>
                <w:sz w:val="20"/>
              </w:rPr>
              <w:t>+2.653</w:t>
            </w:r>
          </w:p>
        </w:tc>
        <w:tc>
          <w:tcPr>
            <w:tcW w:type="dxa" w:w="2880"/>
          </w:tcPr>
          <w:p>
            <w:pPr>
              <w:spacing w:lineRule="auto" w:line="276" w:after="40" w:before="0"/>
            </w:pPr>
            <w:r/>
            <w:r>
              <w:rPr>
                <w:rFonts w:ascii="Cambria Math" w:hAnsi="Cambria Math" w:cs="Cambria Math" w:eastAsia="Cambria Math"/>
                <w:b w:val="0"/>
                <w:i w:val="0"/>
                <w:color w:val="000000"/>
                <w:sz w:val="20"/>
              </w:rPr>
              <w:t>-0.097 to +5.402</w:t>
            </w:r>
          </w:p>
        </w:tc>
      </w:tr>
      <w:tr>
        <w:tc>
          <w:tcPr>
            <w:tcW w:type="dxa" w:w="2880"/>
          </w:tcPr>
          <w:p>
            <w:pPr>
              <w:spacing w:lineRule="auto" w:line="276" w:after="40" w:before="0"/>
            </w:pPr>
            <w:r/>
            <w:r>
              <w:rPr>
                <w:rFonts w:ascii="Cambria Math" w:hAnsi="Cambria Math" w:cs="Cambria Math" w:eastAsia="Cambria Math"/>
                <w:b w:val="0"/>
                <w:i w:val="0"/>
                <w:color w:val="000000"/>
                <w:sz w:val="20"/>
              </w:rPr>
              <w:t>Tobacco assess+intervention (pp)</w:t>
            </w:r>
          </w:p>
        </w:tc>
        <w:tc>
          <w:tcPr>
            <w:tcW w:type="dxa" w:w="2880"/>
          </w:tcPr>
          <w:p>
            <w:pPr>
              <w:spacing w:lineRule="auto" w:line="276" w:after="40" w:before="0"/>
            </w:pPr>
            <w:r/>
            <w:r>
              <w:rPr>
                <w:rFonts w:ascii="Cambria Math" w:hAnsi="Cambria Math" w:cs="Cambria Math" w:eastAsia="Cambria Math"/>
                <w:b w:val="0"/>
                <w:i w:val="0"/>
                <w:color w:val="000000"/>
                <w:sz w:val="20"/>
              </w:rPr>
              <w:t>+1.367</w:t>
            </w:r>
          </w:p>
        </w:tc>
        <w:tc>
          <w:tcPr>
            <w:tcW w:type="dxa" w:w="2880"/>
          </w:tcPr>
          <w:p>
            <w:pPr>
              <w:spacing w:lineRule="auto" w:line="276" w:after="40" w:before="0"/>
            </w:pPr>
            <w:r/>
            <w:r>
              <w:rPr>
                <w:rFonts w:ascii="Cambria Math" w:hAnsi="Cambria Math" w:cs="Cambria Math" w:eastAsia="Cambria Math"/>
                <w:b w:val="0"/>
                <w:i w:val="0"/>
                <w:color w:val="000000"/>
                <w:sz w:val="20"/>
              </w:rPr>
              <w:t>-0.816 to +3.550</w:t>
            </w:r>
          </w:p>
        </w:tc>
      </w:tr>
      <w:tr>
        <w:tc>
          <w:tcPr>
            <w:tcW w:type="dxa" w:w="2880"/>
          </w:tcPr>
          <w:p>
            <w:pPr>
              <w:spacing w:lineRule="auto" w:line="276" w:after="40" w:before="0"/>
            </w:pPr>
            <w:r/>
            <w:r>
              <w:rPr>
                <w:rFonts w:ascii="Cambria Math" w:hAnsi="Cambria Math" w:cs="Cambria Math" w:eastAsia="Cambria Math"/>
                <w:b w:val="0"/>
                <w:i w:val="0"/>
                <w:color w:val="000000"/>
                <w:sz w:val="20"/>
              </w:rPr>
              <w:t>Depression screen+follow-up (pp)</w:t>
            </w:r>
          </w:p>
        </w:tc>
        <w:tc>
          <w:tcPr>
            <w:tcW w:type="dxa" w:w="2880"/>
          </w:tcPr>
          <w:p>
            <w:pPr>
              <w:spacing w:lineRule="auto" w:line="276" w:after="40" w:before="0"/>
            </w:pPr>
            <w:r/>
            <w:r>
              <w:rPr>
                <w:rFonts w:ascii="Cambria Math" w:hAnsi="Cambria Math" w:cs="Cambria Math" w:eastAsia="Cambria Math"/>
                <w:b w:val="0"/>
                <w:i w:val="0"/>
                <w:color w:val="000000"/>
                <w:sz w:val="20"/>
              </w:rPr>
              <w:t>-1.095</w:t>
            </w:r>
          </w:p>
        </w:tc>
        <w:tc>
          <w:tcPr>
            <w:tcW w:type="dxa" w:w="2880"/>
          </w:tcPr>
          <w:p>
            <w:pPr>
              <w:spacing w:lineRule="auto" w:line="276" w:after="40" w:before="0"/>
            </w:pPr>
            <w:r/>
            <w:r>
              <w:rPr>
                <w:rFonts w:ascii="Cambria Math" w:hAnsi="Cambria Math" w:cs="Cambria Math" w:eastAsia="Cambria Math"/>
                <w:b w:val="0"/>
                <w:i w:val="0"/>
                <w:color w:val="000000"/>
                <w:sz w:val="20"/>
              </w:rPr>
              <w:t>-4.049 to +1.859</w:t>
            </w:r>
          </w:p>
        </w:tc>
      </w:tr>
    </w:tbl>
    <w:p>
      <w:pPr>
        <w:spacing w:lineRule="auto" w:line="360" w:after="120" w:before="0"/>
      </w:pPr>
      <w:r>
        <w:rPr>
          <w:rFonts w:ascii="Cambria Math" w:hAnsi="Cambria Math" w:cs="Cambria Math" w:eastAsia="Cambria Math"/>
          <w:b/>
          <w:i w:val="0"/>
          <w:color w:val="000000"/>
          <w:sz w:val="22"/>
        </w:rPr>
        <w:t>Table 3.</w:t>
      </w:r>
      <w:r>
        <w:rPr>
          <w:rFonts w:ascii="Cambria Math" w:hAnsi="Cambria Math" w:cs="Cambria Math" w:eastAsia="Cambria Math"/>
          <w:b w:val="0"/>
          <w:i w:val="0"/>
          <w:color w:val="000000"/>
          <w:sz w:val="22"/>
        </w:rPr>
        <w:t xml:space="preserve"> Multiple-testing-adjusted p-values across 11 pre-specified outcomes.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Rule="auto" w:line="276" w:after="40" w:before="0"/>
            </w:pPr>
            <w:r/>
            <w:r>
              <w:rPr>
                <w:rFonts w:ascii="Cambria Math" w:hAnsi="Cambria Math" w:cs="Cambria Math" w:eastAsia="Cambria Math"/>
                <w:b/>
                <w:i w:val="0"/>
                <w:color w:val="000000"/>
                <w:sz w:val="20"/>
              </w:rPr>
              <w:t>Outcome</w:t>
            </w:r>
          </w:p>
        </w:tc>
        <w:tc>
          <w:tcPr>
            <w:tcW w:type="dxa" w:w="1234"/>
          </w:tcPr>
          <w:p>
            <w:pPr>
              <w:spacing w:lineRule="auto" w:line="276" w:after="40" w:before="0"/>
            </w:pPr>
            <w:r/>
            <w:r>
              <w:rPr>
                <w:rFonts w:ascii="Cambria Math" w:hAnsi="Cambria Math" w:cs="Cambria Math" w:eastAsia="Cambria Math"/>
                <w:b/>
                <w:i w:val="0"/>
                <w:color w:val="000000"/>
                <w:sz w:val="20"/>
              </w:rPr>
              <w:t>Raw p</w:t>
            </w:r>
          </w:p>
        </w:tc>
        <w:tc>
          <w:tcPr>
            <w:tcW w:type="dxa" w:w="1234"/>
          </w:tcPr>
          <w:p>
            <w:pPr>
              <w:spacing w:lineRule="auto" w:line="276" w:after="40" w:before="0"/>
            </w:pPr>
            <w:r/>
            <w:r>
              <w:rPr>
                <w:rFonts w:ascii="Cambria Math" w:hAnsi="Cambria Math" w:cs="Cambria Math" w:eastAsia="Cambria Math"/>
                <w:b/>
                <w:i w:val="0"/>
                <w:color w:val="000000"/>
                <w:sz w:val="20"/>
              </w:rPr>
              <w:t>Bonferroni</w:t>
            </w:r>
          </w:p>
        </w:tc>
        <w:tc>
          <w:tcPr>
            <w:tcW w:type="dxa" w:w="1234"/>
          </w:tcPr>
          <w:p>
            <w:pPr>
              <w:spacing w:lineRule="auto" w:line="276" w:after="40" w:before="0"/>
            </w:pPr>
            <w:r/>
            <w:r>
              <w:rPr>
                <w:rFonts w:ascii="Cambria Math" w:hAnsi="Cambria Math" w:cs="Cambria Math" w:eastAsia="Cambria Math"/>
                <w:b/>
                <w:i w:val="0"/>
                <w:color w:val="000000"/>
                <w:sz w:val="20"/>
              </w:rPr>
              <w:t>Holm</w:t>
            </w:r>
          </w:p>
        </w:tc>
        <w:tc>
          <w:tcPr>
            <w:tcW w:type="dxa" w:w="1234"/>
          </w:tcPr>
          <w:p>
            <w:pPr>
              <w:spacing w:lineRule="auto" w:line="276" w:after="40" w:before="0"/>
            </w:pPr>
            <w:r/>
            <w:r>
              <w:rPr>
                <w:rFonts w:ascii="Cambria Math" w:hAnsi="Cambria Math" w:cs="Cambria Math" w:eastAsia="Cambria Math"/>
                <w:b/>
                <w:i w:val="0"/>
                <w:color w:val="000000"/>
                <w:sz w:val="20"/>
              </w:rPr>
              <w:t>BH (FDR)</w:t>
            </w:r>
          </w:p>
        </w:tc>
        <w:tc>
          <w:tcPr>
            <w:tcW w:type="dxa" w:w="1234"/>
          </w:tcPr>
          <w:p>
            <w:pPr>
              <w:spacing w:lineRule="auto" w:line="276" w:after="40" w:before="0"/>
            </w:pPr>
            <w:r/>
            <w:r>
              <w:rPr>
                <w:rFonts w:ascii="Cambria Math" w:hAnsi="Cambria Math" w:cs="Cambria Math" w:eastAsia="Cambria Math"/>
                <w:b/>
                <w:i w:val="0"/>
                <w:color w:val="000000"/>
                <w:sz w:val="20"/>
              </w:rPr>
              <w:t>BY (FDR)</w:t>
            </w:r>
          </w:p>
        </w:tc>
        <w:tc>
          <w:tcPr>
            <w:tcW w:type="dxa" w:w="1234"/>
          </w:tcPr>
          <w:p>
            <w:pPr>
              <w:spacing w:lineRule="auto" w:line="276" w:after="40" w:before="0"/>
            </w:pPr>
            <w:r/>
            <w:r>
              <w:rPr>
                <w:rFonts w:ascii="Cambria Math" w:hAnsi="Cambria Math" w:cs="Cambria Math" w:eastAsia="Cambria Math"/>
                <w:b/>
                <w:i w:val="0"/>
                <w:color w:val="000000"/>
                <w:sz w:val="20"/>
              </w:rPr>
              <w:t>Romano-Wolf</w:t>
            </w:r>
          </w:p>
        </w:tc>
      </w:tr>
      <w:tr>
        <w:tc>
          <w:tcPr>
            <w:tcW w:type="dxa" w:w="1234"/>
          </w:tcPr>
          <w:p>
            <w:pPr>
              <w:spacing w:lineRule="auto" w:line="276" w:after="40" w:before="0"/>
            </w:pPr>
            <w:r/>
            <w:r>
              <w:rPr>
                <w:rFonts w:ascii="Cambria Math" w:hAnsi="Cambria Math" w:cs="Cambria Math" w:eastAsia="Cambria Math"/>
                <w:b w:val="0"/>
                <w:i w:val="0"/>
                <w:color w:val="000000"/>
                <w:sz w:val="20"/>
              </w:rPr>
              <w:t>log(Total patients)</w:t>
            </w:r>
          </w:p>
        </w:tc>
        <w:tc>
          <w:tcPr>
            <w:tcW w:type="dxa" w:w="1234"/>
          </w:tcPr>
          <w:p>
            <w:pPr>
              <w:spacing w:lineRule="auto" w:line="276" w:after="40" w:before="0"/>
            </w:pPr>
            <w:r/>
            <w:r>
              <w:rPr>
                <w:rFonts w:ascii="Cambria Math" w:hAnsi="Cambria Math" w:cs="Cambria Math" w:eastAsia="Cambria Math"/>
                <w:b w:val="0"/>
                <w:i w:val="0"/>
                <w:color w:val="000000"/>
                <w:sz w:val="20"/>
              </w:rPr>
              <w:t>&lt;.0001</w:t>
            </w:r>
          </w:p>
        </w:tc>
        <w:tc>
          <w:tcPr>
            <w:tcW w:type="dxa" w:w="1234"/>
          </w:tcPr>
          <w:p>
            <w:pPr>
              <w:spacing w:lineRule="auto" w:line="276" w:after="40" w:before="0"/>
            </w:pPr>
            <w:r/>
            <w:r>
              <w:rPr>
                <w:rFonts w:ascii="Cambria Math" w:hAnsi="Cambria Math" w:cs="Cambria Math" w:eastAsia="Cambria Math"/>
                <w:b w:val="0"/>
                <w:i w:val="0"/>
                <w:color w:val="000000"/>
                <w:sz w:val="20"/>
              </w:rPr>
              <w:t>&lt;.0001</w:t>
            </w:r>
          </w:p>
        </w:tc>
        <w:tc>
          <w:tcPr>
            <w:tcW w:type="dxa" w:w="1234"/>
          </w:tcPr>
          <w:p>
            <w:pPr>
              <w:spacing w:lineRule="auto" w:line="276" w:after="40" w:before="0"/>
            </w:pPr>
            <w:r/>
            <w:r>
              <w:rPr>
                <w:rFonts w:ascii="Cambria Math" w:hAnsi="Cambria Math" w:cs="Cambria Math" w:eastAsia="Cambria Math"/>
                <w:b w:val="0"/>
                <w:i w:val="0"/>
                <w:color w:val="000000"/>
                <w:sz w:val="20"/>
              </w:rPr>
              <w:t>&lt;.0001</w:t>
            </w:r>
          </w:p>
        </w:tc>
        <w:tc>
          <w:tcPr>
            <w:tcW w:type="dxa" w:w="1234"/>
          </w:tcPr>
          <w:p>
            <w:pPr>
              <w:spacing w:lineRule="auto" w:line="276" w:after="40" w:before="0"/>
            </w:pPr>
            <w:r/>
            <w:r>
              <w:rPr>
                <w:rFonts w:ascii="Cambria Math" w:hAnsi="Cambria Math" w:cs="Cambria Math" w:eastAsia="Cambria Math"/>
                <w:b w:val="0"/>
                <w:i w:val="0"/>
                <w:color w:val="000000"/>
                <w:sz w:val="20"/>
              </w:rPr>
              <w:t>&lt;.0001</w:t>
            </w:r>
          </w:p>
        </w:tc>
        <w:tc>
          <w:tcPr>
            <w:tcW w:type="dxa" w:w="1234"/>
          </w:tcPr>
          <w:p>
            <w:pPr>
              <w:spacing w:lineRule="auto" w:line="276" w:after="40" w:before="0"/>
            </w:pPr>
            <w:r/>
            <w:r>
              <w:rPr>
                <w:rFonts w:ascii="Cambria Math" w:hAnsi="Cambria Math" w:cs="Cambria Math" w:eastAsia="Cambria Math"/>
                <w:b w:val="0"/>
                <w:i w:val="0"/>
                <w:color w:val="000000"/>
                <w:sz w:val="20"/>
              </w:rPr>
              <w:t>0.0001</w:t>
            </w:r>
          </w:p>
        </w:tc>
        <w:tc>
          <w:tcPr>
            <w:tcW w:type="dxa" w:w="1234"/>
          </w:tcPr>
          <w:p>
            <w:pPr>
              <w:spacing w:lineRule="auto" w:line="276" w:after="40" w:before="0"/>
            </w:pPr>
            <w:r/>
            <w:r>
              <w:rPr>
                <w:rFonts w:ascii="Cambria Math" w:hAnsi="Cambria Math" w:cs="Cambria Math" w:eastAsia="Cambria Math"/>
                <w:b w:val="0"/>
                <w:i w:val="0"/>
                <w:color w:val="000000"/>
                <w:sz w:val="20"/>
              </w:rPr>
              <w:t>&lt;.0001</w:t>
            </w:r>
          </w:p>
        </w:tc>
      </w:tr>
      <w:tr>
        <w:tc>
          <w:tcPr>
            <w:tcW w:type="dxa" w:w="1234"/>
          </w:tcPr>
          <w:p>
            <w:pPr>
              <w:spacing w:lineRule="auto" w:line="276" w:after="40" w:before="0"/>
            </w:pPr>
            <w:r/>
            <w:r>
              <w:rPr>
                <w:rFonts w:ascii="Cambria Math" w:hAnsi="Cambria Math" w:cs="Cambria Math" w:eastAsia="Cambria Math"/>
                <w:b w:val="0"/>
                <w:i w:val="0"/>
                <w:color w:val="000000"/>
                <w:sz w:val="20"/>
              </w:rPr>
              <w:t>Uninsured share</w:t>
            </w:r>
          </w:p>
        </w:tc>
        <w:tc>
          <w:tcPr>
            <w:tcW w:type="dxa" w:w="1234"/>
          </w:tcPr>
          <w:p>
            <w:pPr>
              <w:spacing w:lineRule="auto" w:line="276" w:after="40" w:before="0"/>
            </w:pPr>
            <w:r/>
            <w:r>
              <w:rPr>
                <w:rFonts w:ascii="Cambria Math" w:hAnsi="Cambria Math" w:cs="Cambria Math" w:eastAsia="Cambria Math"/>
                <w:b w:val="0"/>
                <w:i w:val="0"/>
                <w:color w:val="000000"/>
                <w:sz w:val="20"/>
              </w:rPr>
              <w:t>0.6759</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0.6759</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0.9266</w:t>
            </w:r>
          </w:p>
        </w:tc>
      </w:tr>
      <w:tr>
        <w:tc>
          <w:tcPr>
            <w:tcW w:type="dxa" w:w="1234"/>
          </w:tcPr>
          <w:p>
            <w:pPr>
              <w:spacing w:lineRule="auto" w:line="276" w:after="40" w:before="0"/>
            </w:pPr>
            <w:r/>
            <w:r>
              <w:rPr>
                <w:rFonts w:ascii="Cambria Math" w:hAnsi="Cambria Math" w:cs="Cambria Math" w:eastAsia="Cambria Math"/>
                <w:b w:val="0"/>
                <w:i w:val="0"/>
                <w:color w:val="000000"/>
                <w:sz w:val="20"/>
              </w:rPr>
              <w:t>Medicaid share</w:t>
            </w:r>
          </w:p>
        </w:tc>
        <w:tc>
          <w:tcPr>
            <w:tcW w:type="dxa" w:w="1234"/>
          </w:tcPr>
          <w:p>
            <w:pPr>
              <w:spacing w:lineRule="auto" w:line="276" w:after="40" w:before="0"/>
            </w:pPr>
            <w:r/>
            <w:r>
              <w:rPr>
                <w:rFonts w:ascii="Cambria Math" w:hAnsi="Cambria Math" w:cs="Cambria Math" w:eastAsia="Cambria Math"/>
                <w:b w:val="0"/>
                <w:i w:val="0"/>
                <w:color w:val="000000"/>
                <w:sz w:val="20"/>
              </w:rPr>
              <w:t>0.5294</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0.6470</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0.9266</w:t>
            </w:r>
          </w:p>
        </w:tc>
      </w:tr>
      <w:tr>
        <w:tc>
          <w:tcPr>
            <w:tcW w:type="dxa" w:w="1234"/>
          </w:tcPr>
          <w:p>
            <w:pPr>
              <w:spacing w:lineRule="auto" w:line="276" w:after="40" w:before="0"/>
            </w:pPr>
            <w:r/>
            <w:r>
              <w:rPr>
                <w:rFonts w:ascii="Cambria Math" w:hAnsi="Cambria Math" w:cs="Cambria Math" w:eastAsia="Cambria Math"/>
                <w:b w:val="0"/>
                <w:i w:val="0"/>
                <w:color w:val="000000"/>
                <w:sz w:val="20"/>
              </w:rPr>
              <w:t>Hypertension control</w:t>
            </w:r>
          </w:p>
        </w:tc>
        <w:tc>
          <w:tcPr>
            <w:tcW w:type="dxa" w:w="1234"/>
          </w:tcPr>
          <w:p>
            <w:pPr>
              <w:spacing w:lineRule="auto" w:line="276" w:after="40" w:before="0"/>
            </w:pPr>
            <w:r/>
            <w:r>
              <w:rPr>
                <w:rFonts w:ascii="Cambria Math" w:hAnsi="Cambria Math" w:cs="Cambria Math" w:eastAsia="Cambria Math"/>
                <w:b w:val="0"/>
                <w:i w:val="0"/>
                <w:color w:val="000000"/>
                <w:sz w:val="20"/>
              </w:rPr>
              <w:t>0.0022</w:t>
            </w:r>
          </w:p>
        </w:tc>
        <w:tc>
          <w:tcPr>
            <w:tcW w:type="dxa" w:w="1234"/>
          </w:tcPr>
          <w:p>
            <w:pPr>
              <w:spacing w:lineRule="auto" w:line="276" w:after="40" w:before="0"/>
            </w:pPr>
            <w:r/>
            <w:r>
              <w:rPr>
                <w:rFonts w:ascii="Cambria Math" w:hAnsi="Cambria Math" w:cs="Cambria Math" w:eastAsia="Cambria Math"/>
                <w:b w:val="0"/>
                <w:i w:val="0"/>
                <w:color w:val="000000"/>
                <w:sz w:val="20"/>
              </w:rPr>
              <w:t>0.0245</w:t>
            </w:r>
          </w:p>
        </w:tc>
        <w:tc>
          <w:tcPr>
            <w:tcW w:type="dxa" w:w="1234"/>
          </w:tcPr>
          <w:p>
            <w:pPr>
              <w:spacing w:lineRule="auto" w:line="276" w:after="40" w:before="0"/>
            </w:pPr>
            <w:r/>
            <w:r>
              <w:rPr>
                <w:rFonts w:ascii="Cambria Math" w:hAnsi="Cambria Math" w:cs="Cambria Math" w:eastAsia="Cambria Math"/>
                <w:b w:val="0"/>
                <w:i w:val="0"/>
                <w:color w:val="000000"/>
                <w:sz w:val="20"/>
              </w:rPr>
              <w:t>0.0222</w:t>
            </w:r>
          </w:p>
        </w:tc>
        <w:tc>
          <w:tcPr>
            <w:tcW w:type="dxa" w:w="1234"/>
          </w:tcPr>
          <w:p>
            <w:pPr>
              <w:spacing w:lineRule="auto" w:line="276" w:after="40" w:before="0"/>
            </w:pPr>
            <w:r/>
            <w:r>
              <w:rPr>
                <w:rFonts w:ascii="Cambria Math" w:hAnsi="Cambria Math" w:cs="Cambria Math" w:eastAsia="Cambria Math"/>
                <w:b w:val="0"/>
                <w:i w:val="0"/>
                <w:color w:val="000000"/>
                <w:sz w:val="20"/>
              </w:rPr>
              <w:t>0.0122</w:t>
            </w:r>
          </w:p>
        </w:tc>
        <w:tc>
          <w:tcPr>
            <w:tcW w:type="dxa" w:w="1234"/>
          </w:tcPr>
          <w:p>
            <w:pPr>
              <w:spacing w:lineRule="auto" w:line="276" w:after="40" w:before="0"/>
            </w:pPr>
            <w:r/>
            <w:r>
              <w:rPr>
                <w:rFonts w:ascii="Cambria Math" w:hAnsi="Cambria Math" w:cs="Cambria Math" w:eastAsia="Cambria Math"/>
                <w:b w:val="0"/>
                <w:i w:val="0"/>
                <w:color w:val="000000"/>
                <w:sz w:val="20"/>
              </w:rPr>
              <w:t>0.0369</w:t>
            </w:r>
          </w:p>
        </w:tc>
        <w:tc>
          <w:tcPr>
            <w:tcW w:type="dxa" w:w="1234"/>
          </w:tcPr>
          <w:p>
            <w:pPr>
              <w:spacing w:lineRule="auto" w:line="276" w:after="40" w:before="0"/>
            </w:pPr>
            <w:r/>
            <w:r>
              <w:rPr>
                <w:rFonts w:ascii="Cambria Math" w:hAnsi="Cambria Math" w:cs="Cambria Math" w:eastAsia="Cambria Math"/>
                <w:b w:val="0"/>
                <w:i w:val="0"/>
                <w:color w:val="000000"/>
                <w:sz w:val="20"/>
              </w:rPr>
              <w:t>0.0219</w:t>
            </w:r>
          </w:p>
        </w:tc>
      </w:tr>
      <w:tr>
        <w:tc>
          <w:tcPr>
            <w:tcW w:type="dxa" w:w="1234"/>
          </w:tcPr>
          <w:p>
            <w:pPr>
              <w:spacing w:lineRule="auto" w:line="276" w:after="40" w:before="0"/>
            </w:pPr>
            <w:r/>
            <w:r>
              <w:rPr>
                <w:rFonts w:ascii="Cambria Math" w:hAnsi="Cambria Math" w:cs="Cambria Math" w:eastAsia="Cambria Math"/>
                <w:b w:val="0"/>
                <w:i w:val="0"/>
                <w:color w:val="000000"/>
                <w:sz w:val="20"/>
              </w:rPr>
              <w:t>Diabetes A1c&gt;9% (poor)</w:t>
            </w:r>
          </w:p>
        </w:tc>
        <w:tc>
          <w:tcPr>
            <w:tcW w:type="dxa" w:w="1234"/>
          </w:tcPr>
          <w:p>
            <w:pPr>
              <w:spacing w:lineRule="auto" w:line="276" w:after="40" w:before="0"/>
            </w:pPr>
            <w:r/>
            <w:r>
              <w:rPr>
                <w:rFonts w:ascii="Cambria Math" w:hAnsi="Cambria Math" w:cs="Cambria Math" w:eastAsia="Cambria Math"/>
                <w:b w:val="0"/>
                <w:i w:val="0"/>
                <w:color w:val="000000"/>
                <w:sz w:val="20"/>
              </w:rPr>
              <w:t>0.3916</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0.6154</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0.9266</w:t>
            </w:r>
          </w:p>
        </w:tc>
      </w:tr>
      <w:tr>
        <w:tc>
          <w:tcPr>
            <w:tcW w:type="dxa" w:w="1234"/>
          </w:tcPr>
          <w:p>
            <w:pPr>
              <w:spacing w:lineRule="auto" w:line="276" w:after="40" w:before="0"/>
            </w:pPr>
            <w:r/>
            <w:r>
              <w:rPr>
                <w:rFonts w:ascii="Cambria Math" w:hAnsi="Cambria Math" w:cs="Cambria Math" w:eastAsia="Cambria Math"/>
                <w:b w:val="0"/>
                <w:i w:val="0"/>
                <w:color w:val="000000"/>
                <w:sz w:val="20"/>
              </w:rPr>
              <w:t>Childhood immunization</w:t>
            </w:r>
          </w:p>
        </w:tc>
        <w:tc>
          <w:tcPr>
            <w:tcW w:type="dxa" w:w="1234"/>
          </w:tcPr>
          <w:p>
            <w:pPr>
              <w:spacing w:lineRule="auto" w:line="276" w:after="40" w:before="0"/>
            </w:pPr>
            <w:r/>
            <w:r>
              <w:rPr>
                <w:rFonts w:ascii="Cambria Math" w:hAnsi="Cambria Math" w:cs="Cambria Math" w:eastAsia="Cambria Math"/>
                <w:b w:val="0"/>
                <w:i w:val="0"/>
                <w:color w:val="000000"/>
                <w:sz w:val="20"/>
              </w:rPr>
              <w:t>0.0252</w:t>
            </w:r>
          </w:p>
        </w:tc>
        <w:tc>
          <w:tcPr>
            <w:tcW w:type="dxa" w:w="1234"/>
          </w:tcPr>
          <w:p>
            <w:pPr>
              <w:spacing w:lineRule="auto" w:line="276" w:after="40" w:before="0"/>
            </w:pPr>
            <w:r/>
            <w:r>
              <w:rPr>
                <w:rFonts w:ascii="Cambria Math" w:hAnsi="Cambria Math" w:cs="Cambria Math" w:eastAsia="Cambria Math"/>
                <w:b w:val="0"/>
                <w:i w:val="0"/>
                <w:color w:val="000000"/>
                <w:sz w:val="20"/>
              </w:rPr>
              <w:t>0.2775</w:t>
            </w:r>
          </w:p>
        </w:tc>
        <w:tc>
          <w:tcPr>
            <w:tcW w:type="dxa" w:w="1234"/>
          </w:tcPr>
          <w:p>
            <w:pPr>
              <w:spacing w:lineRule="auto" w:line="276" w:after="40" w:before="0"/>
            </w:pPr>
            <w:r/>
            <w:r>
              <w:rPr>
                <w:rFonts w:ascii="Cambria Math" w:hAnsi="Cambria Math" w:cs="Cambria Math" w:eastAsia="Cambria Math"/>
                <w:b w:val="0"/>
                <w:i w:val="0"/>
                <w:color w:val="000000"/>
                <w:sz w:val="20"/>
              </w:rPr>
              <w:t>0.2270</w:t>
            </w:r>
          </w:p>
        </w:tc>
        <w:tc>
          <w:tcPr>
            <w:tcW w:type="dxa" w:w="1234"/>
          </w:tcPr>
          <w:p>
            <w:pPr>
              <w:spacing w:lineRule="auto" w:line="276" w:after="40" w:before="0"/>
            </w:pPr>
            <w:r/>
            <w:r>
              <w:rPr>
                <w:rFonts w:ascii="Cambria Math" w:hAnsi="Cambria Math" w:cs="Cambria Math" w:eastAsia="Cambria Math"/>
                <w:b w:val="0"/>
                <w:i w:val="0"/>
                <w:color w:val="000000"/>
                <w:sz w:val="20"/>
              </w:rPr>
              <w:t>0.0925</w:t>
            </w:r>
          </w:p>
        </w:tc>
        <w:tc>
          <w:tcPr>
            <w:tcW w:type="dxa" w:w="1234"/>
          </w:tcPr>
          <w:p>
            <w:pPr>
              <w:spacing w:lineRule="auto" w:line="276" w:after="40" w:before="0"/>
            </w:pPr>
            <w:r/>
            <w:r>
              <w:rPr>
                <w:rFonts w:ascii="Cambria Math" w:hAnsi="Cambria Math" w:cs="Cambria Math" w:eastAsia="Cambria Math"/>
                <w:b w:val="0"/>
                <w:i w:val="0"/>
                <w:color w:val="000000"/>
                <w:sz w:val="20"/>
              </w:rPr>
              <w:t>0.2793</w:t>
            </w:r>
          </w:p>
        </w:tc>
        <w:tc>
          <w:tcPr>
            <w:tcW w:type="dxa" w:w="1234"/>
          </w:tcPr>
          <w:p>
            <w:pPr>
              <w:spacing w:lineRule="auto" w:line="276" w:after="40" w:before="0"/>
            </w:pPr>
            <w:r/>
            <w:r>
              <w:rPr>
                <w:rFonts w:ascii="Cambria Math" w:hAnsi="Cambria Math" w:cs="Cambria Math" w:eastAsia="Cambria Math"/>
                <w:b w:val="0"/>
                <w:i w:val="0"/>
                <w:color w:val="000000"/>
                <w:sz w:val="20"/>
              </w:rPr>
              <w:t>0.1951</w:t>
            </w:r>
          </w:p>
        </w:tc>
      </w:tr>
      <w:tr>
        <w:tc>
          <w:tcPr>
            <w:tcW w:type="dxa" w:w="1234"/>
          </w:tcPr>
          <w:p>
            <w:pPr>
              <w:spacing w:lineRule="auto" w:line="276" w:after="40" w:before="0"/>
            </w:pPr>
            <w:r/>
            <w:r>
              <w:rPr>
                <w:rFonts w:ascii="Cambria Math" w:hAnsi="Cambria Math" w:cs="Cambria Math" w:eastAsia="Cambria Math"/>
                <w:b w:val="0"/>
                <w:i w:val="0"/>
                <w:color w:val="000000"/>
                <w:sz w:val="20"/>
              </w:rPr>
              <w:t>Cervical cancer screening</w:t>
            </w:r>
          </w:p>
        </w:tc>
        <w:tc>
          <w:tcPr>
            <w:tcW w:type="dxa" w:w="1234"/>
          </w:tcPr>
          <w:p>
            <w:pPr>
              <w:spacing w:lineRule="auto" w:line="276" w:after="40" w:before="0"/>
            </w:pPr>
            <w:r/>
            <w:r>
              <w:rPr>
                <w:rFonts w:ascii="Cambria Math" w:hAnsi="Cambria Math" w:cs="Cambria Math" w:eastAsia="Cambria Math"/>
                <w:b w:val="0"/>
                <w:i w:val="0"/>
                <w:color w:val="000000"/>
                <w:sz w:val="20"/>
              </w:rPr>
              <w:t>0.5882</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0.6470</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0.9266</w:t>
            </w:r>
          </w:p>
        </w:tc>
      </w:tr>
      <w:tr>
        <w:tc>
          <w:tcPr>
            <w:tcW w:type="dxa" w:w="1234"/>
          </w:tcPr>
          <w:p>
            <w:pPr>
              <w:spacing w:lineRule="auto" w:line="276" w:after="40" w:before="0"/>
            </w:pPr>
            <w:r/>
            <w:r>
              <w:rPr>
                <w:rFonts w:ascii="Cambria Math" w:hAnsi="Cambria Math" w:cs="Cambria Math" w:eastAsia="Cambria Math"/>
                <w:b w:val="0"/>
                <w:i w:val="0"/>
                <w:color w:val="000000"/>
                <w:sz w:val="20"/>
              </w:rPr>
              <w:t>Colorectal cancer screening</w:t>
            </w:r>
          </w:p>
        </w:tc>
        <w:tc>
          <w:tcPr>
            <w:tcW w:type="dxa" w:w="1234"/>
          </w:tcPr>
          <w:p>
            <w:pPr>
              <w:spacing w:lineRule="auto" w:line="276" w:after="40" w:before="0"/>
            </w:pPr>
            <w:r/>
            <w:r>
              <w:rPr>
                <w:rFonts w:ascii="Cambria Math" w:hAnsi="Cambria Math" w:cs="Cambria Math" w:eastAsia="Cambria Math"/>
                <w:b w:val="0"/>
                <w:i w:val="0"/>
                <w:color w:val="000000"/>
                <w:sz w:val="20"/>
              </w:rPr>
              <w:t>0.3814</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0.6154</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0.9266</w:t>
            </w:r>
          </w:p>
        </w:tc>
      </w:tr>
      <w:tr>
        <w:tc>
          <w:tcPr>
            <w:tcW w:type="dxa" w:w="1234"/>
          </w:tcPr>
          <w:p>
            <w:pPr>
              <w:spacing w:lineRule="auto" w:line="276" w:after="40" w:before="0"/>
            </w:pPr>
            <w:r/>
            <w:r>
              <w:rPr>
                <w:rFonts w:ascii="Cambria Math" w:hAnsi="Cambria Math" w:cs="Cambria Math" w:eastAsia="Cambria Math"/>
                <w:b w:val="0"/>
                <w:i w:val="0"/>
                <w:color w:val="000000"/>
                <w:sz w:val="20"/>
              </w:rPr>
              <w:t>Adult BMI follow-up</w:t>
            </w:r>
          </w:p>
        </w:tc>
        <w:tc>
          <w:tcPr>
            <w:tcW w:type="dxa" w:w="1234"/>
          </w:tcPr>
          <w:p>
            <w:pPr>
              <w:spacing w:lineRule="auto" w:line="276" w:after="40" w:before="0"/>
            </w:pPr>
            <w:r/>
            <w:r>
              <w:rPr>
                <w:rFonts w:ascii="Cambria Math" w:hAnsi="Cambria Math" w:cs="Cambria Math" w:eastAsia="Cambria Math"/>
                <w:b w:val="0"/>
                <w:i w:val="0"/>
                <w:color w:val="000000"/>
                <w:sz w:val="20"/>
              </w:rPr>
              <w:t>0.0586</w:t>
            </w:r>
          </w:p>
        </w:tc>
        <w:tc>
          <w:tcPr>
            <w:tcW w:type="dxa" w:w="1234"/>
          </w:tcPr>
          <w:p>
            <w:pPr>
              <w:spacing w:lineRule="auto" w:line="276" w:after="40" w:before="0"/>
            </w:pPr>
            <w:r/>
            <w:r>
              <w:rPr>
                <w:rFonts w:ascii="Cambria Math" w:hAnsi="Cambria Math" w:cs="Cambria Math" w:eastAsia="Cambria Math"/>
                <w:b w:val="0"/>
                <w:i w:val="0"/>
                <w:color w:val="000000"/>
                <w:sz w:val="20"/>
              </w:rPr>
              <w:t>0.6446</w:t>
            </w:r>
          </w:p>
        </w:tc>
        <w:tc>
          <w:tcPr>
            <w:tcW w:type="dxa" w:w="1234"/>
          </w:tcPr>
          <w:p>
            <w:pPr>
              <w:spacing w:lineRule="auto" w:line="276" w:after="40" w:before="0"/>
            </w:pPr>
            <w:r/>
            <w:r>
              <w:rPr>
                <w:rFonts w:ascii="Cambria Math" w:hAnsi="Cambria Math" w:cs="Cambria Math" w:eastAsia="Cambria Math"/>
                <w:b w:val="0"/>
                <w:i w:val="0"/>
                <w:color w:val="000000"/>
                <w:sz w:val="20"/>
              </w:rPr>
              <w:t>0.4688</w:t>
            </w:r>
          </w:p>
        </w:tc>
        <w:tc>
          <w:tcPr>
            <w:tcW w:type="dxa" w:w="1234"/>
          </w:tcPr>
          <w:p>
            <w:pPr>
              <w:spacing w:lineRule="auto" w:line="276" w:after="40" w:before="0"/>
            </w:pPr>
            <w:r/>
            <w:r>
              <w:rPr>
                <w:rFonts w:ascii="Cambria Math" w:hAnsi="Cambria Math" w:cs="Cambria Math" w:eastAsia="Cambria Math"/>
                <w:b w:val="0"/>
                <w:i w:val="0"/>
                <w:color w:val="000000"/>
                <w:sz w:val="20"/>
              </w:rPr>
              <w:t>0.1612</w:t>
            </w:r>
          </w:p>
        </w:tc>
        <w:tc>
          <w:tcPr>
            <w:tcW w:type="dxa" w:w="1234"/>
          </w:tcPr>
          <w:p>
            <w:pPr>
              <w:spacing w:lineRule="auto" w:line="276" w:after="40" w:before="0"/>
            </w:pPr>
            <w:r/>
            <w:r>
              <w:rPr>
                <w:rFonts w:ascii="Cambria Math" w:hAnsi="Cambria Math" w:cs="Cambria Math" w:eastAsia="Cambria Math"/>
                <w:b w:val="0"/>
                <w:i w:val="0"/>
                <w:color w:val="000000"/>
                <w:sz w:val="20"/>
              </w:rPr>
              <w:t>0.4867</w:t>
            </w:r>
          </w:p>
        </w:tc>
        <w:tc>
          <w:tcPr>
            <w:tcW w:type="dxa" w:w="1234"/>
          </w:tcPr>
          <w:p>
            <w:pPr>
              <w:spacing w:lineRule="auto" w:line="276" w:after="40" w:before="0"/>
            </w:pPr>
            <w:r/>
            <w:r>
              <w:rPr>
                <w:rFonts w:ascii="Cambria Math" w:hAnsi="Cambria Math" w:cs="Cambria Math" w:eastAsia="Cambria Math"/>
                <w:b w:val="0"/>
                <w:i w:val="0"/>
                <w:color w:val="000000"/>
                <w:sz w:val="20"/>
              </w:rPr>
              <w:t>0.3585</w:t>
            </w:r>
          </w:p>
        </w:tc>
      </w:tr>
      <w:tr>
        <w:tc>
          <w:tcPr>
            <w:tcW w:type="dxa" w:w="1234"/>
          </w:tcPr>
          <w:p>
            <w:pPr>
              <w:spacing w:lineRule="auto" w:line="276" w:after="40" w:before="0"/>
            </w:pPr>
            <w:r/>
            <w:r>
              <w:rPr>
                <w:rFonts w:ascii="Cambria Math" w:hAnsi="Cambria Math" w:cs="Cambria Math" w:eastAsia="Cambria Math"/>
                <w:b w:val="0"/>
                <w:i w:val="0"/>
                <w:color w:val="000000"/>
                <w:sz w:val="20"/>
              </w:rPr>
              <w:t>Tobacco assessment+intervention</w:t>
            </w:r>
          </w:p>
        </w:tc>
        <w:tc>
          <w:tcPr>
            <w:tcW w:type="dxa" w:w="1234"/>
          </w:tcPr>
          <w:p>
            <w:pPr>
              <w:spacing w:lineRule="auto" w:line="276" w:after="40" w:before="0"/>
            </w:pPr>
            <w:r/>
            <w:r>
              <w:rPr>
                <w:rFonts w:ascii="Cambria Math" w:hAnsi="Cambria Math" w:cs="Cambria Math" w:eastAsia="Cambria Math"/>
                <w:b w:val="0"/>
                <w:i w:val="0"/>
                <w:color w:val="000000"/>
                <w:sz w:val="20"/>
              </w:rPr>
              <w:t>0.2197</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0.4833</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0.7942</w:t>
            </w:r>
          </w:p>
        </w:tc>
      </w:tr>
      <w:tr>
        <w:tc>
          <w:tcPr>
            <w:tcW w:type="dxa" w:w="1234"/>
          </w:tcPr>
          <w:p>
            <w:pPr>
              <w:spacing w:lineRule="auto" w:line="276" w:after="40" w:before="0"/>
            </w:pPr>
            <w:r/>
            <w:r>
              <w:rPr>
                <w:rFonts w:ascii="Cambria Math" w:hAnsi="Cambria Math" w:cs="Cambria Math" w:eastAsia="Cambria Math"/>
                <w:b w:val="0"/>
                <w:i w:val="0"/>
                <w:color w:val="000000"/>
                <w:sz w:val="20"/>
              </w:rPr>
              <w:t>Depression screen+follow-up</w:t>
            </w:r>
          </w:p>
        </w:tc>
        <w:tc>
          <w:tcPr>
            <w:tcW w:type="dxa" w:w="1234"/>
          </w:tcPr>
          <w:p>
            <w:pPr>
              <w:spacing w:lineRule="auto" w:line="276" w:after="40" w:before="0"/>
            </w:pPr>
            <w:r/>
            <w:r>
              <w:rPr>
                <w:rFonts w:ascii="Cambria Math" w:hAnsi="Cambria Math" w:cs="Cambria Math" w:eastAsia="Cambria Math"/>
                <w:b w:val="0"/>
                <w:i w:val="0"/>
                <w:color w:val="000000"/>
                <w:sz w:val="20"/>
              </w:rPr>
              <w:t>0.4675</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0.6429</w:t>
            </w:r>
          </w:p>
        </w:tc>
        <w:tc>
          <w:tcPr>
            <w:tcW w:type="dxa" w:w="1234"/>
          </w:tcPr>
          <w:p>
            <w:pPr>
              <w:spacing w:lineRule="auto" w:line="276" w:after="40" w:before="0"/>
            </w:pPr>
            <w:r/>
            <w:r>
              <w:rPr>
                <w:rFonts w:ascii="Cambria Math" w:hAnsi="Cambria Math" w:cs="Cambria Math" w:eastAsia="Cambria Math"/>
                <w:b w:val="0"/>
                <w:i w:val="0"/>
                <w:color w:val="000000"/>
                <w:sz w:val="20"/>
              </w:rPr>
              <w:t>1.0000</w:t>
            </w:r>
          </w:p>
        </w:tc>
        <w:tc>
          <w:tcPr>
            <w:tcW w:type="dxa" w:w="1234"/>
          </w:tcPr>
          <w:p>
            <w:pPr>
              <w:spacing w:lineRule="auto" w:line="276" w:after="40" w:before="0"/>
            </w:pPr>
            <w:r/>
            <w:r>
              <w:rPr>
                <w:rFonts w:ascii="Cambria Math" w:hAnsi="Cambria Math" w:cs="Cambria Math" w:eastAsia="Cambria Math"/>
                <w:b w:val="0"/>
                <w:i w:val="0"/>
                <w:color w:val="000000"/>
                <w:sz w:val="20"/>
              </w:rPr>
              <w:t>0.9266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Cambria Math" w:hAnsi="Cambria Math"/>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