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60" w:after="240" w:before="0"/>
      </w:pPr>
      <w:r>
        <w:rPr>
          <w:rFonts w:ascii="Cambria Math" w:hAnsi="Cambria Math" w:cs="Cambria Math" w:eastAsia="Cambria Math"/>
          <w:b/>
          <w:i w:val="0"/>
          <w:color w:val="000000"/>
          <w:sz w:val="28"/>
        </w:rPr>
        <w:t>Title Page</w:t>
      </w:r>
    </w:p>
    <w:p/>
    <w:p>
      <w:pPr>
        <w:spacing w:lineRule="auto" w:line="360" w:after="120" w:before="0"/>
      </w:pPr>
      <w:r>
        <w:rPr>
          <w:rFonts w:ascii="Cambria Math" w:hAnsi="Cambria Math" w:cs="Cambria Math" w:eastAsia="Cambria Math"/>
          <w:b/>
          <w:i w:val="0"/>
          <w:color w:val="000000"/>
          <w:sz w:val="22"/>
        </w:rPr>
        <w:t>Category:</w:t>
      </w: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 xml:space="preserve"> Brief Communication</w:t>
      </w:r>
    </w:p>
    <w:p/>
    <w:p>
      <w:pPr>
        <w:spacing w:lineRule="auto" w:line="360" w:after="120" w:before="0"/>
      </w:pPr>
      <w:r>
        <w:rPr>
          <w:rFonts w:ascii="Cambria Math" w:hAnsi="Cambria Math" w:cs="Cambria Math" w:eastAsia="Cambria Math"/>
          <w:b/>
          <w:i w:val="0"/>
          <w:color w:val="000000"/>
          <w:sz w:val="22"/>
        </w:rPr>
        <w:t>Title:</w:t>
      </w: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 xml:space="preserve"> Community Health Centers as Rural Safety-Net Absorbers: A Center-Level Event Study of Rural Hospital Closures, 2014–2024</w:t>
      </w:r>
    </w:p>
    <w:p/>
    <w:p>
      <w:pPr>
        <w:spacing w:lineRule="auto" w:line="360" w:after="120" w:before="0"/>
      </w:pPr>
      <w:r>
        <w:rPr>
          <w:rFonts w:ascii="Cambria Math" w:hAnsi="Cambria Math" w:cs="Cambria Math" w:eastAsia="Cambria Math"/>
          <w:b/>
          <w:i w:val="0"/>
          <w:color w:val="000000"/>
          <w:sz w:val="22"/>
        </w:rPr>
        <w:t>Authors:</w:t>
      </w:r>
    </w:p>
    <w:p>
      <w:pPr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Sanjay Basu, MD, PhD</w:t>
      </w:r>
      <w:r>
        <w:rPr>
          <w:rFonts w:ascii="Cambria Math" w:hAnsi="Cambria Math" w:cs="Cambria Math" w:eastAsia="Cambria Math"/>
          <w:b w:val="0"/>
          <w:i w:val="0"/>
          <w:color w:val="000000"/>
          <w:sz w:val="22"/>
          <w:vertAlign w:val="superscript"/>
        </w:rPr>
        <w:t>1,2</w:t>
      </w:r>
    </w:p>
    <w:p>
      <w:pPr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[Peter Shin, PhD, MPH — proposed senior author]</w:t>
      </w:r>
      <w:r>
        <w:rPr>
          <w:rFonts w:ascii="Cambria Math" w:hAnsi="Cambria Math" w:cs="Cambria Math" w:eastAsia="Cambria Math"/>
          <w:b w:val="0"/>
          <w:i w:val="0"/>
          <w:color w:val="000000"/>
          <w:sz w:val="22"/>
          <w:vertAlign w:val="superscript"/>
        </w:rPr>
        <w:t>3</w:t>
      </w:r>
    </w:p>
    <w:p/>
    <w:p>
      <w:pPr>
        <w:spacing w:lineRule="auto" w:line="360" w:after="120" w:before="0"/>
      </w:pPr>
      <w:r>
        <w:rPr>
          <w:rFonts w:ascii="Cambria Math" w:hAnsi="Cambria Math" w:cs="Cambria Math" w:eastAsia="Cambria Math"/>
          <w:b/>
          <w:i w:val="0"/>
          <w:color w:val="000000"/>
          <w:sz w:val="22"/>
        </w:rPr>
        <w:t>Affiliations:</w:t>
      </w:r>
    </w:p>
    <w:p>
      <w:pPr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  <w:vertAlign w:val="superscript"/>
        </w:rPr>
        <w:t>1</w:t>
      </w: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 xml:space="preserve"> Department of Medicine, University of California, San Francisco, San Francisco, CA</w:t>
      </w:r>
    </w:p>
    <w:p>
      <w:pPr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  <w:vertAlign w:val="superscript"/>
        </w:rPr>
        <w:t>2</w:t>
      </w: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 xml:space="preserve"> Waymark, San Francisco, CA</w:t>
      </w:r>
    </w:p>
    <w:p>
      <w:pPr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  <w:vertAlign w:val="superscript"/>
        </w:rPr>
        <w:t>3</w:t>
      </w: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 xml:space="preserve"> Geiger Gibson Program in Community Health, Milken Institute School of Public Health, The George Washington University, Washington, DC</w:t>
      </w:r>
    </w:p>
    <w:p/>
    <w:p>
      <w:pPr>
        <w:spacing w:lineRule="auto" w:line="360" w:after="120" w:before="0"/>
      </w:pPr>
      <w:r>
        <w:rPr>
          <w:rFonts w:ascii="Cambria Math" w:hAnsi="Cambria Math" w:cs="Cambria Math" w:eastAsia="Cambria Math"/>
          <w:b/>
          <w:i w:val="0"/>
          <w:color w:val="000000"/>
          <w:sz w:val="22"/>
        </w:rPr>
        <w:t>Running head:</w:t>
      </w: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 xml:space="preserve"> CHCs and rural hospital closures</w:t>
      </w:r>
    </w:p>
    <w:p/>
    <w:p>
      <w:pPr>
        <w:spacing w:lineRule="auto" w:line="360" w:after="120" w:before="0"/>
      </w:pPr>
      <w:r>
        <w:rPr>
          <w:rFonts w:ascii="Cambria Math" w:hAnsi="Cambria Math" w:cs="Cambria Math" w:eastAsia="Cambria Math"/>
          <w:b/>
          <w:i w:val="0"/>
          <w:color w:val="000000"/>
          <w:sz w:val="22"/>
        </w:rPr>
        <w:t>Correspondence:</w:t>
      </w:r>
    </w:p>
    <w:p>
      <w:pPr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Sanjay Basu, MD, PhD</w:t>
      </w:r>
    </w:p>
    <w:p>
      <w:pPr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Email: sanjay.basu@ucsf.edu</w:t>
      </w:r>
    </w:p>
    <w:p/>
    <w:p>
      <w:pPr>
        <w:spacing w:lineRule="auto" w:line="360" w:after="120" w:before="0"/>
      </w:pPr>
      <w:r>
        <w:rPr>
          <w:rFonts w:ascii="Cambria Math" w:hAnsi="Cambria Math" w:cs="Cambria Math" w:eastAsia="Cambria Math"/>
          <w:b/>
          <w:i w:val="0"/>
          <w:color w:val="000000"/>
          <w:sz w:val="22"/>
        </w:rPr>
        <w:t>Addresses for publication: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Sanjay Basu: UCSF Department of Medicine / Waymark, San Francisco, CA</w:t>
      </w:r>
    </w:p>
    <w:p/>
    <w:p>
      <w:pPr>
        <w:spacing w:lineRule="auto" w:line="360" w:after="120" w:before="0"/>
      </w:pPr>
      <w:r>
        <w:rPr>
          <w:rFonts w:ascii="Cambria Math" w:hAnsi="Cambria Math" w:cs="Cambria Math" w:eastAsia="Cambria Math"/>
          <w:b/>
          <w:i w:val="0"/>
          <w:color w:val="000000"/>
          <w:sz w:val="22"/>
        </w:rPr>
        <w:t>Number of tables:</w:t>
      </w: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 xml:space="preserve"> 2</w:t>
      </w:r>
    </w:p>
    <w:p>
      <w:pPr>
        <w:spacing w:lineRule="auto" w:line="360" w:after="120" w:before="0"/>
      </w:pPr>
      <w:r>
        <w:rPr>
          <w:rFonts w:ascii="Cambria Math" w:hAnsi="Cambria Math" w:cs="Cambria Math" w:eastAsia="Cambria Math"/>
          <w:b/>
          <w:i w:val="0"/>
          <w:color w:val="000000"/>
          <w:sz w:val="22"/>
        </w:rPr>
        <w:t>Number of figures:</w:t>
      </w: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 xml:space="preserve"> 2</w:t>
      </w:r>
    </w:p>
    <w:p>
      <w:pPr>
        <w:spacing w:lineRule="auto" w:line="360" w:after="120" w:before="0"/>
      </w:pPr>
      <w:r>
        <w:rPr>
          <w:rFonts w:ascii="Cambria Math" w:hAnsi="Cambria Math" w:cs="Cambria Math" w:eastAsia="Cambria Math"/>
          <w:b/>
          <w:i w:val="0"/>
          <w:color w:val="000000"/>
          <w:sz w:val="22"/>
        </w:rPr>
        <w:t>Number of boxes:</w:t>
      </w: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 xml:space="preserve"> 0</w:t>
      </w:r>
    </w:p>
    <w:p>
      <w:pPr>
        <w:spacing w:lineRule="auto" w:line="360" w:after="120" w:before="0"/>
      </w:pPr>
      <w:r>
        <w:rPr>
          <w:rFonts w:ascii="Cambria Math" w:hAnsi="Cambria Math" w:cs="Cambria Math" w:eastAsia="Cambria Math"/>
          <w:b/>
          <w:i w:val="0"/>
          <w:color w:val="000000"/>
          <w:sz w:val="22"/>
        </w:rPr>
        <w:t>Number of references:</w:t>
      </w: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 xml:space="preserve"> 14</w:t>
      </w:r>
    </w:p>
    <w:p/>
    <w:p>
      <w:pPr>
        <w:spacing w:lineRule="auto" w:line="360" w:after="120" w:before="0"/>
      </w:pPr>
      <w:r>
        <w:rPr>
          <w:rFonts w:ascii="Cambria Math" w:hAnsi="Cambria Math" w:cs="Cambria Math" w:eastAsia="Cambria Math"/>
          <w:b/>
          <w:i w:val="0"/>
          <w:color w:val="000000"/>
          <w:sz w:val="22"/>
        </w:rPr>
        <w:t>Abbreviations used in the article: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ACA — Affordable Care Act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ATT — Average treatment effect on the treated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BHCMIS — Bureau of Primary Health Care Management Information System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BMI — Body mass index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CAH — Critical access hospital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CHC — Community health center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CHIP — Children's Health Insurance Program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CI — Confidence interval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DiD — Difference-in-differences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FQHC — Federally qualified health center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HRSA — Health Resources and Services Administration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HTN — Hypertension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LAL — Look-alike (Health Center Program look-alike)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NHSC — National Health Service Corps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pp — Percentage points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PPS — Prospective Payment System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RUCA — Rural-Urban Commuting Area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THC — Teaching Health Center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TWFE — Two-way fixed effects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UDS — Uniform Data System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ZIP — Zone Improvement Plan (postal code)</w:t>
      </w:r>
    </w:p>
    <w:p/>
    <w:p>
      <w:pPr>
        <w:spacing w:lineRule="auto" w:line="360" w:after="120" w:before="0"/>
      </w:pPr>
      <w:r>
        <w:rPr>
          <w:rFonts w:ascii="Cambria Math" w:hAnsi="Cambria Math" w:cs="Cambria Math" w:eastAsia="Cambria Math"/>
          <w:b/>
          <w:i w:val="0"/>
          <w:color w:val="000000"/>
          <w:sz w:val="22"/>
        </w:rPr>
        <w:t>AI use disclosure (per JHCPU policy):</w:t>
      </w:r>
    </w:p>
    <w:p>
      <w:pPr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The author used Claude (Anthropic) as a coding assistant to help write data-ingest, statistical-analysis, and figure-generation scripts (Python). All study design decisions, statistical model selection, manuscript text, and final code review were performed by the author. No AI-generated text was used verbatim in the manuscript; AI assistance was limited to code drafting and discussion/refinement of analytic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120"/>
    </w:pPr>
    <w:rPr>
      <w:rFonts w:ascii="Cambria Math" w:hAnsi="Cambria Math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