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upplementary-appendix"/>
    <w:p>
      <w:pPr>
        <w:pStyle w:val="Heading1"/>
      </w:pPr>
      <w:r>
        <w:t xml:space="preserve">Supplementary Appendix</w:t>
      </w:r>
    </w:p>
    <w:bookmarkStart w:id="9" w:name="X6ac8ecf19a8e1210a80addaab61acaea3b5c0a9"/>
    <w:p>
      <w:pPr>
        <w:pStyle w:val="Heading2"/>
      </w:pPr>
      <w:r>
        <w:t xml:space="preserve">Treatment-Effect-Based Versus Risk-Based Targeting of Care Management Outreach in Medicaid: A Causal Machine Learning Cohort Study</w:t>
      </w:r>
    </w:p>
    <w:p>
      <w:pPr>
        <w:pStyle w:val="FirstParagraph"/>
      </w:pPr>
      <w:r>
        <w:t xml:space="preserve">Sanjay Basu, MD, PhD; Sadiq Y. Patel, MSW, PhD; Rajaie Batniji, MD, PhD</w:t>
      </w:r>
    </w:p>
    <w:p>
      <w:r>
        <w:pict>
          <v:rect style="width:0;height:1.5pt" o:hralign="center" o:hrstd="t" o:hr="t"/>
        </w:pic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S1. Methods</w:t>
      </w:r>
      <w:r>
        <w:t xml:space="preserve"> </w:t>
      </w:r>
      <w:r>
        <w:t xml:space="preserve">— extended methodological detail for items summarized in the main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S2. Reporting checklists</w:t>
      </w:r>
      <w:r>
        <w:t xml:space="preserve"> </w:t>
      </w:r>
      <w:r>
        <w:t xml:space="preserve">— RECORD/STROBE and TRIPOD+AI completed checklists.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 Supplementary tables</w:t>
      </w:r>
      <w:r>
        <w:t xml:space="preserve"> </w:t>
      </w:r>
      <w:r>
        <w:t xml:space="preserve">— S1-S7.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S4. Supplementary figures</w:t>
      </w:r>
      <w:r>
        <w:t xml:space="preserve"> </w:t>
      </w:r>
      <w:r>
        <w:t xml:space="preserve">— S1-S6.</w:t>
      </w:r>
    </w:p>
    <w:p>
      <w:r>
        <w:pict>
          <v:rect style="width:0;height:1.5pt" o:hralign="center" o:hrstd="t" o:hr="t"/>
        </w:pict>
      </w:r>
    </w:p>
    <w:bookmarkEnd w:id="10"/>
    <w:bookmarkStart w:id="22" w:name="s1.-methods"/>
    <w:p>
      <w:pPr>
        <w:pStyle w:val="Heading2"/>
      </w:pPr>
      <w:r>
        <w:t xml:space="preserve">S1. Methods</w:t>
      </w:r>
    </w:p>
    <w:bookmarkStart w:id="11" w:name="s1.1-cohort-flow"/>
    <w:p>
      <w:pPr>
        <w:pStyle w:val="Heading3"/>
      </w:pPr>
      <w:r>
        <w:t xml:space="preserve">S1.1 Cohort flow</w:t>
      </w:r>
    </w:p>
    <w:p>
      <w:pPr>
        <w:pStyle w:val="FirstParagraph"/>
      </w:pPr>
      <w:r>
        <w:t xml:space="preserve">Initial eligible records: 234,718 unique beneficiaries with at least one day of managed-care enrollment in Washington or Virginia between 1 January 2023 and 31 December 2025.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n excluded</w:t>
            </w:r>
          </w:p>
        </w:tc>
        <w:tc>
          <w:tcPr/>
          <w:p>
            <w:pPr>
              <w:pStyle w:val="Compact"/>
            </w:pPr>
            <w:r>
              <w:t xml:space="preserve">Cumulative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Medicare dual-eligibility (Part A or Part B)</w:t>
            </w:r>
          </w:p>
        </w:tc>
        <w:tc>
          <w:tcPr/>
          <w:p>
            <w:pPr>
              <w:pStyle w:val="Compact"/>
            </w:pPr>
            <w:r>
              <w:t xml:space="preserve">39,308</w:t>
            </w:r>
          </w:p>
        </w:tc>
        <w:tc>
          <w:tcPr/>
          <w:p>
            <w:pPr>
              <w:pStyle w:val="Compact"/>
            </w:pPr>
            <w:r>
              <w:t xml:space="preserve">195,410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Hospice or long-term-care facility residence at any point in study period</w:t>
            </w:r>
          </w:p>
        </w:tc>
        <w:tc>
          <w:tcPr/>
          <w:p>
            <w:pPr>
              <w:pStyle w:val="Compact"/>
            </w:pPr>
            <w:r>
              <w:t xml:space="preserve">5,701</w:t>
            </w:r>
          </w:p>
        </w:tc>
        <w:tc>
          <w:tcPr/>
          <w:p>
            <w:pPr>
              <w:pStyle w:val="Compact"/>
            </w:pPr>
            <w:r>
              <w:t xml:space="preserve">189,709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claims (≥ 20% person-months missing all claim types)</w:t>
            </w:r>
          </w:p>
        </w:tc>
        <w:tc>
          <w:tcPr/>
          <w:p>
            <w:pPr>
              <w:pStyle w:val="Compact"/>
            </w:pPr>
            <w:r>
              <w:t xml:space="preserve">15,127</w:t>
            </w:r>
          </w:p>
        </w:tc>
        <w:tc>
          <w:tcPr/>
          <w:p>
            <w:pPr>
              <w:pStyle w:val="Compact"/>
            </w:pPr>
            <w:r>
              <w:t xml:space="preserve">174,582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 enrollment records (overlapping spans, duplicate IDs)</w:t>
            </w:r>
          </w:p>
        </w:tc>
        <w:tc>
          <w:tcPr/>
          <w:p>
            <w:pPr>
              <w:pStyle w:val="Compact"/>
            </w:pPr>
            <w:r>
              <w:t xml:space="preserve">10,519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164,063</w:t>
            </w:r>
          </w:p>
        </w:tc>
      </w:tr>
    </w:tbl>
    <w:p>
      <w:pPr>
        <w:pStyle w:val="BodyText"/>
      </w:pPr>
      <w:r>
        <w:t xml:space="preserve">The 164,063 retained beneficiaries contributed 2,670,806 person-months. Mean follow-up was 16.3 months (SD 9.7); median 17 months (IQR 9 to 25). The cohort flow diagram is shown as Figure S1.</w:t>
      </w:r>
    </w:p>
    <w:bookmarkEnd w:id="11"/>
    <w:bookmarkStart w:id="12" w:name="s1.2-covariate-dictionary"/>
    <w:p>
      <w:pPr>
        <w:pStyle w:val="Heading3"/>
      </w:pPr>
      <w:r>
        <w:t xml:space="preserve">S1.2 Covariate dictionary</w:t>
      </w:r>
    </w:p>
    <w:p>
      <w:pPr>
        <w:pStyle w:val="FirstParagraph"/>
      </w:pPr>
      <w:r>
        <w:t xml:space="preserve">The 127-feature covariate vector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comprises:</w:t>
      </w:r>
    </w:p>
    <w:p>
      <w:pPr>
        <w:pStyle w:val="BodyText"/>
      </w:pPr>
      <w:r>
        <w:rPr>
          <w:b/>
          <w:bCs/>
        </w:rPr>
        <w:t xml:space="preserve">Demographics (7).</w:t>
      </w:r>
      <w:r>
        <w:t xml:space="preserve"> </w:t>
      </w:r>
      <w:r>
        <w:t xml:space="preserve">Age (years, continuous); sex (male/female); race/ethnicity (5 levels: White, Black or African American, Hispanic or Latino, Asian, Other or unknown); state (Washington/Virginia); county RUCA category (urban / suburban / rural); primary language (English / Spanish / Other); managed-care plan ID (one-hot).</w:t>
      </w:r>
    </w:p>
    <w:p>
      <w:pPr>
        <w:pStyle w:val="BodyText"/>
      </w:pPr>
      <w:r>
        <w:rPr>
          <w:b/>
          <w:bCs/>
        </w:rPr>
        <w:t xml:space="preserve">Historical utilization (42).</w:t>
      </w:r>
      <w:r>
        <w:t xml:space="preserve"> </w:t>
      </w:r>
      <w:r>
        <w:t xml:space="preserve">For each of seven service types — ED, inpatient admission, observation stay, primary-care visit, specialist visit, behavioral-health visit, dental visit — three features per 30/90/180/365-day window (count, days-since-last [capped at 730], any-occurrence indicator); a total of 7 × 4 × 1.5 = 42 features after collapsing redundant indicators within shorter windows.</w:t>
      </w:r>
    </w:p>
    <w:p>
      <w:pPr>
        <w:pStyle w:val="BodyText"/>
      </w:pPr>
      <w:r>
        <w:rPr>
          <w:b/>
          <w:bCs/>
        </w:rPr>
        <w:t xml:space="preserve">Chronic conditions (28).</w:t>
      </w:r>
      <w:r>
        <w:t xml:space="preserve"> </w:t>
      </w:r>
      <w:r>
        <w:t xml:space="preserve">Indicators for hypertension, diabetes, asthma, COPD, heart failure, coronary artery disease, cerebrovascular disease, chronic kidney disease, depression, anxiety, bipolar disorder, schizophrenia spectrum, substance-use disorder, and dementia (per Chronic Conditions Data Warehouse algorithms; ≥ 2 claims ≥ 30 days apart); plus chronic-condition count, behavioral-health-diagnosis indicator, and 12 condition-specific recency features.</w:t>
      </w:r>
    </w:p>
    <w:p>
      <w:pPr>
        <w:pStyle w:val="BodyText"/>
      </w:pPr>
      <w:r>
        <w:rPr>
          <w:b/>
          <w:bCs/>
        </w:rPr>
        <w:t xml:space="preserve">Care-management engagement (18).</w:t>
      </w:r>
      <w:r>
        <w:t xml:space="preserve"> </w:t>
      </w:r>
      <w:r>
        <w:t xml:space="preserve">Cumulative completed contacts, contacts in past 30/90/180 days, days since last completed contact, ever-engaged indicator, three-level engagement-trajectory category (decreasing/stable/increasing), unsuccessful-outreach attempts in past 30 days, preferred contact modality, care-plan-active indicator, open-referrals count, documented social-need barrier counts (transportation, housing, food).</w:t>
      </w:r>
    </w:p>
    <w:p>
      <w:pPr>
        <w:pStyle w:val="BodyText"/>
      </w:pPr>
      <w:r>
        <w:rPr>
          <w:b/>
          <w:bCs/>
        </w:rPr>
        <w:t xml:space="preserve">Pharmacy (14).</w:t>
      </w:r>
      <w:r>
        <w:t xml:space="preserve"> </w:t>
      </w:r>
      <w:r>
        <w:t xml:space="preserve">Unique-NDC count in past 90 days, proportion of days covered for chronic medications, opioid/benzodiazepine/antipsychotic indicators, polypharmacy indicator (≥ 5 concurrent), new-prescription count in past 30 days, pharmacy-claim-recency features.</w:t>
      </w:r>
    </w:p>
    <w:p>
      <w:pPr>
        <w:pStyle w:val="BodyText"/>
      </w:pPr>
      <w:r>
        <w:rPr>
          <w:b/>
          <w:bCs/>
        </w:rPr>
        <w:t xml:space="preserve">Temporal (18).</w:t>
      </w:r>
      <w:r>
        <w:t xml:space="preserve"> </w:t>
      </w:r>
      <w:r>
        <w:t xml:space="preserve">Calendar month (12 indicators), quarter (4 indicators), holiday-proximity indicator, flu-season indicator (October-March), days since enrollment, days since last acute event, utilization-trajectory indicators.</w:t>
      </w:r>
    </w:p>
    <w:bookmarkEnd w:id="12"/>
    <w:bookmarkStart w:id="13" w:name="Xa6fc47779721f17b9c6bcc19cef1b0eba29ceca"/>
    <w:p>
      <w:pPr>
        <w:pStyle w:val="Heading3"/>
      </w:pPr>
      <w:r>
        <w:t xml:space="preserve">S1.3 CATE estimation: estimators, hyperparameters, and cross-fitting</w:t>
      </w:r>
    </w:p>
    <w:p>
      <w:pPr>
        <w:pStyle w:val="FirstParagraph"/>
      </w:pPr>
      <w:r>
        <w:t xml:space="preserve">We used four CATE estimators in parallel and report all four in the sensitivity analyses.</w:t>
      </w:r>
    </w:p>
    <w:p>
      <w:pPr>
        <w:pStyle w:val="BodyText"/>
      </w:pPr>
      <w:r>
        <w:rPr>
          <w:b/>
          <w:bCs/>
        </w:rPr>
        <w:t xml:space="preserve">Causal forest (primary).</w:t>
      </w:r>
      <w:r>
        <w:t xml:space="preserve"> </w:t>
      </w:r>
      <w:r>
        <w:t xml:space="preserve">Implemented via the</w:t>
      </w:r>
      <w:r>
        <w:t xml:space="preserve"> </w:t>
      </w:r>
      <w:r>
        <w:rPr>
          <w:rStyle w:val="VerbatimChar"/>
        </w:rPr>
        <w:t xml:space="preserve">grf</w:t>
      </w:r>
      <w:r>
        <w:t xml:space="preserve"> </w:t>
      </w:r>
      <w:r>
        <w:t xml:space="preserve">R package (v2.4.0)</w:t>
      </w:r>
      <m:oMath>
        <m:sSup>
          <m:e>
            <m:r>
              <m:t>​</m:t>
            </m:r>
          </m:e>
          <m:sup>
            <m:r>
              <m:t>18</m:t>
            </m:r>
            <m:r>
              <m:rPr>
                <m:sty m:val="p"/>
              </m:rPr>
              <m:t>,</m:t>
            </m:r>
            <m:r>
              <m:t>19</m:t>
            </m:r>
          </m:sup>
        </m:sSup>
      </m:oMath>
      <w:r>
        <w:t xml:space="preserve"> </w:t>
      </w:r>
      <w:r>
        <w:t xml:space="preserve">called from Python through</w:t>
      </w:r>
      <w:r>
        <w:t xml:space="preserve"> </w:t>
      </w:r>
      <w:r>
        <w:rPr>
          <w:rStyle w:val="VerbatimChar"/>
        </w:rPr>
        <w:t xml:space="preserve">rpy2</w:t>
      </w:r>
      <w:r>
        <w:t xml:space="preserve">. Parameters: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trees, minimum leaf size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mtry</m:t>
        </m:r>
        <m:r>
          <m:rPr>
            <m:sty m:val="p"/>
          </m:rPr>
          <m:t>=</m:t>
        </m:r>
        <m:r>
          <m:rPr>
            <m:sty m:val="p"/>
          </m:rPr>
          <m:t>⌈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⌉</m:t>
        </m:r>
        <m:r>
          <m:rPr>
            <m:sty m:val="p"/>
          </m:rPr>
          <m:t>=</m:t>
        </m:r>
        <m:r>
          <m:t>12</m:t>
        </m:r>
      </m:oMath>
      <w:r>
        <w:t xml:space="preserve">, honest splitting (50/50 sample partition),</w:t>
      </w:r>
      <w:r>
        <w:t xml:space="preserve"> </w:t>
      </w:r>
      <w:r>
        <w:rPr>
          <w:rStyle w:val="VerbatimChar"/>
        </w:rPr>
        <w:t xml:space="preserve">ci.group.size</w:t>
      </w:r>
      <w:r>
        <w:t xml:space="preserve"> </w:t>
      </w:r>
      <w:r>
        <w:t xml:space="preserve">= 4 for confidence-interval estimation, regularization parameter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We selected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examining out-of-bag MSE convergence (plateau by 3,500 trees); we selected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by 5-fold cross-validation over</w:t>
      </w:r>
      <w:r>
        <w:t xml:space="preserve"> </w:t>
      </w:r>
      <m:oMath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}</m:t>
        </m:r>
      </m:oMath>
      <w:r>
        <w:t xml:space="preserve">. Honest splitting ensures the leaf-construction sample is independent of the leaf-estimation sample, which is required for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-consistent inference.</w:t>
      </w:r>
    </w:p>
    <w:p>
      <w:pPr>
        <w:pStyle w:val="BodyText"/>
      </w:pPr>
      <w:r>
        <w:rPr>
          <w:b/>
          <w:bCs/>
        </w:rPr>
        <w:t xml:space="preserve">DR-Learner.</w:t>
      </w:r>
      <m:oMath>
        <m:sSup>
          <m:e>
            <m:r>
              <m:t>​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Two-stage construction: (1) cross-fitted nuisance functions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 (2) construction of pseudo-outcomes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num>
          <m:den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 (3) regression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via gradient boosting (XGBoost;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max_depth=4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early-stopping at 50 rounds). We chose hyperparameters by 5-fold CV minimizing held-out MSE.</w:t>
      </w:r>
    </w:p>
    <w:p>
      <w:pPr>
        <w:pStyle w:val="BodyText"/>
      </w:pPr>
      <w:r>
        <w:rPr>
          <w:b/>
          <w:bCs/>
        </w:rPr>
        <w:t xml:space="preserve">R-Learner.</w:t>
      </w:r>
      <m:oMath>
        <m:sSup>
          <m:e>
            <m:r>
              <m:t>​</m:t>
            </m:r>
          </m:e>
          <m:sup>
            <m:r>
              <m:t>22</m:t>
            </m:r>
          </m:sup>
        </m:sSup>
      </m:oMath>
      <w:r>
        <w:t xml:space="preserve"> </w:t>
      </w:r>
      <w:r>
        <w:t xml:space="preserve">Constructs the residual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residual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]</m:t>
        </m:r>
      </m:oMath>
      <w:r>
        <w:t xml:space="preserve">, then minimizes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via gradient boosting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as a feature.</w:t>
      </w:r>
    </w:p>
    <w:p>
      <w:pPr>
        <w:pStyle w:val="BodyText"/>
      </w:pPr>
      <w:r>
        <w:rPr>
          <w:b/>
          <w:bCs/>
        </w:rPr>
        <w:t xml:space="preserve">T-Learner and S-Learner (benchmarks).</w:t>
      </w:r>
      <w:r>
        <w:t xml:space="preserve"> </w:t>
      </w:r>
      <w:r>
        <w:t xml:space="preserve">Standard implementations using gradient-boosted regression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(T-learner: separate models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; S-learner: single model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 feature).</w:t>
      </w:r>
    </w:p>
    <w:p>
      <w:pPr>
        <w:pStyle w:val="BodyText"/>
      </w:pPr>
      <w:r>
        <w:rPr>
          <w:b/>
          <w:bCs/>
        </w:rPr>
        <w:t xml:space="preserve">Cross-fitting protocol.</w:t>
      </w:r>
      <w:r>
        <w:t xml:space="preserve"> </w:t>
      </w:r>
      <w:r>
        <w:t xml:space="preserve">Beneficiaries (not person-months) were partitioned into 5 cross-fitting folds,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ensuring all observations from one beneficiary fall in the same fold (preventing within-person leakage). For fold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 nuisance functions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were trained on folds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and applied only to fold</w:t>
      </w:r>
      <w:r>
        <w:t xml:space="preserve"> </w:t>
      </w:r>
      <m:oMath>
        <m:r>
          <m:t>k</m:t>
        </m:r>
      </m:oMath>
      <w:r>
        <w:t xml:space="preserve">. The CATE estimator was then trained either (a) on the full set of cross-fitted predictions (causal forest, R-learner), or (b) using a further held-out fold for target-stage estimation (DR-Learner). This protocol resolves the apparent inconsistency in our prior submission between five-fold cross-fitting and a 70/15/15 split: the 70/15/15 split was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the auxiliary trajectory simulator (used in earlier sensitivity analyses; deprecated here in favor of MSM/IPTW and target-trial emulation, which together provide stronger handling of time-varying confounding without requiring a generative simulator).</w:t>
      </w:r>
    </w:p>
    <w:p>
      <w:pPr>
        <w:pStyle w:val="BodyText"/>
      </w:pPr>
      <w:r>
        <w:rPr>
          <w:b/>
          <w:bCs/>
        </w:rPr>
        <w:t xml:space="preserve">Nuisance hyperparameters (gradient boosting for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,</m:t>
        </m:r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m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Search grid: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∈ {200, 500, 1000},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∈ {3, 4, 6},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∈ {0.03, 0.05, 0.1}. Selected: 500 / 4 / 0.05 (outcome models) and 1000 / 4 / 0.05 (propensity model). Hyperparameter selection used 5-fold CV within the training fold of each cross-fit split, optimizing held-out negative log-likelihood for the propensity and held-out MSE for outcomes. Final propensity scores were monotonically isotonic-regression calibrated.</w:t>
      </w:r>
    </w:p>
    <w:bookmarkEnd w:id="13"/>
    <w:bookmarkStart w:id="14" w:name="s1.4-within-person-fixed-effects"/>
    <w:p>
      <w:pPr>
        <w:pStyle w:val="Heading3"/>
      </w:pPr>
      <w:r>
        <w:t xml:space="preserve">S1.4 Within-person fixed effects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nary>
      </m:oMath>
      <w:r>
        <w:t xml:space="preserve"> </w:t>
      </w:r>
      <w:r>
        <w:t xml:space="preserve">(similarly 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). Define demeaned variables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 Causal-forest fitting on demeaned data identifies CATEs from variation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beneficiary across months and removes confounding by stable individual characteristics (e.g., baseline severity, beneficiary preferences, neighborhood). This estimator is consistent for the within-person CATE under the usual identification assumptions plus a strict exogeneity condition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t>ϵ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m:oMath>
        <m:sSup>
          <m:e>
            <m:r>
              <m:t>​</m:t>
            </m:r>
          </m:e>
          <m:sup>
            <m:r>
              <m:t>24</m:t>
            </m:r>
            <m:r>
              <m:rPr>
                <m:sty m:val="p"/>
              </m:rPr>
              <m:t>,</m:t>
            </m:r>
            <m:r>
              <m:t>25</m:t>
            </m:r>
          </m:sup>
        </m:sSup>
      </m:oMath>
      <w:r>
        <w:t xml:space="preserve"> </w:t>
      </w:r>
      <w:r>
        <w:t xml:space="preserve">Strict exogeneity precludes</w:t>
      </w:r>
      <w:r>
        <w:t xml:space="preserve"> </w:t>
      </w:r>
      <w:r>
        <w:t xml:space="preserve">“feedback”</w:t>
      </w:r>
      <w:r>
        <w:t xml:space="preserve"> </w:t>
      </w:r>
      <w:r>
        <w:t xml:space="preserve">— for example,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predicting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We do not assert this assumption holds without doubt; we triangulate using MSM/IPTW (which targets time-varying treatment) and quasi-experimental IV.</w:t>
      </w:r>
    </w:p>
    <w:bookmarkEnd w:id="14"/>
    <w:bookmarkStart w:id="15" w:name="s1.5-time-varying-confounding-msmiptw"/>
    <w:p>
      <w:pPr>
        <w:pStyle w:val="Heading3"/>
      </w:pPr>
      <w:r>
        <w:t xml:space="preserve">S1.5 Time-varying confounding: MSM/IPTW</w:t>
      </w:r>
    </w:p>
    <w:p>
      <w:pPr>
        <w:pStyle w:val="FirstParagraph"/>
      </w:pPr>
      <w:r>
        <w:t xml:space="preserve">We fit a longitudinal propensity model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gradient boosting with monthly-lagged covariates and constructed</w:t>
      </w:r>
      <w:r>
        <w:t xml:space="preserve"> </w:t>
      </w:r>
      <w:r>
        <w:rPr>
          <w:i/>
          <w:iCs/>
        </w:rPr>
        <w:t xml:space="preserve">stabilized inverse-probability-of-treatment weights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Following Robins-Hernán-Brumback,</w:t>
      </w:r>
      <m:oMath>
        <m:sSup>
          <m:e>
            <m:r>
              <m:t>​</m:t>
            </m:r>
          </m:e>
          <m:sup>
            <m:r>
              <m:t>26</m:t>
            </m:r>
          </m:sup>
        </m:sSup>
      </m:oMath>
      <w:r>
        <w:t xml:space="preserve"> </w:t>
      </w:r>
      <w:r>
        <w:t xml:space="preserve">we truncated stabilized weights at the 1st and 99th percentiles to limit variance amplification. We re-fit the primary contrasts using a marginal structural model with these weights and report the resulting efficiency ratio in Table 4 (5.1×; 95% CI, 4.6 to 5.6).</w:t>
      </w:r>
    </w:p>
    <w:bookmarkEnd w:id="15"/>
    <w:bookmarkStart w:id="16" w:name="s1.6-target-trial-emulation"/>
    <w:p>
      <w:pPr>
        <w:pStyle w:val="Heading3"/>
      </w:pPr>
      <w:r>
        <w:t xml:space="preserve">S1.6 Target-trial emulation</w:t>
      </w:r>
    </w:p>
    <w:p>
      <w:pPr>
        <w:pStyle w:val="FirstParagraph"/>
      </w:pPr>
      <w:r>
        <w:t xml:space="preserve">We emulated a hypothetical target trial</w:t>
      </w:r>
      <m:oMath>
        <m:sSup>
          <m:e>
            <m:r>
              <m:t>​</m:t>
            </m:r>
          </m:e>
          <m:sup>
            <m:r>
              <m:t>28</m:t>
            </m:r>
          </m:sup>
        </m:sSup>
      </m:oMath>
      <w:r>
        <w:t xml:space="preserve"> </w:t>
      </w:r>
      <w:r>
        <w:t xml:space="preserve">in which, at each monthly index date, eligible beneficiaries (continuous enrollment, alive, not in hospice) were assigned to</w:t>
      </w:r>
      <w:r>
        <w:t xml:space="preserve"> </w:t>
      </w:r>
      <w:r>
        <w:t xml:space="preserve">“contact”</w:t>
      </w:r>
      <w:r>
        <w:t xml:space="preserve"> </w:t>
      </w:r>
      <w:r>
        <w:t xml:space="preserve">or</w:t>
      </w:r>
      <w:r>
        <w:t xml:space="preserve"> </w:t>
      </w:r>
      <w:r>
        <w:t xml:space="preserve">“no contact”</w:t>
      </w:r>
      <w:r>
        <w:t xml:space="preserve"> </w:t>
      </w:r>
      <w:r>
        <w:t xml:space="preserve">arms in proportion to the observed propensity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followed for 30 days regardless of subsequent enrollment changes. Beneficiaries could re-enter the trial each month. We report effect-based vs. risk-based efficiency under this design in Table 4 (5.1×).</w:t>
      </w:r>
    </w:p>
    <w:bookmarkEnd w:id="16"/>
    <w:bookmarkStart w:id="17" w:name="s1.7-off-policy-evaluation"/>
    <w:p>
      <w:pPr>
        <w:pStyle w:val="Heading3"/>
      </w:pPr>
      <w:r>
        <w:t xml:space="preserve">S1.7 Off-policy evaluation</w:t>
      </w:r>
    </w:p>
    <w:p>
      <w:pPr>
        <w:pStyle w:val="FirstParagraph"/>
      </w:pPr>
      <w:r>
        <w:t xml:space="preserve">The doubly robust off-policy value estimator of Jiang and Li:</w:t>
      </w:r>
      <m:oMath>
        <m:sSup>
          <m:e>
            <m:r>
              <m:t>​</m:t>
            </m:r>
          </m:e>
          <m:sup>
            <m:r>
              <m:t>29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[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consistent if either (a) the outcome model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correctly specified, or (b) the importance weight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t xml:space="preserve">is correctly specified. We computed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separately for</w:t>
      </w:r>
      <w:r>
        <w:t xml:space="preserve"> </w:t>
      </w:r>
      <m:oMath>
        <m:sSub>
          <m:e>
            <m:r>
              <m:t>π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(risk-based) and</w:t>
      </w:r>
      <w:r>
        <w:t xml:space="preserve"> </w:t>
      </w:r>
      <m:oMath>
        <m:sSub>
          <m:e>
            <m:r>
              <m:t>π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(effect-based) at the program-fixed 10% capacity, then formed the efficiency ratio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rank-weighted average treatment effect (RATE) of Yadlowsky et al.</w:t>
      </w:r>
      <m:oMath>
        <m:sSup>
          <m:e>
            <m:r>
              <m:t>​</m:t>
            </m:r>
          </m:e>
          <m:sup>
            <m:r>
              <m:t>30</m:t>
            </m:r>
          </m:sup>
        </m:sSup>
      </m:oMath>
      <w:r>
        <w:t xml:space="preserve"> </w:t>
      </w:r>
      <w:r>
        <w:t xml:space="preserve">provides a capacity-free benchmark. Define the rank function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 rank of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among all observations and the cumulative weighted ATE</w:t>
      </w:r>
      <w:r>
        <w:t xml:space="preserve"> </w:t>
      </w:r>
      <m:oMath>
        <m:r>
          <m:rPr>
            <m:nor/>
            <m:sty m:val="p"/>
          </m:rPr>
          <m:t>TOC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t>N</m:t>
        </m:r>
        <m:r>
          <m:rPr>
            <m:sty m:val="p"/>
          </m:rPr>
          <m:t>]</m:t>
        </m:r>
      </m:oMath>
      <w:r>
        <w:t xml:space="preserve">. AUTC is the area under</w:t>
      </w:r>
      <w:r>
        <w:t xml:space="preserve"> </w:t>
      </w:r>
      <m:oMath>
        <m:r>
          <m:rPr>
            <m:nor/>
            <m:sty m:val="p"/>
          </m:rPr>
          <m:t>TOC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minus the diagonal — capturing total prioritization value across all capacities.</w:t>
      </w:r>
    </w:p>
    <w:bookmarkEnd w:id="17"/>
    <w:bookmarkStart w:id="18" w:name="s1.8-variance-decomposition"/>
    <w:p>
      <w:pPr>
        <w:pStyle w:val="Heading3"/>
      </w:pPr>
      <w:r>
        <w:t xml:space="preserve">S1.8 Variance decomposition</w:t>
      </w:r>
    </w:p>
    <w:p>
      <w:pPr>
        <w:pStyle w:val="FirstParagraph"/>
      </w:pPr>
      <w:r>
        <w:t xml:space="preserve">We fit a Gaussian linear mixed model on cross-fitted CATE estimates: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via restricted maximum likelihood (REML) using</w:t>
      </w:r>
      <w:r>
        <w:t xml:space="preserve"> </w:t>
      </w:r>
      <w:r>
        <w:rPr>
          <w:rStyle w:val="VerbatimChar"/>
        </w:rPr>
        <w:t xml:space="preserve">statsmodels.MixedLM</w:t>
      </w:r>
      <w:r>
        <w:t xml:space="preserve">. Confidence intervals for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were computed by individual-level bootstrap (1,000 replicates of beneficiary IDs with replacement; cross-fitted CATEs re-estimated within each bootstrap sample).</w:t>
      </w:r>
    </w:p>
    <w:p>
      <w:pPr>
        <w:pStyle w:val="BodyText"/>
      </w:pPr>
      <w:r>
        <w:t xml:space="preserve">This approach corrects an error in the prior submission, which fit a mixed model on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and reported its random-intercept and random-slope variance components as a</w:t>
      </w:r>
      <w:r>
        <w:t xml:space="preserve"> </w:t>
      </w:r>
      <w:r>
        <w:t xml:space="preserve">“variance decomposition of treatment effects.”</w:t>
      </w:r>
      <w:r>
        <w:t xml:space="preserve"> </w:t>
      </w:r>
      <w:r>
        <w:t xml:space="preserve">That formulation in fact decomposes outcome variance into a baseline-risk component and a treatment-by-individual component, which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quantity as the within/between decomposition of treatment effects themselves. We thank a reviewer of an earlier version for pointing this out.</w:t>
      </w:r>
    </w:p>
    <w:bookmarkEnd w:id="18"/>
    <w:bookmarkStart w:id="19" w:name="X2a0c4397825791db40d88bf3227ff3c53fd36c5"/>
    <w:p>
      <w:pPr>
        <w:pStyle w:val="Heading3"/>
      </w:pPr>
      <w:r>
        <w:t xml:space="preserve">S1.9 Quasi-experimental validation: IV diagnostics</w:t>
      </w:r>
    </w:p>
    <w:p>
      <w:pPr>
        <w:pStyle w:val="FirstParagraph"/>
      </w:pPr>
      <w:r>
        <w:t xml:space="preserve">The instrument is the indicator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county </m:t>
        </m:r>
        <m:r>
          <m:t>c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nor/>
            <m:sty m:val="p"/>
          </m:rPr>
          <m:t> has been live with the contract by month </m:t>
        </m:r>
        <m:r>
          <m:t>t</m:t>
        </m:r>
        <m:r>
          <m:rPr>
            <m:sty m:val="p"/>
          </m:rPr>
          <m:t>]</m:t>
        </m:r>
      </m:oMath>
      <w:r>
        <w:t xml:space="preserve">. Staggered rollout was driven by negotiated contract go-live dates; the analytic sample for the IV is the subset of beneficiaries whose county rolled out during the study period (i.e.,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varies over time within county). This produced an IV-eligible subsample of 24,997 beneficiaries.</w:t>
      </w:r>
    </w:p>
    <w:p>
      <w:pPr>
        <w:pStyle w:val="BodyText"/>
      </w:pPr>
      <w:r>
        <w:rPr>
          <w:b/>
          <w:bCs/>
        </w:rPr>
        <w:t xml:space="preserve">Pretrends.</w:t>
      </w:r>
      <w:r>
        <w:t xml:space="preserve"> </w:t>
      </w:r>
      <w:r>
        <w:t xml:space="preserve">For each county</w:t>
      </w:r>
      <w:r>
        <w:t xml:space="preserve"> </w:t>
      </w:r>
      <m:oMath>
        <m:r>
          <m:t>c</m:t>
        </m:r>
      </m:oMath>
      <w:r>
        <w:t xml:space="preserve">, define a</w:t>
      </w:r>
      <w:r>
        <w:t xml:space="preserve"> </w:t>
      </w:r>
      <w:r>
        <w:t xml:space="preserve">“rollout time”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. We restricted to the 12 months prior to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each county and regressed monthly outcome rates on a treatment-cohort indicator (early vs. late) interacted with calendar month, controlling for state and seasonality. The estimated slope difference is −0.0004 per month (95% CI, −0.0017 to 0.0009), with no significant divergence of pretrends. Figure S4 plots the pre-rollout trajectories.</w:t>
      </w:r>
    </w:p>
    <w:p>
      <w:pPr>
        <w:pStyle w:val="BodyText"/>
      </w:pPr>
      <w:r>
        <w:rPr>
          <w:b/>
          <w:bCs/>
        </w:rPr>
        <w:t xml:space="preserve">Exclusion restriction.</w:t>
      </w:r>
      <w:r>
        <w:t xml:space="preserve"> </w:t>
      </w:r>
      <w:r>
        <w:t xml:space="preserve">We probed for co-occurring policy/coverage changes near rollout dates: telehealth expansion, behavioral-health benefit changes, provider-network attestation deadlines, ACA Section 1115 waiver milestones. Joint Wald test of all candidate co-exposures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0.27. We acknowledge that no exclusion-restriction probe is exhaustive; this remains an identifying assumption.</w:t>
      </w:r>
    </w:p>
    <w:p>
      <w:pPr>
        <w:pStyle w:val="BodyText"/>
      </w:pPr>
      <w:r>
        <w:rPr>
          <w:b/>
          <w:bCs/>
        </w:rPr>
        <w:t xml:space="preserve">Monotonicity.</w:t>
      </w:r>
      <w:r>
        <w:t xml:space="preserve"> </w:t>
      </w:r>
      <w:r>
        <w:t xml:space="preserve">We tested for defiers (beneficiaries whose contact would have been triggered by the absence of the rollout) by examining first-stage signs across pre-specified subgroups. All same-signed (Table S6); no evidence of defiers.</w:t>
      </w:r>
    </w:p>
    <w:bookmarkEnd w:id="19"/>
    <w:bookmarkStart w:id="20" w:name="s1.10-equity-analysis"/>
    <w:p>
      <w:pPr>
        <w:pStyle w:val="Heading3"/>
      </w:pPr>
      <w:r>
        <w:t xml:space="preserve">S1.10 Equity analysis</w:t>
      </w:r>
    </w:p>
    <w:p>
      <w:pPr>
        <w:pStyle w:val="FirstParagraph"/>
      </w:pPr>
      <w:r>
        <w:t xml:space="preserve">Subgroups: race/ethnicity (Black or African American, White, Hispanic or Latino) and state. Race/ethnicity was self-reported at Medicaid enrollment; the prior submission noted</w:t>
      </w:r>
      <w:r>
        <w:t xml:space="preserve"> </w:t>
      </w:r>
      <w:r>
        <w:t xml:space="preserve">“synthetic demographics”</w:t>
      </w:r>
      <w:r>
        <w:t xml:space="preserve"> </w:t>
      </w:r>
      <w:r>
        <w:t xml:space="preserve">— that statement applied to a sub-analysis using imputed demographics for cells with sparse cell counts in cross-tab tables,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the primary equity contrasts, which used self-reported race/ethnicity throughout. The wording is corrected here.</w:t>
      </w:r>
    </w:p>
    <w:p>
      <w:pPr>
        <w:pStyle w:val="BodyText"/>
      </w:pPr>
      <w:r>
        <w:t xml:space="preserve">Equity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rate</w:t>
      </w:r>
      <w:r>
        <w:t xml:space="preserve">: fraction of subgroup person-months selected by each rule.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Allocation parity</w:t>
      </w:r>
      <w:r>
        <w:t xml:space="preserve">: rate ratio (e.g., Black:White) within parity band [0.95, 1.05].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Equalized odds</w:t>
      </w:r>
      <w:r>
        <w:t xml:space="preserve">: difference in true-positive rate (CATE &gt; 0 conditional on selection) across groups.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Demographic parity</w:t>
      </w:r>
      <w:r>
        <w:t xml:space="preserve">: difference in selection rate across groups (loose criterion; not a primary).</w:t>
      </w:r>
    </w:p>
    <w:bookmarkEnd w:id="20"/>
    <w:bookmarkStart w:id="21" w:name="X6565e1a4d8db8ead3002865b6e742b75958110e"/>
    <w:p>
      <w:pPr>
        <w:pStyle w:val="Heading3"/>
      </w:pPr>
      <w:r>
        <w:t xml:space="preserve">S1.11 Software, computation, reproducibility</w:t>
      </w:r>
    </w:p>
    <w:p>
      <w:pPr>
        <w:pStyle w:val="FirstParagraph"/>
      </w:pPr>
      <w:r>
        <w:t xml:space="preserve">Analyses ran on Python 3.11 with</w:t>
      </w:r>
      <w:r>
        <w:t xml:space="preserve"> </w:t>
      </w:r>
      <w:r>
        <w:rPr>
          <w:rStyle w:val="VerbatimChar"/>
        </w:rPr>
        <w:t xml:space="preserve">econml</w:t>
      </w:r>
      <w:r>
        <w:t xml:space="preserve"> </w:t>
      </w:r>
      <w:r>
        <w:t xml:space="preserve">0.15.1 (DR-Learner, R-Learner),</w:t>
      </w:r>
      <w:r>
        <w:t xml:space="preserve"> </w:t>
      </w:r>
      <w:r>
        <w:rPr>
          <w:rStyle w:val="VerbatimChar"/>
        </w:rPr>
        <w:t xml:space="preserve">grf</w:t>
      </w:r>
      <w:r>
        <w:t xml:space="preserve"> </w:t>
      </w:r>
      <w:r>
        <w:t xml:space="preserve">2.4.0 (causal forest, called via</w:t>
      </w:r>
      <w:r>
        <w:t xml:space="preserve"> </w:t>
      </w:r>
      <w:r>
        <w:rPr>
          <w:rStyle w:val="VerbatimChar"/>
        </w:rPr>
        <w:t xml:space="preserve">rpy2</w:t>
      </w:r>
      <w:r>
        <w:t xml:space="preserve">),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1.4,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2.0,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0.14,</w:t>
      </w:r>
      <w:r>
        <w:t xml:space="preserve"> </w:t>
      </w:r>
      <w:r>
        <w:rPr>
          <w:rStyle w:val="VerbatimChar"/>
        </w:rPr>
        <w:t xml:space="preserve">linearmodels</w:t>
      </w:r>
      <w:r>
        <w:t xml:space="preserve"> </w:t>
      </w:r>
      <w:r>
        <w:t xml:space="preserve">6.0 (IV/2SLS),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1.26,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2.2,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15.0. Cluster bootstrap was parallelized over 64 cores. Total wall time: nuisance estimation 14 hours; CATE estimation 9 hours; bootstrap inference 22 hours.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reproducing the full software environment, and a synthetic-data demonstration that re-runs every figure and table on simulated data, are publicly hosted at</w:t>
      </w:r>
      <w:r>
        <w:t xml:space="preserve"> </w:t>
      </w:r>
      <w:r>
        <w:rPr>
          <w:rStyle w:val="VerbatimChar"/>
        </w:rPr>
        <w:t xml:space="preserve">https://github.com/sanjaybasu/medicaid-causal-world-model-</w:t>
      </w:r>
      <w:r>
        <w:t xml:space="preserve"> </w:t>
      </w:r>
      <w:r>
        <w:t xml:space="preserve">(archived to Zenodo with DOI). Individual-level data are not shareable per Medicaid data-use agreements.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2.-reporting-checklists"/>
    <w:p>
      <w:pPr>
        <w:pStyle w:val="Heading2"/>
      </w:pPr>
      <w:r>
        <w:t xml:space="preserve">S2. Reporting checklists</w:t>
      </w:r>
    </w:p>
    <w:bookmarkStart w:id="23" w:name="s2.1-recordstrobe-checklist"/>
    <w:p>
      <w:pPr>
        <w:pStyle w:val="Heading3"/>
      </w:pPr>
      <w:r>
        <w:t xml:space="preserve">S2.1 RECORD/STROBE checklist</w:t>
      </w:r>
    </w:p>
    <w:p>
      <w:pPr>
        <w:pStyle w:val="FirstParagraph"/>
      </w:pPr>
      <w:r>
        <w:t xml:space="preserve">Completed RECORD checklist (extension of STROBE for routinely-collected health data), with item-level location in main text or supplement, is provided as a separate supplementary file (</w:t>
      </w:r>
      <w:r>
        <w:rPr>
          <w:rStyle w:val="VerbatimChar"/>
        </w:rPr>
        <w:t xml:space="preserve">S2_RECORD_checklist.pdf</w:t>
      </w:r>
      <w:r>
        <w:t xml:space="preserve">).</w:t>
      </w:r>
    </w:p>
    <w:bookmarkEnd w:id="23"/>
    <w:bookmarkStart w:id="24" w:name="s2.2-tripodai-checklist"/>
    <w:p>
      <w:pPr>
        <w:pStyle w:val="Heading3"/>
      </w:pPr>
      <w:r>
        <w:t xml:space="preserve">S2.2 TRIPOD+AI checklist</w:t>
      </w:r>
    </w:p>
    <w:p>
      <w:pPr>
        <w:pStyle w:val="FirstParagraph"/>
      </w:pPr>
      <w:r>
        <w:t xml:space="preserve">Completed TRIPOD+AI checklist for the prediction-model components (causal forest CATE estimator and risk model used in</w:t>
      </w:r>
      <w:r>
        <w:t xml:space="preserve"> </w:t>
      </w:r>
      <m:oMath>
        <m:sSub>
          <m:e>
            <m:r>
              <m:t>π</m:t>
            </m:r>
          </m:e>
          <m:sub>
            <m:r>
              <m:t>R</m:t>
            </m:r>
          </m:sub>
        </m:sSub>
      </m:oMath>
      <w:r>
        <w:t xml:space="preserve">) is provided as</w:t>
      </w:r>
      <w:r>
        <w:t xml:space="preserve"> </w:t>
      </w:r>
      <w:r>
        <w:rPr>
          <w:rStyle w:val="VerbatimChar"/>
        </w:rPr>
        <w:t xml:space="preserve">S2_TRIPOD_AI_checklist.pdf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3.-supplementary-tables"/>
    <w:p>
      <w:pPr>
        <w:pStyle w:val="Heading2"/>
      </w:pPr>
      <w:r>
        <w:t xml:space="preserve">S3. Supplementary tables</w:t>
      </w:r>
    </w:p>
    <w:bookmarkStart w:id="26" w:name="Xd4236e76767c72dc98ef8e7017f0611e101b9b1"/>
    <w:p>
      <w:pPr>
        <w:pStyle w:val="Heading3"/>
      </w:pPr>
      <w:r>
        <w:t xml:space="preserve">Table S1. Person-month characteristics by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Virginia (1,808,515 person-months)</w:t>
            </w:r>
          </w:p>
        </w:tc>
        <w:tc>
          <w:tcPr/>
          <w:p>
            <w:pPr>
              <w:pStyle w:val="Compact"/>
            </w:pPr>
            <w:r>
              <w:t xml:space="preserve">Washington (862,291 person-months)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age, years</w:t>
            </w:r>
          </w:p>
        </w:tc>
        <w:tc>
          <w:tcPr/>
          <w:p>
            <w:pPr>
              <w:pStyle w:val="Compact"/>
            </w:pPr>
            <w:r>
              <w:t xml:space="preserve">38.5 (12.3)</w:t>
            </w:r>
          </w:p>
        </w:tc>
        <w:tc>
          <w:tcPr/>
          <w:p>
            <w:pPr>
              <w:pStyle w:val="Compact"/>
            </w:pPr>
            <w:r>
              <w:t xml:space="preserve">37.6 (12.6)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Female, %</w:t>
            </w:r>
          </w:p>
        </w:tc>
        <w:tc>
          <w:tcPr/>
          <w:p>
            <w:pPr>
              <w:pStyle w:val="Compact"/>
            </w:pPr>
            <w:r>
              <w:t xml:space="preserve">60.5</w:t>
            </w:r>
          </w:p>
        </w:tc>
        <w:tc>
          <w:tcPr/>
          <w:p>
            <w:pPr>
              <w:pStyle w:val="Compact"/>
            </w:pPr>
            <w:r>
              <w:t xml:space="preserve">60.4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American, %</w:t>
            </w:r>
          </w:p>
        </w:tc>
        <w:tc>
          <w:tcPr/>
          <w:p>
            <w:pPr>
              <w:pStyle w:val="Compact"/>
            </w:pPr>
            <w:r>
              <w:t xml:space="preserve">47.1</w:t>
            </w:r>
          </w:p>
        </w:tc>
        <w:tc>
          <w:tcPr/>
          <w:p>
            <w:pPr>
              <w:pStyle w:val="Compact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White, %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48.1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Latino, 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 chronic condition, %</w:t>
            </w:r>
          </w:p>
        </w:tc>
        <w:tc>
          <w:tcPr/>
          <w:p>
            <w:pPr>
              <w:pStyle w:val="Compact"/>
            </w:pPr>
            <w:r>
              <w:t xml:space="preserve">78.7</w:t>
            </w:r>
          </w:p>
        </w:tc>
        <w:tc>
          <w:tcPr/>
          <w:p>
            <w:pPr>
              <w:pStyle w:val="Compact"/>
            </w:pPr>
            <w:r>
              <w:t xml:space="preserve">77.7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3 chronic conditions, %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30-day acute-event rate, %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Person-months with ≥ 1 contact, %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cumulative contacts at study end</w:t>
            </w:r>
          </w:p>
        </w:tc>
        <w:tc>
          <w:tcPr/>
          <w:p>
            <w:pPr>
              <w:pStyle w:val="Compact"/>
            </w:pPr>
            <w:r>
              <w:t xml:space="preserve">5.7 (5.1)</w:t>
            </w:r>
          </w:p>
        </w:tc>
        <w:tc>
          <w:tcPr/>
          <w:p>
            <w:pPr>
              <w:pStyle w:val="Compact"/>
            </w:pPr>
            <w:r>
              <w:t xml:space="preserve">5.2 (4.7)</w:t>
            </w:r>
          </w:p>
        </w:tc>
      </w:tr>
    </w:tbl>
    <w:bookmarkEnd w:id="26"/>
    <w:bookmarkStart w:id="27" w:name="table-s2.-cross-state-replication"/>
    <w:p>
      <w:pPr>
        <w:pStyle w:val="Heading3"/>
      </w:pPr>
      <w:r>
        <w:t xml:space="preserve">Table S2. Cross-state replication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Washington</w:t>
            </w:r>
          </w:p>
        </w:tc>
        <w:tc>
          <w:tcPr/>
          <w:p>
            <w:pPr>
              <w:pStyle w:val="Compact"/>
            </w:pPr>
            <w:r>
              <w:t xml:space="preserve">Virginia</w:t>
            </w:r>
          </w:p>
        </w:tc>
        <w:tc>
          <w:tcPr/>
          <w:p>
            <w:pPr>
              <w:pStyle w:val="Compact"/>
            </w:pPr>
            <w:r>
              <w:t xml:space="preserve">Pooled (random effects)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Risk-based events prevented per 2,000</w:t>
            </w:r>
          </w:p>
        </w:tc>
        <w:tc>
          <w:tcPr/>
          <w:p>
            <w:pPr>
              <w:pStyle w:val="Compact"/>
            </w:pPr>
            <w:r>
              <w:t xml:space="preserve">2.5 (2.2 to 2.8)</w:t>
            </w:r>
          </w:p>
        </w:tc>
        <w:tc>
          <w:tcPr/>
          <w:p>
            <w:pPr>
              <w:pStyle w:val="Compact"/>
            </w:pPr>
            <w:r>
              <w:t xml:space="preserve">2.5 (2.3 to 2.8)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Effect-based events prevented per 2,000</w:t>
            </w:r>
          </w:p>
        </w:tc>
        <w:tc>
          <w:tcPr/>
          <w:p>
            <w:pPr>
              <w:pStyle w:val="Compact"/>
            </w:pPr>
            <w:r>
              <w:t xml:space="preserve">12.8 (11.9 to 13.7)</w:t>
            </w:r>
          </w:p>
        </w:tc>
        <w:tc>
          <w:tcPr/>
          <w:p>
            <w:pPr>
              <w:pStyle w:val="Compact"/>
            </w:pPr>
            <w:r>
              <w:t xml:space="preserve">13.6 (12.9 to 14.3)</w:t>
            </w:r>
          </w:p>
        </w:tc>
        <w:tc>
          <w:tcPr/>
          <w:p>
            <w:pPr>
              <w:pStyle w:val="Compact"/>
            </w:pPr>
            <w:r>
              <w:t xml:space="preserve">13.3 (12.6 to 14.0)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ratio</w:t>
            </w:r>
          </w:p>
        </w:tc>
        <w:tc>
          <w:tcPr/>
          <w:p>
            <w:pPr>
              <w:pStyle w:val="Compact"/>
            </w:pPr>
            <w:r>
              <w:t xml:space="preserve">5.1 (4.5 to 5.8)</w:t>
            </w:r>
          </w:p>
        </w:tc>
        <w:tc>
          <w:tcPr/>
          <w:p>
            <w:pPr>
              <w:pStyle w:val="Compact"/>
            </w:pPr>
            <w:r>
              <w:t xml:space="preserve">5.4 (4.9 to 6.0)</w:t>
            </w:r>
          </w:p>
        </w:tc>
        <w:tc>
          <w:tcPr/>
          <w:p>
            <w:pPr>
              <w:pStyle w:val="Compact"/>
            </w:pPr>
            <w:r>
              <w:t xml:space="preserve">5.3 (4.8 to 5.9)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8.2</m:t>
              </m:r>
              <m:r>
                <m:rPr>
                  <m:sty m:val="p"/>
                </m:rPr>
                <m:t>%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.31</m:t>
              </m:r>
            </m:oMath>
          </w:p>
        </w:tc>
      </w:tr>
    </w:tbl>
    <w:bookmarkEnd w:id="27"/>
    <w:bookmarkStart w:id="28" w:name="X8f294dfa6fd41e28ce49a43628f1a0511845aaa"/>
    <w:p>
      <w:pPr>
        <w:pStyle w:val="Heading3"/>
      </w:pPr>
      <w:r>
        <w:t xml:space="preserve">Table S3. Quasi-experimental validation: IV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Estimate (95% CI)</w:t>
            </w:r>
          </w:p>
        </w:tc>
        <w:tc>
          <w:tcPr/>
          <w:p>
            <w:pPr>
              <w:pStyle w:val="Compact"/>
            </w:pPr>
            <w:r>
              <w:t xml:space="preserve">Test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stage: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0.124 (0.118 to 0.131)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127.4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Reduced form: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−0.0057 (−0.0061 to −0.0053)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2SLS LATE</w:t>
            </w:r>
          </w:p>
        </w:tc>
        <w:tc>
          <w:tcPr/>
          <w:p>
            <w:pPr>
              <w:pStyle w:val="Compact"/>
            </w:pPr>
            <w:r>
              <w:t xml:space="preserve">−0.046 (−0.049 to −0.042)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Relative risk reduction</w:t>
            </w:r>
          </w:p>
        </w:tc>
        <w:tc>
          <w:tcPr/>
          <w:p>
            <w:pPr>
              <w:pStyle w:val="Compact"/>
            </w:pPr>
            <w:r>
              <w:t xml:space="preserve">45.6% (42.1% to 49.0%)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Callaway-Sant’Anna staggered DiD</w:t>
            </w:r>
          </w:p>
        </w:tc>
        <w:tc>
          <w:tcPr/>
          <w:p>
            <w:pPr>
              <w:pStyle w:val="Compact"/>
            </w:pPr>
            <w:r>
              <w:t xml:space="preserve">−0.039 (−0.043 to −0.034)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Pretrend slope difference</w:t>
            </w:r>
          </w:p>
        </w:tc>
        <w:tc>
          <w:tcPr/>
          <w:p>
            <w:pPr>
              <w:pStyle w:val="Compact"/>
            </w:pPr>
            <w:r>
              <w:t xml:space="preserve">−0.0004 per month (−0.0017 to 0.0009)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.54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Exclusion-restriction Wald 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.27</m:t>
              </m:r>
            </m:oMath>
          </w:p>
        </w:tc>
      </w:tr>
    </w:tbl>
    <w:bookmarkEnd w:id="28"/>
    <w:bookmarkStart w:id="29" w:name="Xf1dbf911b18c65fa1756e1689be598de3d649f1"/>
    <w:p>
      <w:pPr>
        <w:pStyle w:val="Heading3"/>
      </w:pPr>
      <w:r>
        <w:t xml:space="preserve">Table S4. CATE distribution by baseline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n person-months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oMath>
            <w:r>
              <w:t xml:space="preserve"> </w:t>
            </w:r>
            <w:r>
              <w:t xml:space="preserve">(95% CI)</w:t>
            </w:r>
          </w:p>
        </w:tc>
        <w:tc>
          <w:tcPr/>
          <w:p>
            <w:pPr>
              <w:pStyle w:val="Compact"/>
            </w:pPr>
            <w:r>
              <w:t xml:space="preserve">%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1,054,423</w:t>
            </w:r>
          </w:p>
        </w:tc>
        <w:tc>
          <w:tcPr/>
          <w:p>
            <w:pPr>
              <w:pStyle w:val="Compact"/>
            </w:pPr>
            <w:r>
              <w:t xml:space="preserve">−0.024 (−0.025 to −0.023)</w:t>
            </w:r>
          </w:p>
        </w:tc>
        <w:tc>
          <w:tcPr/>
          <w:p>
            <w:pPr>
              <w:pStyle w:val="Compact"/>
            </w:pPr>
            <w:r>
              <w:t xml:space="preserve">86.5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1,616,383</w:t>
            </w:r>
          </w:p>
        </w:tc>
        <w:tc>
          <w:tcPr/>
          <w:p>
            <w:pPr>
              <w:pStyle w:val="Compact"/>
            </w:pPr>
            <w:r>
              <w:t xml:space="preserve">−0.026 (−0.027 to −0.025)</w:t>
            </w:r>
          </w:p>
        </w:tc>
        <w:tc>
          <w:tcPr/>
          <w:p>
            <w:pPr>
              <w:pStyle w:val="Compact"/>
            </w:pPr>
            <w:r>
              <w:t xml:space="preserve">88.6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18-34</w:t>
            </w:r>
          </w:p>
        </w:tc>
        <w:tc>
          <w:tcPr/>
          <w:p>
            <w:pPr>
              <w:pStyle w:val="Compact"/>
            </w:pPr>
            <w:r>
              <w:t xml:space="preserve">838,222</w:t>
            </w:r>
          </w:p>
        </w:tc>
        <w:tc>
          <w:tcPr/>
          <w:p>
            <w:pPr>
              <w:pStyle w:val="Compact"/>
            </w:pPr>
            <w:r>
              <w:t xml:space="preserve">−0.027 (−0.028 to −0.026)</w:t>
            </w:r>
          </w:p>
        </w:tc>
        <w:tc>
          <w:tcPr/>
          <w:p>
            <w:pPr>
              <w:pStyle w:val="Compac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35-49</w:t>
            </w:r>
          </w:p>
        </w:tc>
        <w:tc>
          <w:tcPr/>
          <w:p>
            <w:pPr>
              <w:pStyle w:val="Compact"/>
            </w:pPr>
            <w:r>
              <w:t xml:space="preserve">1,003,824</w:t>
            </w:r>
          </w:p>
        </w:tc>
        <w:tc>
          <w:tcPr/>
          <w:p>
            <w:pPr>
              <w:pStyle w:val="Compact"/>
            </w:pPr>
            <w:r>
              <w:t xml:space="preserve">−0.025 (−0.026 to −0.024)</w:t>
            </w:r>
          </w:p>
        </w:tc>
        <w:tc>
          <w:tcPr/>
          <w:p>
            <w:pPr>
              <w:pStyle w:val="Compact"/>
            </w:pPr>
            <w:r>
              <w:t xml:space="preserve">87.8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50-64</w:t>
            </w:r>
          </w:p>
        </w:tc>
        <w:tc>
          <w:tcPr/>
          <w:p>
            <w:pPr>
              <w:pStyle w:val="Compact"/>
            </w:pPr>
            <w:r>
              <w:t xml:space="preserve">828,760</w:t>
            </w:r>
          </w:p>
        </w:tc>
        <w:tc>
          <w:tcPr/>
          <w:p>
            <w:pPr>
              <w:pStyle w:val="Compact"/>
            </w:pPr>
            <w:r>
              <w:t xml:space="preserve">−0.023 (−0.024 to −0.022)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 chronic conditions</w:t>
            </w:r>
          </w:p>
        </w:tc>
        <w:tc>
          <w:tcPr/>
          <w:p>
            <w:pPr>
              <w:pStyle w:val="Compact"/>
            </w:pPr>
            <w:r>
              <w:t xml:space="preserve">824,372</w:t>
            </w:r>
          </w:p>
        </w:tc>
        <w:tc>
          <w:tcPr/>
          <w:p>
            <w:pPr>
              <w:pStyle w:val="Compact"/>
            </w:pPr>
            <w:r>
              <w:t xml:space="preserve">−0.021 (−0.022 to −0.020)</w:t>
            </w:r>
          </w:p>
        </w:tc>
        <w:tc>
          <w:tcPr/>
          <w:p>
            <w:pPr>
              <w:pStyle w:val="Compact"/>
            </w:pPr>
            <w:r>
              <w:t xml:space="preserve">85.1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 chronic conditions</w:t>
            </w:r>
          </w:p>
        </w:tc>
        <w:tc>
          <w:tcPr/>
          <w:p>
            <w:pPr>
              <w:pStyle w:val="Compact"/>
            </w:pPr>
            <w:r>
              <w:t xml:space="preserve">1,089,341</w:t>
            </w:r>
          </w:p>
        </w:tc>
        <w:tc>
          <w:tcPr/>
          <w:p>
            <w:pPr>
              <w:pStyle w:val="Compact"/>
            </w:pPr>
            <w:r>
              <w:t xml:space="preserve">−0.026 (−0.027 to −0.025)</w:t>
            </w:r>
          </w:p>
        </w:tc>
        <w:tc>
          <w:tcPr/>
          <w:p>
            <w:pPr>
              <w:pStyle w:val="Compact"/>
            </w:pPr>
            <w:r>
              <w:t xml:space="preserve">88.9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 chronic conditions</w:t>
            </w:r>
          </w:p>
        </w:tc>
        <w:tc>
          <w:tcPr/>
          <w:p>
            <w:pPr>
              <w:pStyle w:val="Compact"/>
            </w:pPr>
            <w:r>
              <w:t xml:space="preserve">757,093</w:t>
            </w:r>
          </w:p>
        </w:tc>
        <w:tc>
          <w:tcPr/>
          <w:p>
            <w:pPr>
              <w:pStyle w:val="Compact"/>
            </w:pPr>
            <w:r>
              <w:t xml:space="preserve">−0.028 (−0.029 to −0.027)</w:t>
            </w:r>
          </w:p>
        </w:tc>
        <w:tc>
          <w:tcPr/>
          <w:p>
            <w:pPr>
              <w:pStyle w:val="Compact"/>
            </w:pPr>
            <w:r>
              <w:t xml:space="preserve">89.7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ED visits past year</w:t>
            </w:r>
          </w:p>
        </w:tc>
        <w:tc>
          <w:tcPr/>
          <w:p>
            <w:pPr>
              <w:pStyle w:val="Compact"/>
            </w:pPr>
            <w:r>
              <w:t xml:space="preserve">1,300,403</w:t>
            </w:r>
          </w:p>
        </w:tc>
        <w:tc>
          <w:tcPr/>
          <w:p>
            <w:pPr>
              <w:pStyle w:val="Compact"/>
            </w:pPr>
            <w:r>
              <w:t xml:space="preserve">−0.019 (−0.020 to −0.018)</w:t>
            </w:r>
          </w:p>
        </w:tc>
        <w:tc>
          <w:tcPr/>
          <w:p>
            <w:pPr>
              <w:pStyle w:val="Compact"/>
            </w:pPr>
            <w:r>
              <w:t xml:space="preserve">83.4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 ED visits past year</w:t>
            </w:r>
          </w:p>
        </w:tc>
        <w:tc>
          <w:tcPr/>
          <w:p>
            <w:pPr>
              <w:pStyle w:val="Compact"/>
            </w:pPr>
            <w:r>
              <w:t xml:space="preserve">950,718</w:t>
            </w:r>
          </w:p>
        </w:tc>
        <w:tc>
          <w:tcPr/>
          <w:p>
            <w:pPr>
              <w:pStyle w:val="Compact"/>
            </w:pPr>
            <w:r>
              <w:t xml:space="preserve">−0.028 (−0.029 to −0.027)</w:t>
            </w:r>
          </w:p>
        </w:tc>
        <w:tc>
          <w:tcPr/>
          <w:p>
            <w:pPr>
              <w:pStyle w:val="Compact"/>
            </w:pPr>
            <w:r>
              <w:t xml:space="preserve">90.2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3 ED visits past year</w:t>
            </w:r>
          </w:p>
        </w:tc>
        <w:tc>
          <w:tcPr/>
          <w:p>
            <w:pPr>
              <w:pStyle w:val="Compact"/>
            </w:pPr>
            <w:r>
              <w:t xml:space="preserve">419,685</w:t>
            </w:r>
          </w:p>
        </w:tc>
        <w:tc>
          <w:tcPr/>
          <w:p>
            <w:pPr>
              <w:pStyle w:val="Compact"/>
            </w:pPr>
            <w:r>
              <w:t xml:space="preserve">−0.033 (−0.035 to −0.032)</w:t>
            </w:r>
          </w:p>
        </w:tc>
        <w:tc>
          <w:tcPr/>
          <w:p>
            <w:pPr>
              <w:pStyle w:val="Compact"/>
            </w:pPr>
            <w:r>
              <w:t xml:space="preserve">92.1</w:t>
            </w:r>
          </w:p>
        </w:tc>
      </w:tr>
    </w:tbl>
    <w:bookmarkEnd w:id="29"/>
    <w:bookmarkStart w:id="30" w:name="Xef5abc5abbb259dd8c70084a24f59be6342537b"/>
    <w:p>
      <w:pPr>
        <w:pStyle w:val="Heading3"/>
      </w:pPr>
      <w:r>
        <w:t xml:space="preserve">Table S5. Sensitivity to imputation, propensity trimming, and outcome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Risk-based events/2,000</w:t>
            </w:r>
          </w:p>
        </w:tc>
        <w:tc>
          <w:tcPr/>
          <w:p>
            <w:pPr>
              <w:pStyle w:val="Compact"/>
            </w:pPr>
            <w:r>
              <w:t xml:space="preserve">Effect-based events/2,000</w:t>
            </w:r>
          </w:p>
        </w:tc>
        <w:tc>
          <w:tcPr/>
          <w:p>
            <w:pPr>
              <w:pStyle w:val="Compact"/>
            </w:pPr>
            <w:r>
              <w:t xml:space="preserve">Efficiency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(forward fill, 0.05 trim, GBM nuisance)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  <w:tc>
          <w:tcPr/>
          <w:p>
            <w:pPr>
              <w:pStyle w:val="Compact"/>
            </w:pPr>
            <w:r>
              <w:t xml:space="preserve">13.3 (12.8 to 13.9)</w:t>
            </w:r>
          </w:p>
        </w:tc>
        <w:tc>
          <w:tcPr/>
          <w:p>
            <w:pPr>
              <w:pStyle w:val="Compact"/>
            </w:pPr>
            <w:r>
              <w:t xml:space="preserve">5.3 (4.9 to 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imputation (MICE)</w:t>
            </w:r>
          </w:p>
        </w:tc>
        <w:tc>
          <w:tcPr/>
          <w:p>
            <w:pPr>
              <w:pStyle w:val="Compact"/>
            </w:pPr>
            <w:r>
              <w:t xml:space="preserve">2.5 (2.3 to 2.7)</w:t>
            </w:r>
          </w:p>
        </w:tc>
        <w:tc>
          <w:tcPr/>
          <w:p>
            <w:pPr>
              <w:pStyle w:val="Compact"/>
            </w:pPr>
            <w:r>
              <w:t xml:space="preserve">13.0 (12.4 to 13.6)</w:t>
            </w:r>
          </w:p>
        </w:tc>
        <w:tc>
          <w:tcPr/>
          <w:p>
            <w:pPr>
              <w:pStyle w:val="Compact"/>
            </w:pPr>
            <w:r>
              <w:t xml:space="preserve">5.2 (4.8 to 5.7)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0.01</w:t>
            </w:r>
          </w:p>
        </w:tc>
        <w:tc>
          <w:tcPr/>
          <w:p>
            <w:pPr>
              <w:pStyle w:val="Compact"/>
            </w:pPr>
            <w:r>
              <w:t xml:space="preserve">2.4 (2.2 to 2.6)</w:t>
            </w:r>
          </w:p>
        </w:tc>
        <w:tc>
          <w:tcPr/>
          <w:p>
            <w:pPr>
              <w:pStyle w:val="Compact"/>
            </w:pPr>
            <w:r>
              <w:t xml:space="preserve">12.5 (11.9 to 13.1)</w:t>
            </w:r>
          </w:p>
        </w:tc>
        <w:tc>
          <w:tcPr/>
          <w:p>
            <w:pPr>
              <w:pStyle w:val="Compact"/>
            </w:pPr>
            <w:r>
              <w:t xml:space="preserve">5.2 (4.7 to 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0.10</w:t>
            </w:r>
          </w:p>
        </w:tc>
        <w:tc>
          <w:tcPr/>
          <w:p>
            <w:pPr>
              <w:pStyle w:val="Compact"/>
            </w:pPr>
            <w:r>
              <w:t xml:space="preserve">2.6 (2.4 to 2.8)</w:t>
            </w:r>
          </w:p>
        </w:tc>
        <w:tc>
          <w:tcPr/>
          <w:p>
            <w:pPr>
              <w:pStyle w:val="Compact"/>
            </w:pPr>
            <w:r>
              <w:t xml:space="preserve">13.9 (13.2 to 14.6)</w:t>
            </w:r>
          </w:p>
        </w:tc>
        <w:tc>
          <w:tcPr/>
          <w:p>
            <w:pPr>
              <w:pStyle w:val="Compact"/>
            </w:pPr>
            <w:r>
              <w:t xml:space="preserve">5.4 (4.9 to 5.9)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Logistic-regression nuisance</w:t>
            </w:r>
          </w:p>
        </w:tc>
        <w:tc>
          <w:tcPr/>
          <w:p>
            <w:pPr>
              <w:pStyle w:val="Compact"/>
            </w:pPr>
            <w:r>
              <w:t xml:space="preserve">2.6 (2.4 to 2.8)</w:t>
            </w:r>
          </w:p>
        </w:tc>
        <w:tc>
          <w:tcPr/>
          <w:p>
            <w:pPr>
              <w:pStyle w:val="Compact"/>
            </w:pPr>
            <w:r>
              <w:t xml:space="preserve">11.7 (11.1 to 12.3)</w:t>
            </w:r>
          </w:p>
        </w:tc>
        <w:tc>
          <w:tcPr/>
          <w:p>
            <w:pPr>
              <w:pStyle w:val="Compact"/>
            </w:pPr>
            <w:r>
              <w:t xml:space="preserve">4.5 (4.0 to 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Neural-network outcome model</w:t>
            </w:r>
          </w:p>
        </w:tc>
        <w:tc>
          <w:tcPr/>
          <w:p>
            <w:pPr>
              <w:pStyle w:val="Compact"/>
            </w:pPr>
            <w:r>
              <w:t xml:space="preserve">2.4 (2.2 to 2.6)</w:t>
            </w:r>
          </w:p>
        </w:tc>
        <w:tc>
          <w:tcPr/>
          <w:p>
            <w:pPr>
              <w:pStyle w:val="Compact"/>
            </w:pPr>
            <w:r>
              <w:t xml:space="preserve">12.9 (12.3 to 13.5)</w:t>
            </w:r>
          </w:p>
        </w:tc>
        <w:tc>
          <w:tcPr/>
          <w:p>
            <w:pPr>
              <w:pStyle w:val="Compact"/>
            </w:pPr>
            <w:r>
              <w:t xml:space="preserve">5.4 (4.8 to 5.9)</w:t>
            </w:r>
          </w:p>
        </w:tc>
      </w:tr>
    </w:tbl>
    <w:bookmarkEnd w:id="30"/>
    <w:bookmarkStart w:id="31" w:name="X42c59ee6bc00589290de895f427cc76a7bb940c"/>
    <w:p>
      <w:pPr>
        <w:pStyle w:val="Heading3"/>
      </w:pPr>
      <w:r>
        <w:t xml:space="preserve">Table S6. IV monotonicity check: first-stage by subgroup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First-stage coefficient (95% CI)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</w:t>
            </w:r>
          </w:p>
        </w:tc>
        <w:tc>
          <w:tcPr/>
          <w:p>
            <w:pPr>
              <w:pStyle w:val="Compact"/>
            </w:pPr>
            <w:r>
              <w:t xml:space="preserve">0.122 (0.114 to 0.131)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0.127 (0.117 to 0.136)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</w:t>
            </w:r>
          </w:p>
        </w:tc>
        <w:tc>
          <w:tcPr/>
          <w:p>
            <w:pPr>
              <w:pStyle w:val="Compact"/>
            </w:pPr>
            <w:r>
              <w:t xml:space="preserve">0.119 (0.105 to 0.133)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0.124 (0.116 to 0.132)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0.125 (0.115 to 0.134)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18-34</w:t>
            </w:r>
          </w:p>
        </w:tc>
        <w:tc>
          <w:tcPr/>
          <w:p>
            <w:pPr>
              <w:pStyle w:val="Compact"/>
            </w:pPr>
            <w:r>
              <w:t xml:space="preserve">0.128 (0.119 to 0.137)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35-49</w:t>
            </w:r>
          </w:p>
        </w:tc>
        <w:tc>
          <w:tcPr/>
          <w:p>
            <w:pPr>
              <w:pStyle w:val="Compact"/>
            </w:pPr>
            <w:r>
              <w:t xml:space="preserve">0.123 (0.114 to 0.132)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50-64</w:t>
            </w:r>
          </w:p>
        </w:tc>
        <w:tc>
          <w:tcPr/>
          <w:p>
            <w:pPr>
              <w:pStyle w:val="Compact"/>
            </w:pPr>
            <w:r>
              <w:t xml:space="preserve">0.119 (0.110 to 0.129)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 chronic conditions</w:t>
            </w:r>
          </w:p>
        </w:tc>
        <w:tc>
          <w:tcPr/>
          <w:p>
            <w:pPr>
              <w:pStyle w:val="Compact"/>
            </w:pPr>
            <w:r>
              <w:t xml:space="preserve">0.121 (0.111 to 0.130)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 chronic conditions</w:t>
            </w:r>
          </w:p>
        </w:tc>
        <w:tc>
          <w:tcPr/>
          <w:p>
            <w:pPr>
              <w:pStyle w:val="Compact"/>
            </w:pPr>
            <w:r>
              <w:t xml:space="preserve">0.131 (0.119 to 0.143)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All same-signed; no evidence of defiers.</w:t>
      </w:r>
    </w:p>
    <w:bookmarkEnd w:id="31"/>
    <w:bookmarkStart w:id="32" w:name="X567525b9fda718e0016407dfd1eda1060c05877"/>
    <w:p>
      <w:pPr>
        <w:pStyle w:val="Heading3"/>
      </w:pPr>
      <w:r>
        <w:t xml:space="preserve">Table S7. Equity analysis: efficiency by race/ethnicity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Risk-based events/1,000</w:t>
            </w:r>
          </w:p>
        </w:tc>
        <w:tc>
          <w:tcPr/>
          <w:p>
            <w:pPr>
              <w:pStyle w:val="Compact"/>
            </w:pPr>
            <w:r>
              <w:t xml:space="preserve">Effect-based events/1,000</w:t>
            </w:r>
          </w:p>
        </w:tc>
        <w:tc>
          <w:tcPr/>
          <w:p>
            <w:pPr>
              <w:pStyle w:val="Compact"/>
            </w:pPr>
            <w:r>
              <w:t xml:space="preserve">Efficiency ratio (95% CI)</w:t>
            </w:r>
          </w:p>
        </w:tc>
        <w:tc>
          <w:tcPr/>
          <w:p>
            <w:pPr>
              <w:pStyle w:val="Compact"/>
            </w:pPr>
            <w:r>
              <w:t xml:space="preserve">Allocation rate,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or African American (n = 67,594)</w:t>
            </w:r>
          </w:p>
        </w:tc>
        <w:tc>
          <w:tcPr/>
          <w:p>
            <w:pPr>
              <w:pStyle w:val="Compact"/>
            </w:pPr>
            <w:r>
              <w:t xml:space="preserve">1.2 (1.1 to 1.4)</w:t>
            </w:r>
          </w:p>
        </w:tc>
        <w:tc>
          <w:tcPr/>
          <w:p>
            <w:pPr>
              <w:pStyle w:val="Compact"/>
            </w:pPr>
            <w:r>
              <w:t xml:space="preserve">6.7 (6.3 to 7.1)</w:t>
            </w:r>
          </w:p>
        </w:tc>
        <w:tc>
          <w:tcPr/>
          <w:p>
            <w:pPr>
              <w:pStyle w:val="Compact"/>
            </w:pPr>
            <w:r>
              <w:t xml:space="preserve">5.4 (4.9 to 6.0)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(n = 69,399)</w:t>
            </w:r>
          </w:p>
        </w:tc>
        <w:tc>
          <w:tcPr/>
          <w:p>
            <w:pPr>
              <w:pStyle w:val="Compact"/>
            </w:pPr>
            <w:r>
              <w:t xml:space="preserve">1.2 (1.1 to 1.4)</w:t>
            </w:r>
          </w:p>
        </w:tc>
        <w:tc>
          <w:tcPr/>
          <w:p>
            <w:pPr>
              <w:pStyle w:val="Compact"/>
            </w:pPr>
            <w:r>
              <w:t xml:space="preserve">6.7 (6.3 to 7.1)</w:t>
            </w:r>
          </w:p>
        </w:tc>
        <w:tc>
          <w:tcPr/>
          <w:p>
            <w:pPr>
              <w:pStyle w:val="Compact"/>
            </w:pPr>
            <w:r>
              <w:t xml:space="preserve">5.4 (4.8 to 6.0)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or Latino (n = 14,602)</w:t>
            </w:r>
          </w:p>
        </w:tc>
        <w:tc>
          <w:tcPr/>
          <w:p>
            <w:pPr>
              <w:pStyle w:val="Compact"/>
            </w:pPr>
            <w:r>
              <w:t xml:space="preserve">1.2 (1.0 to 1.4)</w:t>
            </w:r>
          </w:p>
        </w:tc>
        <w:tc>
          <w:tcPr/>
          <w:p>
            <w:pPr>
              <w:pStyle w:val="Compact"/>
            </w:pPr>
            <w:r>
              <w:t xml:space="preserve">6.6 (5.8 to 7.2)</w:t>
            </w:r>
          </w:p>
        </w:tc>
        <w:tc>
          <w:tcPr/>
          <w:p>
            <w:pPr>
              <w:pStyle w:val="Compact"/>
            </w:pPr>
            <w:r>
              <w:t xml:space="preserve">5.3 (4.5 to 5.9)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parity (Black:White, 95% CI)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0.99 (0.97 to 1.02)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interaction</m:t>
                  </m:r>
                </m:sub>
              </m:sSub>
            </m:oMath>
            <w:r>
              <w:t xml:space="preserve"> </w:t>
            </w:r>
            <w:r>
              <w:t xml:space="preserve">across racial/ethnic groups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s4.-supplementary-figures"/>
    <w:p>
      <w:pPr>
        <w:pStyle w:val="Heading2"/>
      </w:pPr>
      <w:r>
        <w:t xml:space="preserve">S4. Supplementary figures</w:t>
      </w:r>
    </w:p>
    <w:p>
      <w:pPr>
        <w:pStyle w:val="FirstParagraph"/>
      </w:pPr>
      <w:r>
        <w:rPr>
          <w:b/>
          <w:bCs/>
        </w:rPr>
        <w:t xml:space="preserve">Figure S1. Cohort flow.</w:t>
      </w:r>
      <w:r>
        <w:t xml:space="preserve"> </w:t>
      </w:r>
      <w:r>
        <w:t xml:space="preserve">Initial 234,718 → final 164,063 beneficiaries (2,670,806 person-months); exclusion reasons and counts as in Table above.</w:t>
      </w:r>
    </w:p>
    <w:p>
      <w:pPr>
        <w:pStyle w:val="BodyText"/>
      </w:pPr>
      <w:r>
        <w:rPr>
          <w:b/>
          <w:bCs/>
        </w:rPr>
        <w:t xml:space="preserve">Figure S2. Distribution of estimated CATEs.</w:t>
      </w:r>
      <w:r>
        <w:t xml:space="preserve"> </w:t>
      </w:r>
      <w:r>
        <w:t xml:space="preserve">Histogram of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 </w:t>
      </w:r>
      <w:r>
        <w:t xml:space="preserve">across all person-months. Vertical lines at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t xml:space="preserve"> </w:t>
      </w:r>
      <w:r>
        <w:t xml:space="preserve">(large benefit),</w:t>
      </w:r>
      <w:r>
        <w:t xml:space="preserve"> </w:t>
      </w:r>
      <m:oMath>
        <m:r>
          <m:rPr>
            <m:sty m:val="p"/>
          </m:rPr>
          <m:t>−</m:t>
        </m:r>
        <m:r>
          <m:t>0.025</m:t>
        </m:r>
      </m:oMath>
      <w:r>
        <w:t xml:space="preserve"> </w:t>
      </w:r>
      <w:r>
        <w:t xml:space="preserve">(mean),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(no benefit). 87.8% have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Figure S3. Outcome-model calibration.</w:t>
      </w:r>
      <w:r>
        <w:t xml:space="preserve"> </w:t>
      </w:r>
      <w:r>
        <w:t xml:space="preserve">Decile-binned predicted vs. observed event rates separately for treated and control person-months. Slopes: treated 0.96 (95% CI, 0.93 to 0.99); control 0.94 (95% CI, 0.91 to 0.97); intercepts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Figure S4. IV pretrend test.</w:t>
      </w:r>
      <w:r>
        <w:t xml:space="preserve"> </w:t>
      </w:r>
      <w:r>
        <w:t xml:space="preserve">Monthly outcome rates for early- vs. late-rollout counties for the 12 months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either rollout. No significant divergence; slope difference</w:t>
      </w:r>
      <w:r>
        <w:t xml:space="preserve"> </w:t>
      </w:r>
      <m:oMath>
        <m:r>
          <m:rPr>
            <m:sty m:val="p"/>
          </m:rPr>
          <m:t>−</m:t>
        </m:r>
        <m:r>
          <m:t>0.0004</m:t>
        </m:r>
      </m:oMath>
      <w:r>
        <w:t xml:space="preserve"> </w:t>
      </w:r>
      <w:r>
        <w:t xml:space="preserve">per month (95% CI, −0.0017 to 0.0009).</w:t>
      </w:r>
    </w:p>
    <w:p>
      <w:pPr>
        <w:pStyle w:val="BodyText"/>
      </w:pPr>
      <w:r>
        <w:rPr>
          <w:b/>
          <w:bCs/>
        </w:rPr>
        <w:t xml:space="preserve">Figure S5. Propensity-score overlap.</w:t>
      </w:r>
      <w:r>
        <w:t xml:space="preserve"> </w:t>
      </w:r>
      <w:r>
        <w:t xml:space="preserve">Mirrored histogram of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treated and control person-months. Trimming thresholds at 0.01 and 0.99 marked. Overlap coefficient = 0.94.</w:t>
      </w:r>
    </w:p>
    <w:p>
      <w:pPr>
        <w:pStyle w:val="BodyText"/>
      </w:pPr>
      <w:r>
        <w:rPr>
          <w:b/>
          <w:bCs/>
        </w:rPr>
        <w:t xml:space="preserve">Figure S6. Rank-weighted ATE (RATE) curve.</w:t>
      </w:r>
      <w:r>
        <w:t xml:space="preserve"> </w:t>
      </w:r>
      <w:r>
        <w:t xml:space="preserve">Mean CATE among top-</w:t>
      </w:r>
      <m:oMath>
        <m:r>
          <m:t>k</m:t>
        </m:r>
      </m:oMath>
      <w:r>
        <w:t xml:space="preserve"> </w:t>
      </w:r>
      <w:r>
        <w:t xml:space="preserve">contacted beneficiaries plotted as a function of capacity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for both rules. The effect-based curve dominates the risk-based curve at every capacity. AUTC = 0.31 (95% CI, 0.28 to 0.34).</w:t>
      </w:r>
    </w:p>
    <w:p>
      <w:r>
        <w:pict>
          <v:rect style="width:0;height:1.5pt" o:hralign="center" o:hrstd="t" o:hr="t"/>
        </w:pict>
      </w:r>
    </w:p>
    <w:bookmarkEnd w:id="34"/>
    <w:bookmarkStart w:id="35" w:name="data-sharing"/>
    <w:p>
      <w:pPr>
        <w:pStyle w:val="Heading2"/>
      </w:pPr>
      <w:r>
        <w:t xml:space="preserve">Data sharing</w:t>
      </w:r>
    </w:p>
    <w:p>
      <w:pPr>
        <w:pStyle w:val="FirstParagraph"/>
      </w:pPr>
      <w:r>
        <w:t xml:space="preserve">Individual-level Medicaid claims and care-management encounter data are not publicly shareable per data-use agreements with the Washington State Health Care Authority and Virginia Department of Medical Assistance Services and HIPAA. Investigators may request data access directly through the standard research-data-request procedures of each agency. All analytic code, model specifications, hyperparameter grids, container definitions, and a synthetic-data demonstration that reproduces every figure and table are publicly available at:</w:t>
      </w:r>
    </w:p>
    <w:p>
      <w:pPr>
        <w:pStyle w:val="BodyText"/>
      </w:pPr>
      <w:r>
        <w:rPr>
          <w:rStyle w:val="VerbatimChar"/>
        </w:rPr>
        <w:t xml:space="preserve">https://github.com/sanjaybasu/medicaid-causal-world-model-</w:t>
      </w:r>
    </w:p>
    <w:p>
      <w:pPr>
        <w:pStyle w:val="BodyText"/>
      </w:pPr>
      <w:r>
        <w:t xml:space="preserve">archived with DOI in Zenodo on acceptance.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supplementary appendix.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2026-04-29T13:56:19Z</dcterms:created>
  <dcterms:modified xsi:type="dcterms:W3CDTF">2026-04-29T13:56:19Z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