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1BCC" w:rsidRPr="00DA1BCC" w:rsidRDefault="00DA1BCC" w:rsidP="00DA1BCC">
      <w:pPr>
        <w:spacing w:before="1400"/>
        <w:jc w:val="center"/>
        <w:rPr>
          <w:b/>
          <w:sz w:val="32"/>
        </w:rPr>
      </w:pPr>
      <w:r>
        <w:rPr>
          <w:b/>
          <w:sz w:val="32"/>
        </w:rPr>
        <w:t>ENGINEERING DESIGN REPORT</w:t>
      </w:r>
    </w:p>
    <w:p w:rsidR="00DA1BCC" w:rsidRDefault="00DA1BCC" w:rsidP="00DA1BCC">
      <w:pPr>
        <w:spacing w:before="400"/>
        <w:jc w:val="center"/>
      </w:pPr>
      <w:r>
        <w:rPr>
          <w:b/>
          <w:sz w:val="28"/>
        </w:rPr>
        <w:t>EVOLUTION, CAPACITY PLANNING, MOBILITY, INTERFERENCE ANALYSIS, AND SPECTRUM COORDINATION FOR A REGIONAL WIRELESS NETWORK</w:t>
      </w:r>
    </w:p>
    <w:p w:rsidR="00DA1BCC" w:rsidRDefault="00DA1BCC" w:rsidP="00DA1BCC">
      <w:pPr>
        <w:spacing w:before="1400"/>
        <w:jc w:val="center"/>
        <w:rPr>
          <w:b/>
          <w:sz w:val="32"/>
        </w:rPr>
      </w:pPr>
      <w:r>
        <w:rPr>
          <w:b/>
          <w:sz w:val="32"/>
        </w:rPr>
        <w:t>ECA5604-5G/6G COMMUNICATIONS</w:t>
      </w:r>
    </w:p>
    <w:p w:rsidR="00207CC2" w:rsidRDefault="00677F9F">
      <w:pPr>
        <w:spacing w:before="600"/>
        <w:jc w:val="center"/>
      </w:pPr>
      <w:r>
        <w:t>Course Outcome CO1</w:t>
      </w:r>
      <w:r>
        <w:br/>
        <w:t>Mobile Communication Systems</w:t>
      </w:r>
      <w:r>
        <w:br/>
        <w:t>Evidence-Based Network Planning</w:t>
      </w:r>
    </w:p>
    <w:p w:rsidR="00207CC2" w:rsidRDefault="00207CC2"/>
    <w:p w:rsidR="00207CC2" w:rsidRDefault="00677F9F">
      <w:pPr>
        <w:jc w:val="center"/>
      </w:pPr>
      <w:r>
        <w:t xml:space="preserve">Prepared for: Regional </w:t>
      </w:r>
      <w:r>
        <w:t>Wireless Network Planning Team</w:t>
      </w:r>
    </w:p>
    <w:p w:rsidR="00207CC2" w:rsidRDefault="00677F9F">
      <w:pPr>
        <w:jc w:val="center"/>
      </w:pPr>
      <w:r>
        <w:t>Report structure: Requirements → Analysis → Calculations → Comparison → Recommendation</w:t>
      </w: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pPr>
        <w:jc w:val="center"/>
      </w:pPr>
    </w:p>
    <w:p w:rsidR="00DA1BCC" w:rsidRDefault="00DA1BCC" w:rsidP="00DA1BCC"/>
    <w:p w:rsidR="00DA1BCC" w:rsidRDefault="00DA1BCC">
      <w:pPr>
        <w:jc w:val="center"/>
      </w:pPr>
    </w:p>
    <w:p w:rsidR="00DA1BCC" w:rsidRDefault="00DA1BCC">
      <w:pPr>
        <w:jc w:val="center"/>
      </w:pPr>
      <w:r>
        <w:t xml:space="preserve">                                                                                                          Done by:</w:t>
      </w:r>
    </w:p>
    <w:p w:rsidR="00DA1BCC" w:rsidRDefault="00DA1BCC">
      <w:pPr>
        <w:jc w:val="center"/>
      </w:pPr>
      <w:r>
        <w:t xml:space="preserve">                                                                                                            </w:t>
      </w:r>
      <w:r w:rsidR="004E313C">
        <w:t>S.Sanjay Charan</w:t>
      </w:r>
      <w:r>
        <w:t>-19</w:t>
      </w:r>
      <w:r w:rsidR="004E313C">
        <w:t>2312373</w:t>
      </w:r>
      <w:bookmarkStart w:id="0" w:name="_GoBack"/>
      <w:bookmarkEnd w:id="0"/>
    </w:p>
    <w:p w:rsidR="00207CC2" w:rsidRDefault="00677F9F">
      <w:r>
        <w:br w:type="page"/>
      </w:r>
    </w:p>
    <w:p w:rsidR="00207CC2" w:rsidRDefault="00677F9F">
      <w:pPr>
        <w:pStyle w:val="Heading1"/>
      </w:pPr>
      <w:r>
        <w:lastRenderedPageBreak/>
        <w:t>Abstract</w:t>
      </w:r>
    </w:p>
    <w:p w:rsidR="00207CC2" w:rsidRDefault="00677F9F">
      <w:r>
        <w:t xml:space="preserve">This report evaluates the design requirements of a regional wireless network using the supplied planning data. It examines the </w:t>
      </w:r>
      <w:r>
        <w:t>evolution of mobile communication systems from first-generation analog networks to the emerging sixth-generation vision, with emphasis on cellular architecture, spectrum utilization, traffic capacity, mobility management, and interference control. Hexagona</w:t>
      </w:r>
      <w:r>
        <w:t xml:space="preserve">l cell geometry and frequency reuse are used to estimate coverage and spatial reuse. Busy-hour traffic is calculated using the Erlang model, and the minimum number of traffic channels required to meet the specified blocking probability is determined using </w:t>
      </w:r>
      <w:r>
        <w:t>Erlang B. Mobility and handoff performance are assessed using the supplied vehicle speed, overlap time, route-cell length, and interruption duration. Co-channel and adjacent-channel interference are evaluated in linear power units before calculating the re</w:t>
      </w:r>
      <w:r>
        <w:t xml:space="preserve">sulting signal-to-interference-plus-noise ratio. Finally, free-space propagation at 900 MHz, 3.5 GHz, and 28 GHz is compared to support a phased deployment strategy. The report integrates these results into a practical recommendation while identifying the </w:t>
      </w:r>
      <w:r>
        <w:t>assumptions and uncertainties that require validation before implementation.</w:t>
      </w:r>
    </w:p>
    <w:p w:rsidR="00207CC2" w:rsidRDefault="00677F9F">
      <w:pPr>
        <w:pStyle w:val="Heading1"/>
      </w:pPr>
      <w:r>
        <w:t>1. Requirements and Design Objectives</w:t>
      </w:r>
    </w:p>
    <w:p w:rsidR="00207CC2" w:rsidRDefault="00677F9F">
      <w:r>
        <w:t>The regional operator needs a network plan that provides adequate capacity, acceptable call blocking, continuous service during mobility, and</w:t>
      </w:r>
      <w:r>
        <w:t xml:space="preserve"> manageable interference while making effective use of available radio spectrum.</w:t>
      </w:r>
    </w:p>
    <w:p w:rsidR="00207CC2" w:rsidRDefault="00677F9F">
      <w:r>
        <w:t>The primary engineering objectives are:</w:t>
      </w:r>
    </w:p>
    <w:p w:rsidR="00207CC2" w:rsidRDefault="00677F9F">
      <w:pPr>
        <w:pStyle w:val="ListBullet"/>
        <w:spacing w:after="60"/>
      </w:pPr>
      <w:r>
        <w:t>Explain the progression from 1G through 6G and its impact on network architecture and radio-resource management.</w:t>
      </w:r>
    </w:p>
    <w:p w:rsidR="00207CC2" w:rsidRDefault="00677F9F">
      <w:pPr>
        <w:pStyle w:val="ListBullet"/>
        <w:spacing w:after="60"/>
      </w:pPr>
      <w:r>
        <w:t>Calculate cell area, c</w:t>
      </w:r>
      <w:r>
        <w:t>luster area, reuse fraction, and reuse distance using the supplied hexagonal model.</w:t>
      </w:r>
    </w:p>
    <w:p w:rsidR="00207CC2" w:rsidRDefault="00677F9F">
      <w:pPr>
        <w:pStyle w:val="ListBullet"/>
        <w:spacing w:after="60"/>
      </w:pPr>
      <w:r>
        <w:t>Determine busy-hour traffic and the channel requirement for a blocking probability not exceeding 2%.</w:t>
      </w:r>
    </w:p>
    <w:p w:rsidR="00207CC2" w:rsidRDefault="00677F9F">
      <w:pPr>
        <w:pStyle w:val="ListBullet"/>
        <w:spacing w:after="60"/>
      </w:pPr>
      <w:r>
        <w:t>Estimate handoff frequency and evaluate the implications of interruptio</w:t>
      </w:r>
      <w:r>
        <w:t>n and target-cell unavailability.</w:t>
      </w:r>
    </w:p>
    <w:p w:rsidR="00207CC2" w:rsidRDefault="00677F9F">
      <w:pPr>
        <w:pStyle w:val="ListBullet"/>
        <w:spacing w:after="60"/>
      </w:pPr>
      <w:r>
        <w:t>Quantify co-channel and adjacent-channel interference and compare the propagation characteristics of three spectrum bands.</w:t>
      </w:r>
    </w:p>
    <w:p w:rsidR="00207CC2" w:rsidRDefault="00677F9F">
      <w:pPr>
        <w:pStyle w:val="ListBullet"/>
        <w:spacing w:after="60"/>
      </w:pPr>
      <w:r>
        <w:t>Explain international spectrum coordination and propose a technically justified, phased network dep</w:t>
      </w:r>
      <w:r>
        <w:t>loyment.</w:t>
      </w:r>
    </w:p>
    <w:p w:rsidR="00207CC2" w:rsidRDefault="00677F9F">
      <w:pPr>
        <w:pStyle w:val="Heading2"/>
      </w:pPr>
      <w:r>
        <w:t>1.1 Supplied Planning Parameters</w:t>
      </w:r>
    </w:p>
    <w:tbl>
      <w:tblPr>
        <w:tblStyle w:val="TableGrid"/>
        <w:tblW w:w="0" w:type="auto"/>
        <w:jc w:val="center"/>
        <w:tblLook w:val="04A0" w:firstRow="1" w:lastRow="0" w:firstColumn="1" w:lastColumn="0" w:noHBand="0" w:noVBand="1"/>
      </w:tblPr>
      <w:tblGrid>
        <w:gridCol w:w="4891"/>
        <w:gridCol w:w="4891"/>
      </w:tblGrid>
      <w:tr w:rsidR="00207CC2">
        <w:trPr>
          <w:jc w:val="center"/>
        </w:trPr>
        <w:tc>
          <w:tcPr>
            <w:tcW w:w="4896" w:type="dxa"/>
            <w:shd w:val="clear" w:color="auto" w:fill="D9E1F2"/>
            <w:vAlign w:val="center"/>
          </w:tcPr>
          <w:p w:rsidR="00207CC2" w:rsidRDefault="00677F9F">
            <w:pPr>
              <w:spacing w:before="40" w:after="40"/>
            </w:pPr>
            <w:r>
              <w:rPr>
                <w:b/>
                <w:sz w:val="20"/>
              </w:rPr>
              <w:t>Parameter</w:t>
            </w:r>
          </w:p>
        </w:tc>
        <w:tc>
          <w:tcPr>
            <w:tcW w:w="4896" w:type="dxa"/>
            <w:shd w:val="clear" w:color="auto" w:fill="D9E1F2"/>
            <w:vAlign w:val="center"/>
          </w:tcPr>
          <w:p w:rsidR="00207CC2" w:rsidRDefault="00677F9F">
            <w:pPr>
              <w:spacing w:before="40" w:after="40"/>
            </w:pPr>
            <w:r>
              <w:rPr>
                <w:b/>
                <w:sz w:val="20"/>
              </w:rPr>
              <w:t>Value</w:t>
            </w:r>
          </w:p>
        </w:tc>
      </w:tr>
      <w:tr w:rsidR="00207CC2">
        <w:trPr>
          <w:jc w:val="center"/>
        </w:trPr>
        <w:tc>
          <w:tcPr>
            <w:tcW w:w="4896" w:type="dxa"/>
            <w:vAlign w:val="center"/>
          </w:tcPr>
          <w:p w:rsidR="00207CC2" w:rsidRDefault="00677F9F">
            <w:pPr>
              <w:spacing w:before="40" w:after="40"/>
            </w:pPr>
            <w:r>
              <w:rPr>
                <w:sz w:val="20"/>
              </w:rPr>
              <w:t>Cell radius, r</w:t>
            </w:r>
          </w:p>
        </w:tc>
        <w:tc>
          <w:tcPr>
            <w:tcW w:w="4896" w:type="dxa"/>
            <w:vAlign w:val="center"/>
          </w:tcPr>
          <w:p w:rsidR="00207CC2" w:rsidRDefault="00677F9F">
            <w:pPr>
              <w:spacing w:before="40" w:after="40"/>
            </w:pPr>
            <w:r>
              <w:rPr>
                <w:sz w:val="20"/>
              </w:rPr>
              <w:t>2 km</w:t>
            </w:r>
          </w:p>
        </w:tc>
      </w:tr>
      <w:tr w:rsidR="00207CC2">
        <w:trPr>
          <w:jc w:val="center"/>
        </w:trPr>
        <w:tc>
          <w:tcPr>
            <w:tcW w:w="4896" w:type="dxa"/>
            <w:vAlign w:val="center"/>
          </w:tcPr>
          <w:p w:rsidR="00207CC2" w:rsidRDefault="00677F9F">
            <w:pPr>
              <w:spacing w:before="40" w:after="40"/>
            </w:pPr>
            <w:r>
              <w:rPr>
                <w:sz w:val="20"/>
              </w:rPr>
              <w:t>Cells in planning cluster</w:t>
            </w:r>
          </w:p>
        </w:tc>
        <w:tc>
          <w:tcPr>
            <w:tcW w:w="4896" w:type="dxa"/>
            <w:vAlign w:val="center"/>
          </w:tcPr>
          <w:p w:rsidR="00207CC2" w:rsidRDefault="00677F9F">
            <w:pPr>
              <w:spacing w:before="40" w:after="40"/>
            </w:pPr>
            <w:r>
              <w:rPr>
                <w:sz w:val="20"/>
              </w:rPr>
              <w:t>19</w:t>
            </w:r>
          </w:p>
        </w:tc>
      </w:tr>
      <w:tr w:rsidR="00207CC2">
        <w:trPr>
          <w:jc w:val="center"/>
        </w:trPr>
        <w:tc>
          <w:tcPr>
            <w:tcW w:w="4896" w:type="dxa"/>
            <w:vAlign w:val="center"/>
          </w:tcPr>
          <w:p w:rsidR="00207CC2" w:rsidRDefault="00677F9F">
            <w:pPr>
              <w:spacing w:before="40" w:after="40"/>
            </w:pPr>
            <w:r>
              <w:rPr>
                <w:sz w:val="20"/>
              </w:rPr>
              <w:t>Frequency reuse cluster size, N</w:t>
            </w:r>
          </w:p>
        </w:tc>
        <w:tc>
          <w:tcPr>
            <w:tcW w:w="4896" w:type="dxa"/>
            <w:vAlign w:val="center"/>
          </w:tcPr>
          <w:p w:rsidR="00207CC2" w:rsidRDefault="00677F9F">
            <w:pPr>
              <w:spacing w:before="40" w:after="40"/>
            </w:pPr>
            <w:r>
              <w:rPr>
                <w:sz w:val="20"/>
              </w:rPr>
              <w:t>7</w:t>
            </w:r>
          </w:p>
        </w:tc>
      </w:tr>
      <w:tr w:rsidR="00207CC2">
        <w:trPr>
          <w:jc w:val="center"/>
        </w:trPr>
        <w:tc>
          <w:tcPr>
            <w:tcW w:w="4896" w:type="dxa"/>
            <w:vAlign w:val="center"/>
          </w:tcPr>
          <w:p w:rsidR="00207CC2" w:rsidRDefault="00677F9F">
            <w:pPr>
              <w:spacing w:before="40" w:after="40"/>
            </w:pPr>
            <w:r>
              <w:rPr>
                <w:sz w:val="20"/>
              </w:rPr>
              <w:t>Subscribers</w:t>
            </w:r>
          </w:p>
        </w:tc>
        <w:tc>
          <w:tcPr>
            <w:tcW w:w="4896" w:type="dxa"/>
            <w:vAlign w:val="center"/>
          </w:tcPr>
          <w:p w:rsidR="00207CC2" w:rsidRDefault="00677F9F">
            <w:pPr>
              <w:spacing w:before="40" w:after="40"/>
            </w:pPr>
            <w:r>
              <w:rPr>
                <w:sz w:val="20"/>
              </w:rPr>
              <w:t>1,000</w:t>
            </w:r>
          </w:p>
        </w:tc>
      </w:tr>
      <w:tr w:rsidR="00207CC2">
        <w:trPr>
          <w:jc w:val="center"/>
        </w:trPr>
        <w:tc>
          <w:tcPr>
            <w:tcW w:w="4896" w:type="dxa"/>
            <w:vAlign w:val="center"/>
          </w:tcPr>
          <w:p w:rsidR="00207CC2" w:rsidRDefault="00677F9F">
            <w:pPr>
              <w:spacing w:before="40" w:after="40"/>
            </w:pPr>
            <w:r>
              <w:rPr>
                <w:sz w:val="20"/>
              </w:rPr>
              <w:t>Busy-hour traffic per subscriber</w:t>
            </w:r>
          </w:p>
        </w:tc>
        <w:tc>
          <w:tcPr>
            <w:tcW w:w="4896" w:type="dxa"/>
            <w:vAlign w:val="center"/>
          </w:tcPr>
          <w:p w:rsidR="00207CC2" w:rsidRDefault="00677F9F">
            <w:pPr>
              <w:spacing w:before="40" w:after="40"/>
            </w:pPr>
            <w:r>
              <w:rPr>
                <w:sz w:val="20"/>
              </w:rPr>
              <w:t>0.08 Erlang</w:t>
            </w:r>
          </w:p>
        </w:tc>
      </w:tr>
      <w:tr w:rsidR="00207CC2">
        <w:trPr>
          <w:jc w:val="center"/>
        </w:trPr>
        <w:tc>
          <w:tcPr>
            <w:tcW w:w="4896" w:type="dxa"/>
            <w:vAlign w:val="center"/>
          </w:tcPr>
          <w:p w:rsidR="00207CC2" w:rsidRDefault="00677F9F">
            <w:pPr>
              <w:spacing w:before="40" w:after="40"/>
            </w:pPr>
            <w:r>
              <w:rPr>
                <w:sz w:val="20"/>
              </w:rPr>
              <w:lastRenderedPageBreak/>
              <w:t>Initial base-station traffic channels</w:t>
            </w:r>
          </w:p>
        </w:tc>
        <w:tc>
          <w:tcPr>
            <w:tcW w:w="4896" w:type="dxa"/>
            <w:vAlign w:val="center"/>
          </w:tcPr>
          <w:p w:rsidR="00207CC2" w:rsidRDefault="00677F9F">
            <w:pPr>
              <w:spacing w:before="40" w:after="40"/>
            </w:pPr>
            <w:r>
              <w:rPr>
                <w:sz w:val="20"/>
              </w:rPr>
              <w:t>100</w:t>
            </w:r>
          </w:p>
        </w:tc>
      </w:tr>
      <w:tr w:rsidR="00207CC2">
        <w:trPr>
          <w:jc w:val="center"/>
        </w:trPr>
        <w:tc>
          <w:tcPr>
            <w:tcW w:w="4896" w:type="dxa"/>
            <w:vAlign w:val="center"/>
          </w:tcPr>
          <w:p w:rsidR="00207CC2" w:rsidRDefault="00677F9F">
            <w:pPr>
              <w:spacing w:before="40" w:after="40"/>
            </w:pPr>
            <w:r>
              <w:rPr>
                <w:sz w:val="20"/>
              </w:rPr>
              <w:t>Maximum blocking probability</w:t>
            </w:r>
          </w:p>
        </w:tc>
        <w:tc>
          <w:tcPr>
            <w:tcW w:w="4896" w:type="dxa"/>
            <w:vAlign w:val="center"/>
          </w:tcPr>
          <w:p w:rsidR="00207CC2" w:rsidRDefault="00677F9F">
            <w:pPr>
              <w:spacing w:before="40" w:after="40"/>
            </w:pPr>
            <w:r>
              <w:rPr>
                <w:sz w:val="20"/>
              </w:rPr>
              <w:t>2%</w:t>
            </w:r>
          </w:p>
        </w:tc>
      </w:tr>
      <w:tr w:rsidR="00207CC2">
        <w:trPr>
          <w:jc w:val="center"/>
        </w:trPr>
        <w:tc>
          <w:tcPr>
            <w:tcW w:w="4896" w:type="dxa"/>
            <w:vAlign w:val="center"/>
          </w:tcPr>
          <w:p w:rsidR="00207CC2" w:rsidRDefault="00677F9F">
            <w:pPr>
              <w:spacing w:before="40" w:after="40"/>
            </w:pPr>
            <w:r>
              <w:rPr>
                <w:sz w:val="20"/>
              </w:rPr>
              <w:t>Mobile speed</w:t>
            </w:r>
          </w:p>
        </w:tc>
        <w:tc>
          <w:tcPr>
            <w:tcW w:w="4896" w:type="dxa"/>
            <w:vAlign w:val="center"/>
          </w:tcPr>
          <w:p w:rsidR="00207CC2" w:rsidRDefault="00677F9F">
            <w:pPr>
              <w:spacing w:before="40" w:after="40"/>
            </w:pPr>
            <w:r>
              <w:rPr>
                <w:sz w:val="20"/>
              </w:rPr>
              <w:t>60 km/h</w:t>
            </w:r>
          </w:p>
        </w:tc>
      </w:tr>
      <w:tr w:rsidR="00207CC2">
        <w:trPr>
          <w:jc w:val="center"/>
        </w:trPr>
        <w:tc>
          <w:tcPr>
            <w:tcW w:w="4896" w:type="dxa"/>
            <w:vAlign w:val="center"/>
          </w:tcPr>
          <w:p w:rsidR="00207CC2" w:rsidRDefault="00677F9F">
            <w:pPr>
              <w:spacing w:before="40" w:after="40"/>
            </w:pPr>
            <w:r>
              <w:rPr>
                <w:sz w:val="20"/>
              </w:rPr>
              <w:t>Overlap-zone dwell time</w:t>
            </w:r>
          </w:p>
        </w:tc>
        <w:tc>
          <w:tcPr>
            <w:tcW w:w="4896" w:type="dxa"/>
            <w:vAlign w:val="center"/>
          </w:tcPr>
          <w:p w:rsidR="00207CC2" w:rsidRDefault="00677F9F">
            <w:pPr>
              <w:spacing w:before="40" w:after="40"/>
            </w:pPr>
            <w:r>
              <w:rPr>
                <w:sz w:val="20"/>
              </w:rPr>
              <w:t>6 s</w:t>
            </w:r>
          </w:p>
        </w:tc>
      </w:tr>
      <w:tr w:rsidR="00207CC2">
        <w:trPr>
          <w:jc w:val="center"/>
        </w:trPr>
        <w:tc>
          <w:tcPr>
            <w:tcW w:w="4896" w:type="dxa"/>
            <w:vAlign w:val="center"/>
          </w:tcPr>
          <w:p w:rsidR="00207CC2" w:rsidRDefault="00677F9F">
            <w:pPr>
              <w:spacing w:before="40" w:after="40"/>
            </w:pPr>
            <w:r>
              <w:rPr>
                <w:sz w:val="20"/>
              </w:rPr>
              <w:t>Nominal route-cell length</w:t>
            </w:r>
          </w:p>
        </w:tc>
        <w:tc>
          <w:tcPr>
            <w:tcW w:w="4896" w:type="dxa"/>
            <w:vAlign w:val="center"/>
          </w:tcPr>
          <w:p w:rsidR="00207CC2" w:rsidRDefault="00677F9F">
            <w:pPr>
              <w:spacing w:before="40" w:after="40"/>
            </w:pPr>
            <w:r>
              <w:rPr>
                <w:sz w:val="20"/>
              </w:rPr>
              <w:t>1 km</w:t>
            </w:r>
          </w:p>
        </w:tc>
      </w:tr>
      <w:tr w:rsidR="00207CC2">
        <w:trPr>
          <w:jc w:val="center"/>
        </w:trPr>
        <w:tc>
          <w:tcPr>
            <w:tcW w:w="4896" w:type="dxa"/>
            <w:vAlign w:val="center"/>
          </w:tcPr>
          <w:p w:rsidR="00207CC2" w:rsidRDefault="00677F9F">
            <w:pPr>
              <w:spacing w:before="40" w:after="40"/>
            </w:pPr>
            <w:r>
              <w:rPr>
                <w:sz w:val="20"/>
              </w:rPr>
              <w:t>Handoff interruption</w:t>
            </w:r>
          </w:p>
        </w:tc>
        <w:tc>
          <w:tcPr>
            <w:tcW w:w="4896" w:type="dxa"/>
            <w:vAlign w:val="center"/>
          </w:tcPr>
          <w:p w:rsidR="00207CC2" w:rsidRDefault="00677F9F">
            <w:pPr>
              <w:spacing w:before="40" w:after="40"/>
            </w:pPr>
            <w:r>
              <w:rPr>
                <w:sz w:val="20"/>
              </w:rPr>
              <w:t>0.5 s</w:t>
            </w:r>
          </w:p>
        </w:tc>
      </w:tr>
      <w:tr w:rsidR="00207CC2">
        <w:trPr>
          <w:jc w:val="center"/>
        </w:trPr>
        <w:tc>
          <w:tcPr>
            <w:tcW w:w="4896" w:type="dxa"/>
            <w:vAlign w:val="center"/>
          </w:tcPr>
          <w:p w:rsidR="00207CC2" w:rsidRDefault="00677F9F">
            <w:pPr>
              <w:spacing w:before="40" w:after="40"/>
            </w:pPr>
            <w:r>
              <w:rPr>
                <w:sz w:val="20"/>
              </w:rPr>
              <w:t>Target-cell unavailability</w:t>
            </w:r>
          </w:p>
        </w:tc>
        <w:tc>
          <w:tcPr>
            <w:tcW w:w="4896" w:type="dxa"/>
            <w:vAlign w:val="center"/>
          </w:tcPr>
          <w:p w:rsidR="00207CC2" w:rsidRDefault="00677F9F">
            <w:pPr>
              <w:spacing w:before="40" w:after="40"/>
            </w:pPr>
            <w:r>
              <w:rPr>
                <w:sz w:val="20"/>
              </w:rPr>
              <w:t>1%</w:t>
            </w:r>
          </w:p>
        </w:tc>
      </w:tr>
      <w:tr w:rsidR="00207CC2">
        <w:trPr>
          <w:jc w:val="center"/>
        </w:trPr>
        <w:tc>
          <w:tcPr>
            <w:tcW w:w="4896" w:type="dxa"/>
            <w:vAlign w:val="center"/>
          </w:tcPr>
          <w:p w:rsidR="00207CC2" w:rsidRDefault="00677F9F">
            <w:pPr>
              <w:spacing w:before="40" w:after="40"/>
            </w:pPr>
            <w:r>
              <w:rPr>
                <w:sz w:val="20"/>
              </w:rPr>
              <w:t>Desired signal, S</w:t>
            </w:r>
          </w:p>
        </w:tc>
        <w:tc>
          <w:tcPr>
            <w:tcW w:w="4896" w:type="dxa"/>
            <w:vAlign w:val="center"/>
          </w:tcPr>
          <w:p w:rsidR="00207CC2" w:rsidRDefault="00677F9F">
            <w:pPr>
              <w:spacing w:before="40" w:after="40"/>
            </w:pPr>
            <w:r>
              <w:rPr>
                <w:sz w:val="20"/>
              </w:rPr>
              <w:t>−70 dBm</w:t>
            </w:r>
          </w:p>
        </w:tc>
      </w:tr>
      <w:tr w:rsidR="00207CC2">
        <w:trPr>
          <w:jc w:val="center"/>
        </w:trPr>
        <w:tc>
          <w:tcPr>
            <w:tcW w:w="4896" w:type="dxa"/>
            <w:vAlign w:val="center"/>
          </w:tcPr>
          <w:p w:rsidR="00207CC2" w:rsidRDefault="00677F9F">
            <w:pPr>
              <w:spacing w:before="40" w:after="40"/>
            </w:pPr>
            <w:r>
              <w:rPr>
                <w:sz w:val="20"/>
              </w:rPr>
              <w:t>Co-channel interference, I₁</w:t>
            </w:r>
          </w:p>
        </w:tc>
        <w:tc>
          <w:tcPr>
            <w:tcW w:w="4896" w:type="dxa"/>
            <w:vAlign w:val="center"/>
          </w:tcPr>
          <w:p w:rsidR="00207CC2" w:rsidRDefault="00677F9F">
            <w:pPr>
              <w:spacing w:before="40" w:after="40"/>
            </w:pPr>
            <w:r>
              <w:rPr>
                <w:sz w:val="20"/>
              </w:rPr>
              <w:t>−85 dBm</w:t>
            </w:r>
          </w:p>
        </w:tc>
      </w:tr>
      <w:tr w:rsidR="00207CC2">
        <w:trPr>
          <w:jc w:val="center"/>
        </w:trPr>
        <w:tc>
          <w:tcPr>
            <w:tcW w:w="4896" w:type="dxa"/>
            <w:vAlign w:val="center"/>
          </w:tcPr>
          <w:p w:rsidR="00207CC2" w:rsidRDefault="00677F9F">
            <w:pPr>
              <w:spacing w:before="40" w:after="40"/>
            </w:pPr>
            <w:r>
              <w:rPr>
                <w:sz w:val="20"/>
              </w:rPr>
              <w:t xml:space="preserve">Adjacent-channel </w:t>
            </w:r>
            <w:r>
              <w:rPr>
                <w:sz w:val="20"/>
              </w:rPr>
              <w:t>interference, I₂</w:t>
            </w:r>
          </w:p>
        </w:tc>
        <w:tc>
          <w:tcPr>
            <w:tcW w:w="4896" w:type="dxa"/>
            <w:vAlign w:val="center"/>
          </w:tcPr>
          <w:p w:rsidR="00207CC2" w:rsidRDefault="00677F9F">
            <w:pPr>
              <w:spacing w:before="40" w:after="40"/>
            </w:pPr>
            <w:r>
              <w:rPr>
                <w:sz w:val="20"/>
              </w:rPr>
              <w:t>−90 dBm</w:t>
            </w:r>
          </w:p>
        </w:tc>
      </w:tr>
      <w:tr w:rsidR="00207CC2">
        <w:trPr>
          <w:jc w:val="center"/>
        </w:trPr>
        <w:tc>
          <w:tcPr>
            <w:tcW w:w="4896" w:type="dxa"/>
            <w:vAlign w:val="center"/>
          </w:tcPr>
          <w:p w:rsidR="00207CC2" w:rsidRDefault="00677F9F">
            <w:pPr>
              <w:spacing w:before="40" w:after="40"/>
            </w:pPr>
            <w:r>
              <w:rPr>
                <w:sz w:val="20"/>
              </w:rPr>
              <w:t>Minimum target SINR</w:t>
            </w:r>
          </w:p>
        </w:tc>
        <w:tc>
          <w:tcPr>
            <w:tcW w:w="4896" w:type="dxa"/>
            <w:vAlign w:val="center"/>
          </w:tcPr>
          <w:p w:rsidR="00207CC2" w:rsidRDefault="00677F9F">
            <w:pPr>
              <w:spacing w:before="40" w:after="40"/>
            </w:pPr>
            <w:r>
              <w:rPr>
                <w:sz w:val="20"/>
              </w:rPr>
              <w:t>15 dB</w:t>
            </w:r>
          </w:p>
        </w:tc>
      </w:tr>
      <w:tr w:rsidR="00207CC2">
        <w:trPr>
          <w:jc w:val="center"/>
        </w:trPr>
        <w:tc>
          <w:tcPr>
            <w:tcW w:w="4896" w:type="dxa"/>
            <w:vAlign w:val="center"/>
          </w:tcPr>
          <w:p w:rsidR="00207CC2" w:rsidRDefault="00677F9F">
            <w:pPr>
              <w:spacing w:before="40" w:after="40"/>
            </w:pPr>
            <w:r>
              <w:rPr>
                <w:sz w:val="20"/>
              </w:rPr>
              <w:t>Spectrum bands</w:t>
            </w:r>
          </w:p>
        </w:tc>
        <w:tc>
          <w:tcPr>
            <w:tcW w:w="4896" w:type="dxa"/>
            <w:vAlign w:val="center"/>
          </w:tcPr>
          <w:p w:rsidR="00207CC2" w:rsidRDefault="00677F9F">
            <w:pPr>
              <w:spacing w:before="40" w:after="40"/>
            </w:pPr>
            <w:r>
              <w:rPr>
                <w:sz w:val="20"/>
              </w:rPr>
              <w:t>900 MHz, 3.5 GHz, 28 GHz</w:t>
            </w:r>
          </w:p>
        </w:tc>
      </w:tr>
    </w:tbl>
    <w:p w:rsidR="00207CC2" w:rsidRDefault="00207CC2"/>
    <w:p w:rsidR="00207CC2" w:rsidRDefault="00677F9F">
      <w:pPr>
        <w:pStyle w:val="Heading1"/>
      </w:pPr>
      <w:r>
        <w:t>2. Analysis of Mobile-System Evolution</w:t>
      </w:r>
    </w:p>
    <w:p w:rsidR="00207CC2" w:rsidRDefault="00677F9F">
      <w:pPr>
        <w:pStyle w:val="Heading2"/>
      </w:pPr>
      <w:r>
        <w:t>2.1 Generational Comparison: 1G to the 6G Vision</w:t>
      </w:r>
    </w:p>
    <w:p w:rsidR="00207CC2" w:rsidRDefault="00677F9F">
      <w:r>
        <w:t>Mobile communication has evolved from analog voice transmission to intell</w:t>
      </w:r>
      <w:r>
        <w:t>igent, high-capacity networks supporting broadband, massive connectivity, and emerging immersive applications. Each generation addresses limitations in the preceding generation, particularly in spectral efficiency, service quality, latency, capacity, and n</w:t>
      </w:r>
      <w:r>
        <w:t>etwork flexibility.</w:t>
      </w:r>
    </w:p>
    <w:tbl>
      <w:tblPr>
        <w:tblStyle w:val="TableGrid"/>
        <w:tblW w:w="0" w:type="auto"/>
        <w:jc w:val="center"/>
        <w:tblLook w:val="04A0" w:firstRow="1" w:lastRow="0" w:firstColumn="1" w:lastColumn="0" w:noHBand="0" w:noVBand="1"/>
      </w:tblPr>
      <w:tblGrid>
        <w:gridCol w:w="2444"/>
        <w:gridCol w:w="2446"/>
        <w:gridCol w:w="2446"/>
        <w:gridCol w:w="2446"/>
      </w:tblGrid>
      <w:tr w:rsidR="00207CC2">
        <w:trPr>
          <w:jc w:val="center"/>
        </w:trPr>
        <w:tc>
          <w:tcPr>
            <w:tcW w:w="2448" w:type="dxa"/>
            <w:shd w:val="clear" w:color="auto" w:fill="D9E1F2"/>
            <w:vAlign w:val="center"/>
          </w:tcPr>
          <w:p w:rsidR="00207CC2" w:rsidRDefault="00677F9F">
            <w:pPr>
              <w:spacing w:before="40" w:after="40"/>
            </w:pPr>
            <w:r>
              <w:rPr>
                <w:b/>
                <w:sz w:val="16"/>
              </w:rPr>
              <w:t>Generation</w:t>
            </w:r>
          </w:p>
        </w:tc>
        <w:tc>
          <w:tcPr>
            <w:tcW w:w="2448" w:type="dxa"/>
            <w:shd w:val="clear" w:color="auto" w:fill="D9E1F2"/>
            <w:vAlign w:val="center"/>
          </w:tcPr>
          <w:p w:rsidR="00207CC2" w:rsidRDefault="00677F9F">
            <w:pPr>
              <w:spacing w:before="40" w:after="40"/>
            </w:pPr>
            <w:r>
              <w:rPr>
                <w:b/>
                <w:sz w:val="16"/>
              </w:rPr>
              <w:t>Example and technology</w:t>
            </w:r>
          </w:p>
        </w:tc>
        <w:tc>
          <w:tcPr>
            <w:tcW w:w="2448" w:type="dxa"/>
            <w:shd w:val="clear" w:color="auto" w:fill="D9E1F2"/>
            <w:vAlign w:val="center"/>
          </w:tcPr>
          <w:p w:rsidR="00207CC2" w:rsidRDefault="00677F9F">
            <w:pPr>
              <w:spacing w:before="40" w:after="40"/>
            </w:pPr>
            <w:r>
              <w:rPr>
                <w:b/>
                <w:sz w:val="16"/>
              </w:rPr>
              <w:t>Main service capability</w:t>
            </w:r>
          </w:p>
        </w:tc>
        <w:tc>
          <w:tcPr>
            <w:tcW w:w="2448" w:type="dxa"/>
            <w:shd w:val="clear" w:color="auto" w:fill="D9E1F2"/>
            <w:vAlign w:val="center"/>
          </w:tcPr>
          <w:p w:rsidR="00207CC2" w:rsidRDefault="00677F9F">
            <w:pPr>
              <w:spacing w:before="40" w:after="40"/>
            </w:pPr>
            <w:r>
              <w:rPr>
                <w:b/>
                <w:sz w:val="16"/>
              </w:rPr>
              <w:t>Key limitation or engineering improvement</w:t>
            </w:r>
          </w:p>
        </w:tc>
      </w:tr>
      <w:tr w:rsidR="00207CC2">
        <w:trPr>
          <w:jc w:val="center"/>
        </w:trPr>
        <w:tc>
          <w:tcPr>
            <w:tcW w:w="2448" w:type="dxa"/>
            <w:vAlign w:val="center"/>
          </w:tcPr>
          <w:p w:rsidR="00207CC2" w:rsidRDefault="00677F9F">
            <w:pPr>
              <w:spacing w:before="40" w:after="40"/>
            </w:pPr>
            <w:r>
              <w:rPr>
                <w:sz w:val="16"/>
              </w:rPr>
              <w:t>1G</w:t>
            </w:r>
          </w:p>
        </w:tc>
        <w:tc>
          <w:tcPr>
            <w:tcW w:w="2448" w:type="dxa"/>
            <w:vAlign w:val="center"/>
          </w:tcPr>
          <w:p w:rsidR="00207CC2" w:rsidRDefault="00677F9F">
            <w:pPr>
              <w:spacing w:before="40" w:after="40"/>
            </w:pPr>
            <w:r>
              <w:rPr>
                <w:sz w:val="16"/>
              </w:rPr>
              <w:t>AMPS; analog FDMA; 800 MHz</w:t>
            </w:r>
          </w:p>
        </w:tc>
        <w:tc>
          <w:tcPr>
            <w:tcW w:w="2448" w:type="dxa"/>
            <w:vAlign w:val="center"/>
          </w:tcPr>
          <w:p w:rsidR="00207CC2" w:rsidRDefault="00677F9F">
            <w:pPr>
              <w:spacing w:before="40" w:after="40"/>
            </w:pPr>
            <w:r>
              <w:rPr>
                <w:sz w:val="16"/>
              </w:rPr>
              <w:t>Analog mobile voice</w:t>
            </w:r>
          </w:p>
        </w:tc>
        <w:tc>
          <w:tcPr>
            <w:tcW w:w="2448" w:type="dxa"/>
            <w:vAlign w:val="center"/>
          </w:tcPr>
          <w:p w:rsidR="00207CC2" w:rsidRDefault="00677F9F">
            <w:pPr>
              <w:spacing w:before="40" w:after="40"/>
            </w:pPr>
            <w:r>
              <w:rPr>
                <w:sz w:val="16"/>
              </w:rPr>
              <w:t>Limited capacity, weaker security, and inefficient analog resource utilization</w:t>
            </w:r>
          </w:p>
        </w:tc>
      </w:tr>
      <w:tr w:rsidR="00207CC2">
        <w:trPr>
          <w:jc w:val="center"/>
        </w:trPr>
        <w:tc>
          <w:tcPr>
            <w:tcW w:w="2448" w:type="dxa"/>
            <w:vAlign w:val="center"/>
          </w:tcPr>
          <w:p w:rsidR="00207CC2" w:rsidRDefault="00677F9F">
            <w:pPr>
              <w:spacing w:before="40" w:after="40"/>
            </w:pPr>
            <w:r>
              <w:rPr>
                <w:sz w:val="16"/>
              </w:rPr>
              <w:t>2G</w:t>
            </w:r>
          </w:p>
        </w:tc>
        <w:tc>
          <w:tcPr>
            <w:tcW w:w="2448" w:type="dxa"/>
            <w:vAlign w:val="center"/>
          </w:tcPr>
          <w:p w:rsidR="00207CC2" w:rsidRDefault="00677F9F">
            <w:pPr>
              <w:spacing w:before="40" w:after="40"/>
            </w:pPr>
            <w:r>
              <w:rPr>
                <w:sz w:val="16"/>
              </w:rPr>
              <w:t>GSM; 900 MHz; 200 kHz carriers and 8 TDMA slots</w:t>
            </w:r>
          </w:p>
        </w:tc>
        <w:tc>
          <w:tcPr>
            <w:tcW w:w="2448" w:type="dxa"/>
            <w:vAlign w:val="center"/>
          </w:tcPr>
          <w:p w:rsidR="00207CC2" w:rsidRDefault="00677F9F">
            <w:pPr>
              <w:spacing w:before="40" w:after="40"/>
            </w:pPr>
            <w:r>
              <w:rPr>
                <w:sz w:val="16"/>
              </w:rPr>
              <w:t>Digital voice, SMS, and basic data</w:t>
            </w:r>
          </w:p>
        </w:tc>
        <w:tc>
          <w:tcPr>
            <w:tcW w:w="2448" w:type="dxa"/>
            <w:vAlign w:val="center"/>
          </w:tcPr>
          <w:p w:rsidR="00207CC2" w:rsidRDefault="00677F9F">
            <w:pPr>
              <w:spacing w:before="40" w:after="40"/>
            </w:pPr>
            <w:r>
              <w:rPr>
                <w:sz w:val="16"/>
              </w:rPr>
              <w:t>Digital coding and time-slot allocation improve capacity, quality, and security; data rates remain limited</w:t>
            </w:r>
          </w:p>
        </w:tc>
      </w:tr>
      <w:tr w:rsidR="00207CC2">
        <w:trPr>
          <w:jc w:val="center"/>
        </w:trPr>
        <w:tc>
          <w:tcPr>
            <w:tcW w:w="2448" w:type="dxa"/>
            <w:vAlign w:val="center"/>
          </w:tcPr>
          <w:p w:rsidR="00207CC2" w:rsidRDefault="00677F9F">
            <w:pPr>
              <w:spacing w:before="40" w:after="40"/>
            </w:pPr>
            <w:r>
              <w:rPr>
                <w:sz w:val="16"/>
              </w:rPr>
              <w:t>3G</w:t>
            </w:r>
          </w:p>
        </w:tc>
        <w:tc>
          <w:tcPr>
            <w:tcW w:w="2448" w:type="dxa"/>
            <w:vAlign w:val="center"/>
          </w:tcPr>
          <w:p w:rsidR="00207CC2" w:rsidRDefault="00677F9F">
            <w:pPr>
              <w:spacing w:before="40" w:after="40"/>
            </w:pPr>
            <w:r>
              <w:rPr>
                <w:sz w:val="16"/>
              </w:rPr>
              <w:t>UMTS; 5 MHz carrier; WCDMA</w:t>
            </w:r>
          </w:p>
        </w:tc>
        <w:tc>
          <w:tcPr>
            <w:tcW w:w="2448" w:type="dxa"/>
            <w:vAlign w:val="center"/>
          </w:tcPr>
          <w:p w:rsidR="00207CC2" w:rsidRDefault="00677F9F">
            <w:pPr>
              <w:spacing w:before="40" w:after="40"/>
            </w:pPr>
            <w:r>
              <w:rPr>
                <w:sz w:val="16"/>
              </w:rPr>
              <w:t>Mobile internet, multimedia, and vi</w:t>
            </w:r>
            <w:r>
              <w:rPr>
                <w:sz w:val="16"/>
              </w:rPr>
              <w:t>deo calling</w:t>
            </w:r>
          </w:p>
        </w:tc>
        <w:tc>
          <w:tcPr>
            <w:tcW w:w="2448" w:type="dxa"/>
            <w:vAlign w:val="center"/>
          </w:tcPr>
          <w:p w:rsidR="00207CC2" w:rsidRDefault="00677F9F">
            <w:pPr>
              <w:spacing w:before="40" w:after="40"/>
            </w:pPr>
            <w:r>
              <w:rPr>
                <w:sz w:val="16"/>
              </w:rPr>
              <w:t>Higher data rates, but increasing broadband demand motivates more efficient radio interfaces</w:t>
            </w:r>
          </w:p>
        </w:tc>
      </w:tr>
      <w:tr w:rsidR="00207CC2">
        <w:trPr>
          <w:jc w:val="center"/>
        </w:trPr>
        <w:tc>
          <w:tcPr>
            <w:tcW w:w="2448" w:type="dxa"/>
            <w:vAlign w:val="center"/>
          </w:tcPr>
          <w:p w:rsidR="00207CC2" w:rsidRDefault="00677F9F">
            <w:pPr>
              <w:spacing w:before="40" w:after="40"/>
            </w:pPr>
            <w:r>
              <w:rPr>
                <w:sz w:val="16"/>
              </w:rPr>
              <w:t>4G</w:t>
            </w:r>
          </w:p>
        </w:tc>
        <w:tc>
          <w:tcPr>
            <w:tcW w:w="2448" w:type="dxa"/>
            <w:vAlign w:val="center"/>
          </w:tcPr>
          <w:p w:rsidR="00207CC2" w:rsidRDefault="00677F9F">
            <w:pPr>
              <w:spacing w:before="40" w:after="40"/>
            </w:pPr>
            <w:r>
              <w:rPr>
                <w:sz w:val="16"/>
              </w:rPr>
              <w:t>LTE; OFDMA and MIMO</w:t>
            </w:r>
          </w:p>
        </w:tc>
        <w:tc>
          <w:tcPr>
            <w:tcW w:w="2448" w:type="dxa"/>
            <w:vAlign w:val="center"/>
          </w:tcPr>
          <w:p w:rsidR="00207CC2" w:rsidRDefault="00677F9F">
            <w:pPr>
              <w:spacing w:before="40" w:after="40"/>
            </w:pPr>
            <w:r>
              <w:rPr>
                <w:sz w:val="16"/>
              </w:rPr>
              <w:t>High-speed mobile broadband, streaming, and IP services</w:t>
            </w:r>
          </w:p>
        </w:tc>
        <w:tc>
          <w:tcPr>
            <w:tcW w:w="2448" w:type="dxa"/>
            <w:vAlign w:val="center"/>
          </w:tcPr>
          <w:p w:rsidR="00207CC2" w:rsidRDefault="00677F9F">
            <w:pPr>
              <w:spacing w:before="40" w:after="40"/>
            </w:pPr>
            <w:r>
              <w:rPr>
                <w:sz w:val="16"/>
              </w:rPr>
              <w:t xml:space="preserve">Improved spectral efficiency and spatial multiplexing; capacity still </w:t>
            </w:r>
            <w:r>
              <w:rPr>
                <w:sz w:val="16"/>
              </w:rPr>
              <w:t>depends on available spectrum and cell loading</w:t>
            </w:r>
          </w:p>
        </w:tc>
      </w:tr>
      <w:tr w:rsidR="00207CC2">
        <w:trPr>
          <w:jc w:val="center"/>
        </w:trPr>
        <w:tc>
          <w:tcPr>
            <w:tcW w:w="2448" w:type="dxa"/>
            <w:vAlign w:val="center"/>
          </w:tcPr>
          <w:p w:rsidR="00207CC2" w:rsidRDefault="00677F9F">
            <w:pPr>
              <w:spacing w:before="40" w:after="40"/>
            </w:pPr>
            <w:r>
              <w:rPr>
                <w:sz w:val="16"/>
              </w:rPr>
              <w:t>5G</w:t>
            </w:r>
          </w:p>
        </w:tc>
        <w:tc>
          <w:tcPr>
            <w:tcW w:w="2448" w:type="dxa"/>
            <w:vAlign w:val="center"/>
          </w:tcPr>
          <w:p w:rsidR="00207CC2" w:rsidRDefault="00677F9F">
            <w:pPr>
              <w:spacing w:before="40" w:after="40"/>
            </w:pPr>
            <w:r>
              <w:rPr>
                <w:sz w:val="16"/>
              </w:rPr>
              <w:t>NR; mid-band and mmWave; beamforming</w:t>
            </w:r>
          </w:p>
        </w:tc>
        <w:tc>
          <w:tcPr>
            <w:tcW w:w="2448" w:type="dxa"/>
            <w:vAlign w:val="center"/>
          </w:tcPr>
          <w:p w:rsidR="00207CC2" w:rsidRDefault="00677F9F">
            <w:pPr>
              <w:spacing w:before="40" w:after="40"/>
            </w:pPr>
            <w:r>
              <w:rPr>
                <w:sz w:val="16"/>
              </w:rPr>
              <w:t>eMBB, URLLC, and massive IoT</w:t>
            </w:r>
          </w:p>
        </w:tc>
        <w:tc>
          <w:tcPr>
            <w:tcW w:w="2448" w:type="dxa"/>
            <w:vAlign w:val="center"/>
          </w:tcPr>
          <w:p w:rsidR="00207CC2" w:rsidRDefault="00677F9F">
            <w:pPr>
              <w:spacing w:before="40" w:after="40"/>
            </w:pPr>
            <w:r>
              <w:rPr>
                <w:sz w:val="16"/>
              </w:rPr>
              <w:t>Higher capacity and flexible service support, but mmWave coverage and penetration are challenging</w:t>
            </w:r>
          </w:p>
        </w:tc>
      </w:tr>
      <w:tr w:rsidR="00207CC2">
        <w:trPr>
          <w:jc w:val="center"/>
        </w:trPr>
        <w:tc>
          <w:tcPr>
            <w:tcW w:w="2448" w:type="dxa"/>
            <w:vAlign w:val="center"/>
          </w:tcPr>
          <w:p w:rsidR="00207CC2" w:rsidRDefault="00677F9F">
            <w:pPr>
              <w:spacing w:before="40" w:after="40"/>
            </w:pPr>
            <w:r>
              <w:rPr>
                <w:sz w:val="16"/>
              </w:rPr>
              <w:t>6G vision</w:t>
            </w:r>
          </w:p>
        </w:tc>
        <w:tc>
          <w:tcPr>
            <w:tcW w:w="2448" w:type="dxa"/>
            <w:vAlign w:val="center"/>
          </w:tcPr>
          <w:p w:rsidR="00207CC2" w:rsidRDefault="00677F9F">
            <w:pPr>
              <w:spacing w:before="40" w:after="40"/>
            </w:pPr>
            <w:r>
              <w:rPr>
                <w:sz w:val="16"/>
              </w:rPr>
              <w:t xml:space="preserve">THz, AI-native networking, </w:t>
            </w:r>
            <w:r>
              <w:rPr>
                <w:sz w:val="16"/>
              </w:rPr>
              <w:t>holographic communication, tactile internet, and ISAC</w:t>
            </w:r>
          </w:p>
        </w:tc>
        <w:tc>
          <w:tcPr>
            <w:tcW w:w="2448" w:type="dxa"/>
            <w:vAlign w:val="center"/>
          </w:tcPr>
          <w:p w:rsidR="00207CC2" w:rsidRDefault="00677F9F">
            <w:pPr>
              <w:spacing w:before="40" w:after="40"/>
            </w:pPr>
            <w:r>
              <w:rPr>
                <w:sz w:val="16"/>
              </w:rPr>
              <w:t>Potential immersive communications, intelligent network control, and joint sensing and communication</w:t>
            </w:r>
          </w:p>
        </w:tc>
        <w:tc>
          <w:tcPr>
            <w:tcW w:w="2448" w:type="dxa"/>
            <w:vAlign w:val="center"/>
          </w:tcPr>
          <w:p w:rsidR="00207CC2" w:rsidRDefault="00677F9F">
            <w:pPr>
              <w:spacing w:before="40" w:after="40"/>
            </w:pPr>
            <w:r>
              <w:rPr>
                <w:sz w:val="16"/>
              </w:rPr>
              <w:t>Research and standardization must address propagation, hardware, energy, security, and implementation</w:t>
            </w:r>
            <w:r>
              <w:rPr>
                <w:sz w:val="16"/>
              </w:rPr>
              <w:t xml:space="preserve"> complexity</w:t>
            </w:r>
          </w:p>
        </w:tc>
      </w:tr>
    </w:tbl>
    <w:p w:rsidR="00207CC2" w:rsidRDefault="00207CC2"/>
    <w:p w:rsidR="00207CC2" w:rsidRDefault="00677F9F">
      <w:r>
        <w:lastRenderedPageBreak/>
        <w:t>Note: The 6G row describes a developing vision, not a fully deployed or finalized commercial system. ITU-R’s IMT-2030 framework provides an international basis for future 6G development.</w:t>
      </w:r>
    </w:p>
    <w:p w:rsidR="00207CC2" w:rsidRDefault="00677F9F">
      <w:pPr>
        <w:pStyle w:val="Heading2"/>
      </w:pPr>
      <w:r>
        <w:t>2.2 Wavelength and Idealized 1G Channel Count</w:t>
      </w:r>
    </w:p>
    <w:p w:rsidR="00207CC2" w:rsidRDefault="00677F9F">
      <w:r>
        <w:t>The wavel</w:t>
      </w:r>
      <w:r>
        <w:t>ength of a radio signal is calculated as:</w:t>
      </w:r>
    </w:p>
    <w:p w:rsidR="00207CC2" w:rsidRDefault="00677F9F">
      <w:r>
        <w:t>λ = c / f</w:t>
      </w:r>
    </w:p>
    <w:p w:rsidR="00207CC2" w:rsidRDefault="00677F9F">
      <w:r>
        <w:t>where c = 3 × 10⁸ m/s and f is the operating frequency.</w:t>
      </w:r>
    </w:p>
    <w:p w:rsidR="00207CC2" w:rsidRDefault="00677F9F">
      <w:r>
        <w:t>For AMPS at 800 MHz:</w:t>
      </w:r>
    </w:p>
    <w:p w:rsidR="00207CC2" w:rsidRDefault="00677F9F">
      <w:r>
        <w:t>λ = (3 × 10⁸) / (800 × 10⁶) = 0.375 m</w:t>
      </w:r>
    </w:p>
    <w:p w:rsidR="00207CC2" w:rsidRDefault="00677F9F">
      <w:r>
        <w:t>Thus, the wavelength is 37.5 cm.</w:t>
      </w:r>
    </w:p>
    <w:p w:rsidR="00207CC2" w:rsidRDefault="00677F9F">
      <w:r>
        <w:t xml:space="preserve">The idealized number of 30 kHz channels in a 10 MHz </w:t>
      </w:r>
      <w:r>
        <w:t>allocation is:</w:t>
      </w:r>
    </w:p>
    <w:p w:rsidR="00207CC2" w:rsidRDefault="00677F9F">
      <w:r>
        <w:t>Nch = (10 × 10⁶) / (30 × 10³) = 333.33</w:t>
      </w:r>
    </w:p>
    <w:p w:rsidR="00207CC2" w:rsidRDefault="00677F9F">
      <w:r>
        <w:t>Therefore, the allocation accommodates 333 complete 30 kHz channel-width units under the idealized calculation.</w:t>
      </w:r>
    </w:p>
    <w:p w:rsidR="00207CC2" w:rsidRDefault="00677F9F">
      <w:r>
        <w:t>Practical qualification: This calculation ignores guard bands, duplexing arrangements, cha</w:t>
      </w:r>
      <w:r>
        <w:t>nnel-pair requirements, control-channel allocations, and other operational constraints. In an actual AMPS system, uplink and downlink allocations and channel plans must be considered before estimating the number of usable traffic channels. The result is no</w:t>
      </w:r>
      <w:r>
        <w:t>t a prediction of 333 simultaneous user calls.</w:t>
      </w:r>
    </w:p>
    <w:p w:rsidR="00207CC2" w:rsidRDefault="00677F9F">
      <w:pPr>
        <w:pStyle w:val="Heading2"/>
      </w:pPr>
      <w:r>
        <w:t>2.3 Why Digital 2G Improved Upon Analog 1G</w:t>
      </w:r>
    </w:p>
    <w:p w:rsidR="00207CC2" w:rsidRDefault="00677F9F">
      <w:r>
        <w:t>In 1G AMPS, FDMA allocates distinct frequency channels to users. This is straightforward but limits capacity to the available channel allocation and is susceptible to</w:t>
      </w:r>
      <w:r>
        <w:t xml:space="preserve"> analog noise and interception.</w:t>
      </w:r>
    </w:p>
    <w:p w:rsidR="00207CC2" w:rsidRDefault="00677F9F">
      <w:r>
        <w:t>GSM introduced digital transmission and TDMA. A 200 kHz carrier is divided into eight time slots, allowing multiple logical traffic channels to share a carrier at different times, subject to the frame structure and channel a</w:t>
      </w:r>
      <w:r>
        <w:t>ssignments. Digital speech coding, error detection and correction, encryption mechanisms, and standardized mobility procedures improved service quality and operational flexibility.</w:t>
      </w:r>
    </w:p>
    <w:p w:rsidR="00207CC2" w:rsidRDefault="00677F9F">
      <w:r>
        <w:t xml:space="preserve">The progression to 3G, 4G, and 5G increasingly relies on wider bandwidths, </w:t>
      </w:r>
      <w:r>
        <w:t xml:space="preserve">more efficient modulation and coding, packet-oriented services, multiple antennas, spatial processing, and adaptive radio-resource allocation. Consequently, modern spectrum planning must consider not only the number of frequency channels but also spectral </w:t>
      </w:r>
      <w:r>
        <w:t>efficiency, spatial reuse, interference, and user demand.</w:t>
      </w:r>
    </w:p>
    <w:p w:rsidR="00207CC2" w:rsidRDefault="00677F9F">
      <w:pPr>
        <w:pStyle w:val="Heading1"/>
      </w:pPr>
      <w:r>
        <w:lastRenderedPageBreak/>
        <w:t>3. Cell Coverage and Frequency Reuse</w:t>
      </w:r>
    </w:p>
    <w:p w:rsidR="00207CC2" w:rsidRDefault="00677F9F">
      <w:pPr>
        <w:pStyle w:val="Heading2"/>
      </w:pPr>
      <w:r>
        <w:t>3.1 Hexagonal Cell Geometry</w:t>
      </w:r>
    </w:p>
    <w:p w:rsidR="00207CC2" w:rsidRDefault="00677F9F">
      <w:r>
        <w:t>A regular hexagon approximates a cell in an ideal cellular layout because hexagons can tile a plane without gaps or overlaps. The are</w:t>
      </w:r>
      <w:r>
        <w:t>a of a regular hexagonal cell expressed in terms of its center-to-vertex radius r is:</w:t>
      </w:r>
    </w:p>
    <w:p w:rsidR="00207CC2" w:rsidRDefault="00677F9F">
      <w:r>
        <w:t>Acell = (3√3 / 2) r²</w:t>
      </w:r>
    </w:p>
    <w:p w:rsidR="00207CC2" w:rsidRDefault="00677F9F">
      <w:r>
        <w:t>Given r = 2 km:</w:t>
      </w:r>
    </w:p>
    <w:p w:rsidR="00207CC2" w:rsidRDefault="00677F9F">
      <w:r>
        <w:t>Acell = (3√3 / 2)(2)² = 6√3 = 10.392 km²</w:t>
      </w:r>
    </w:p>
    <w:p w:rsidR="00207CC2" w:rsidRDefault="00677F9F">
      <w:r>
        <w:t>For a planning cluster containing 19 cells:</w:t>
      </w:r>
    </w:p>
    <w:p w:rsidR="00207CC2" w:rsidRDefault="00677F9F">
      <w:r>
        <w:t>Acluster = 19 × 10.392 = 197.45 km²</w:t>
      </w:r>
    </w:p>
    <w:p w:rsidR="00207CC2" w:rsidRDefault="00677F9F">
      <w:r>
        <w:t>These figure</w:t>
      </w:r>
      <w:r>
        <w:t>s are idealized geometric areas, not guarantees of usable service. Actual coverage depends on terrain, buildings, antenna height and orientation, transmit power, receiver sensitivity, propagation losses, and interference. Real cell boundaries are irregular</w:t>
      </w:r>
      <w:r>
        <w:t xml:space="preserve"> and may overlap.</w:t>
      </w:r>
    </w:p>
    <w:p w:rsidR="00207CC2" w:rsidRDefault="00677F9F">
      <w:pPr>
        <w:pStyle w:val="Heading2"/>
      </w:pPr>
      <w:r>
        <w:t>3.2 Frequency Reuse</w:t>
      </w:r>
    </w:p>
    <w:p w:rsidR="00207CC2" w:rsidRDefault="00677F9F">
      <w:r>
        <w:t>In a cellular network, the same frequency resources can be reused in sufficiently separated cells to increase overall capacity. The reuse fraction is:</w:t>
      </w:r>
    </w:p>
    <w:p w:rsidR="00207CC2" w:rsidRDefault="00677F9F">
      <w:r>
        <w:t>Freuse = 1 / N = 1 / 7 = 0.1429 ≈ 14.29%</w:t>
      </w:r>
    </w:p>
    <w:p w:rsidR="00207CC2" w:rsidRDefault="00677F9F">
      <w:r>
        <w:t>The co-channel reuse dista</w:t>
      </w:r>
      <w:r>
        <w:t>nce is:</w:t>
      </w:r>
    </w:p>
    <w:p w:rsidR="00207CC2" w:rsidRDefault="00677F9F">
      <w:r>
        <w:t>D = r√(3N) = 2√(3 × 7) = 2√21 = 9.17 km</w:t>
      </w:r>
    </w:p>
    <w:p w:rsidR="00207CC2" w:rsidRDefault="00677F9F">
      <w:r>
        <w:t>The nominal co-channel reuse distance is therefore approximately 9.17 km.</w:t>
      </w:r>
    </w:p>
    <w:p w:rsidR="00207CC2" w:rsidRDefault="00677F9F">
      <w:r>
        <w:t>Important distinction: The supplied 19-cell planning cluster and the reuse cluster size N = 7 describe different things. The 19-cell c</w:t>
      </w:r>
      <w:r>
        <w:t>luster defines the area used for planning calculations; the seven-cell reuse pattern defines the assumed frequency-allocation cycle. A 19-cell geographical cluster does not change the given value N = 7.</w:t>
      </w:r>
    </w:p>
    <w:p w:rsidR="00207CC2" w:rsidRDefault="00677F9F">
      <w:pPr>
        <w:pStyle w:val="Heading2"/>
      </w:pPr>
      <w:r>
        <w:t>3.3 Capacity-Expansion Methods</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677F9F">
            <w:pPr>
              <w:spacing w:before="40" w:after="40"/>
            </w:pPr>
            <w:r>
              <w:rPr>
                <w:b/>
                <w:sz w:val="16"/>
              </w:rPr>
              <w:t>Method</w:t>
            </w:r>
          </w:p>
        </w:tc>
        <w:tc>
          <w:tcPr>
            <w:tcW w:w="3264" w:type="dxa"/>
            <w:shd w:val="clear" w:color="auto" w:fill="D9E1F2"/>
            <w:vAlign w:val="center"/>
          </w:tcPr>
          <w:p w:rsidR="00207CC2" w:rsidRDefault="00677F9F">
            <w:pPr>
              <w:spacing w:before="40" w:after="40"/>
            </w:pPr>
            <w:r>
              <w:rPr>
                <w:b/>
                <w:sz w:val="16"/>
              </w:rPr>
              <w:t>Coverage and ca</w:t>
            </w:r>
            <w:r>
              <w:rPr>
                <w:b/>
                <w:sz w:val="16"/>
              </w:rPr>
              <w:t>pacity effect</w:t>
            </w:r>
          </w:p>
        </w:tc>
        <w:tc>
          <w:tcPr>
            <w:tcW w:w="3264" w:type="dxa"/>
            <w:shd w:val="clear" w:color="auto" w:fill="D9E1F2"/>
            <w:vAlign w:val="center"/>
          </w:tcPr>
          <w:p w:rsidR="00207CC2" w:rsidRDefault="00677F9F">
            <w:pPr>
              <w:spacing w:before="40" w:after="40"/>
            </w:pPr>
            <w:r>
              <w:rPr>
                <w:b/>
                <w:sz w:val="16"/>
              </w:rPr>
              <w:t>Interference and handoff implications</w:t>
            </w:r>
          </w:p>
        </w:tc>
      </w:tr>
      <w:tr w:rsidR="00207CC2">
        <w:trPr>
          <w:jc w:val="center"/>
        </w:trPr>
        <w:tc>
          <w:tcPr>
            <w:tcW w:w="3264" w:type="dxa"/>
            <w:vAlign w:val="center"/>
          </w:tcPr>
          <w:p w:rsidR="00207CC2" w:rsidRDefault="00677F9F">
            <w:pPr>
              <w:spacing w:before="40" w:after="40"/>
            </w:pPr>
            <w:r>
              <w:rPr>
                <w:sz w:val="16"/>
              </w:rPr>
              <w:t>Cell splitting</w:t>
            </w:r>
          </w:p>
        </w:tc>
        <w:tc>
          <w:tcPr>
            <w:tcW w:w="3264" w:type="dxa"/>
            <w:vAlign w:val="center"/>
          </w:tcPr>
          <w:p w:rsidR="00207CC2" w:rsidRDefault="00677F9F">
            <w:pPr>
              <w:spacing w:before="40" w:after="40"/>
            </w:pPr>
            <w:r>
              <w:rPr>
                <w:sz w:val="16"/>
              </w:rPr>
              <w:t>Divides a large cell into smaller cells to increase spatial reuse</w:t>
            </w:r>
          </w:p>
        </w:tc>
        <w:tc>
          <w:tcPr>
            <w:tcW w:w="3264" w:type="dxa"/>
            <w:vAlign w:val="center"/>
          </w:tcPr>
          <w:p w:rsidR="00207CC2" w:rsidRDefault="00677F9F">
            <w:pPr>
              <w:spacing w:before="40" w:after="40"/>
            </w:pPr>
            <w:r>
              <w:rPr>
                <w:sz w:val="16"/>
              </w:rPr>
              <w:t>More base stations and potentially more frequent handoffs; requires careful power and frequency planning</w:t>
            </w:r>
          </w:p>
        </w:tc>
      </w:tr>
      <w:tr w:rsidR="00207CC2">
        <w:trPr>
          <w:jc w:val="center"/>
        </w:trPr>
        <w:tc>
          <w:tcPr>
            <w:tcW w:w="3264" w:type="dxa"/>
            <w:vAlign w:val="center"/>
          </w:tcPr>
          <w:p w:rsidR="00207CC2" w:rsidRDefault="00677F9F">
            <w:pPr>
              <w:spacing w:before="40" w:after="40"/>
            </w:pPr>
            <w:r>
              <w:rPr>
                <w:sz w:val="16"/>
              </w:rPr>
              <w:t>Sectoring</w:t>
            </w:r>
          </w:p>
        </w:tc>
        <w:tc>
          <w:tcPr>
            <w:tcW w:w="3264" w:type="dxa"/>
            <w:vAlign w:val="center"/>
          </w:tcPr>
          <w:p w:rsidR="00207CC2" w:rsidRDefault="00677F9F">
            <w:pPr>
              <w:spacing w:before="40" w:after="40"/>
            </w:pPr>
            <w:r>
              <w:rPr>
                <w:sz w:val="16"/>
              </w:rPr>
              <w:t xml:space="preserve">Uses </w:t>
            </w:r>
            <w:r>
              <w:rPr>
                <w:sz w:val="16"/>
              </w:rPr>
              <w:t>directional antennas to divide a cell into sectors</w:t>
            </w:r>
          </w:p>
        </w:tc>
        <w:tc>
          <w:tcPr>
            <w:tcW w:w="3264" w:type="dxa"/>
            <w:vAlign w:val="center"/>
          </w:tcPr>
          <w:p w:rsidR="00207CC2" w:rsidRDefault="00677F9F">
            <w:pPr>
              <w:spacing w:before="40" w:after="40"/>
            </w:pPr>
            <w:r>
              <w:rPr>
                <w:sz w:val="16"/>
              </w:rPr>
              <w:t>Can reduce interference from unwanted directions, but requires sector-level planning and may increase handoffs at sector boundaries</w:t>
            </w:r>
          </w:p>
        </w:tc>
      </w:tr>
      <w:tr w:rsidR="00207CC2">
        <w:trPr>
          <w:jc w:val="center"/>
        </w:trPr>
        <w:tc>
          <w:tcPr>
            <w:tcW w:w="3264" w:type="dxa"/>
            <w:vAlign w:val="center"/>
          </w:tcPr>
          <w:p w:rsidR="00207CC2" w:rsidRDefault="00677F9F">
            <w:pPr>
              <w:spacing w:before="40" w:after="40"/>
            </w:pPr>
            <w:r>
              <w:rPr>
                <w:sz w:val="16"/>
              </w:rPr>
              <w:t>Microcells</w:t>
            </w:r>
          </w:p>
        </w:tc>
        <w:tc>
          <w:tcPr>
            <w:tcW w:w="3264" w:type="dxa"/>
            <w:vAlign w:val="center"/>
          </w:tcPr>
          <w:p w:rsidR="00207CC2" w:rsidRDefault="00677F9F">
            <w:pPr>
              <w:spacing w:before="40" w:after="40"/>
            </w:pPr>
            <w:r>
              <w:rPr>
                <w:sz w:val="16"/>
              </w:rPr>
              <w:t>Provide smaller outdoor cells in streets and dense local area</w:t>
            </w:r>
            <w:r>
              <w:rPr>
                <w:sz w:val="16"/>
              </w:rPr>
              <w:t>s</w:t>
            </w:r>
          </w:p>
        </w:tc>
        <w:tc>
          <w:tcPr>
            <w:tcW w:w="3264" w:type="dxa"/>
            <w:vAlign w:val="center"/>
          </w:tcPr>
          <w:p w:rsidR="00207CC2" w:rsidRDefault="00677F9F">
            <w:pPr>
              <w:spacing w:before="40" w:after="40"/>
            </w:pPr>
            <w:r>
              <w:rPr>
                <w:sz w:val="16"/>
              </w:rPr>
              <w:t>Improve localized capacity; increase site density and handoff frequency</w:t>
            </w:r>
          </w:p>
        </w:tc>
      </w:tr>
      <w:tr w:rsidR="00207CC2">
        <w:trPr>
          <w:jc w:val="center"/>
        </w:trPr>
        <w:tc>
          <w:tcPr>
            <w:tcW w:w="3264" w:type="dxa"/>
            <w:vAlign w:val="center"/>
          </w:tcPr>
          <w:p w:rsidR="00207CC2" w:rsidRDefault="00677F9F">
            <w:pPr>
              <w:spacing w:before="40" w:after="40"/>
            </w:pPr>
            <w:r>
              <w:rPr>
                <w:sz w:val="16"/>
              </w:rPr>
              <w:t>Picocells</w:t>
            </w:r>
          </w:p>
        </w:tc>
        <w:tc>
          <w:tcPr>
            <w:tcW w:w="3264" w:type="dxa"/>
            <w:vAlign w:val="center"/>
          </w:tcPr>
          <w:p w:rsidR="00207CC2" w:rsidRDefault="00677F9F">
            <w:pPr>
              <w:spacing w:before="40" w:after="40"/>
            </w:pPr>
            <w:r>
              <w:rPr>
                <w:sz w:val="16"/>
              </w:rPr>
              <w:t>Serve indoor venues or small high-demand areas</w:t>
            </w:r>
          </w:p>
        </w:tc>
        <w:tc>
          <w:tcPr>
            <w:tcW w:w="3264" w:type="dxa"/>
            <w:vAlign w:val="center"/>
          </w:tcPr>
          <w:p w:rsidR="00207CC2" w:rsidRDefault="00677F9F">
            <w:pPr>
              <w:spacing w:before="40" w:after="40"/>
            </w:pPr>
            <w:r>
              <w:rPr>
                <w:sz w:val="16"/>
              </w:rPr>
              <w:t>Relieve indoor congestion; introduce additional local mobility and interference-management requirements</w:t>
            </w:r>
          </w:p>
        </w:tc>
      </w:tr>
      <w:tr w:rsidR="00207CC2">
        <w:trPr>
          <w:jc w:val="center"/>
        </w:trPr>
        <w:tc>
          <w:tcPr>
            <w:tcW w:w="3264" w:type="dxa"/>
            <w:vAlign w:val="center"/>
          </w:tcPr>
          <w:p w:rsidR="00207CC2" w:rsidRDefault="00677F9F">
            <w:pPr>
              <w:spacing w:before="40" w:after="40"/>
            </w:pPr>
            <w:r>
              <w:rPr>
                <w:sz w:val="16"/>
              </w:rPr>
              <w:lastRenderedPageBreak/>
              <w:t>Femtocells</w:t>
            </w:r>
          </w:p>
        </w:tc>
        <w:tc>
          <w:tcPr>
            <w:tcW w:w="3264" w:type="dxa"/>
            <w:vAlign w:val="center"/>
          </w:tcPr>
          <w:p w:rsidR="00207CC2" w:rsidRDefault="00677F9F">
            <w:pPr>
              <w:spacing w:before="40" w:after="40"/>
            </w:pPr>
            <w:r>
              <w:rPr>
                <w:sz w:val="16"/>
              </w:rPr>
              <w:t xml:space="preserve">Provide </w:t>
            </w:r>
            <w:r>
              <w:rPr>
                <w:sz w:val="16"/>
              </w:rPr>
              <w:t>very small coverage areas, commonly indoors</w:t>
            </w:r>
          </w:p>
        </w:tc>
        <w:tc>
          <w:tcPr>
            <w:tcW w:w="3264" w:type="dxa"/>
            <w:vAlign w:val="center"/>
          </w:tcPr>
          <w:p w:rsidR="00207CC2" w:rsidRDefault="00677F9F">
            <w:pPr>
              <w:spacing w:before="40" w:after="40"/>
            </w:pPr>
            <w:r>
              <w:rPr>
                <w:sz w:val="16"/>
              </w:rPr>
              <w:t>Improve local service but can create interference and access-control issues if poorly coordinated</w:t>
            </w:r>
          </w:p>
        </w:tc>
      </w:tr>
    </w:tbl>
    <w:p w:rsidR="00207CC2" w:rsidRDefault="00207CC2"/>
    <w:p w:rsidR="00207CC2" w:rsidRDefault="00677F9F">
      <w:pPr>
        <w:pStyle w:val="Heading2"/>
      </w:pPr>
      <w:r>
        <w:t>3.4 Recommended Capacity-Expansion Measure</w:t>
      </w:r>
    </w:p>
    <w:p w:rsidR="00207CC2" w:rsidRDefault="00677F9F">
      <w:r>
        <w:t>For the regional operator, selective sectoring followed by targeted m</w:t>
      </w:r>
      <w:r>
        <w:t>icrocell deployment is a reasonable initial strategy. Sectoring can improve frequency reuse and reduce interference from some directions without requiring an entirely new network of sites. If measurements show that specific urban or high-demand locations r</w:t>
      </w:r>
      <w:r>
        <w:t>emain congested, microcells can be introduced there.</w:t>
      </w:r>
    </w:p>
    <w:p w:rsidR="00207CC2" w:rsidRDefault="00677F9F">
      <w:r>
        <w:t>The trade-off is increased planning complexity, additional site and backhaul costs, and more frequent handoffs as cell sizes shrink. Antenna patterns, transmit powers, neighbor lists, and handoff thresho</w:t>
      </w:r>
      <w:r>
        <w:t>lds must be optimized to preserve service continuity.</w:t>
      </w:r>
    </w:p>
    <w:p w:rsidR="00207CC2" w:rsidRDefault="00677F9F">
      <w:r>
        <w:t xml:space="preserve">This recommendation is provisional because the supplied data contain no traffic map, terrain survey, or measured coverage map. A uniform densification strategy would not be justified from cell geometry </w:t>
      </w:r>
      <w:r>
        <w:t>alone.</w:t>
      </w:r>
    </w:p>
    <w:p w:rsidR="00207CC2" w:rsidRDefault="00677F9F">
      <w:pPr>
        <w:pStyle w:val="Heading1"/>
      </w:pPr>
      <w:r>
        <w:t>4. Traffic Capacity and Channel Planning</w:t>
      </w:r>
    </w:p>
    <w:p w:rsidR="00207CC2" w:rsidRDefault="00677F9F">
      <w:pPr>
        <w:pStyle w:val="Heading2"/>
      </w:pPr>
      <w:r>
        <w:t>4.1 Offered Busy-Hour Traffic</w:t>
      </w:r>
    </w:p>
    <w:p w:rsidR="00207CC2" w:rsidRDefault="00677F9F">
      <w:r>
        <w:t>Traffic intensity is measured in Erlangs. One Erlang represents one traffic channel occupied continuously for the observation period.</w:t>
      </w:r>
    </w:p>
    <w:p w:rsidR="00207CC2" w:rsidRDefault="00677F9F">
      <w:r>
        <w:t>A = nλh = 1000 × 0.08 = 80 Erlangs</w:t>
      </w:r>
    </w:p>
    <w:p w:rsidR="00207CC2" w:rsidRDefault="00677F9F">
      <w:r>
        <w:t>The plann</w:t>
      </w:r>
      <w:r>
        <w:t>ing area offers 80 Erlangs during the busy hour.</w:t>
      </w:r>
    </w:p>
    <w:p w:rsidR="00207CC2" w:rsidRDefault="00677F9F">
      <w:r>
        <w:t>Assumption: The stated average traffic applies to all 1,000 subscribers during the same busy hour, and the aggregate traffic can be represented by an Erlang loss model. The calculation assumes no queue for b</w:t>
      </w:r>
      <w:r>
        <w:t>locked calls and an adequate source population approximated by an infinite-source model.</w:t>
      </w:r>
    </w:p>
    <w:p w:rsidR="00207CC2" w:rsidRDefault="00677F9F">
      <w:pPr>
        <w:pStyle w:val="Heading2"/>
      </w:pPr>
      <w:r>
        <w:t>4.2 Erlang B Blocking Model</w:t>
      </w:r>
    </w:p>
    <w:p w:rsidR="00207CC2" w:rsidRDefault="00677F9F">
      <w:r>
        <w:t>The Erlang B formula estimates the probability that a new call is blocked because all traffic channels are occupied:</w:t>
      </w:r>
    </w:p>
    <w:p w:rsidR="00207CC2" w:rsidRDefault="00677F9F">
      <w:r>
        <w:t xml:space="preserve">B(A,C) = (A^C / C!) / </w:t>
      </w:r>
      <w:r>
        <w:t>Σ(k=0 to C)(A^k / k!)</w:t>
      </w:r>
    </w:p>
    <w:p w:rsidR="00207CC2" w:rsidRDefault="00677F9F">
      <w:r>
        <w:t>where A is offered traffic in Erlangs, C is the number of available traffic channels, and B(A,C) is the blocking probability.</w:t>
      </w:r>
    </w:p>
    <w:p w:rsidR="00207CC2" w:rsidRDefault="00677F9F">
      <w:r>
        <w:t>For numerical stability, the same calculation can be performed recursively:</w:t>
      </w:r>
    </w:p>
    <w:p w:rsidR="00207CC2" w:rsidRDefault="00677F9F">
      <w:r>
        <w:t>B₀ = 1</w:t>
      </w:r>
    </w:p>
    <w:p w:rsidR="00207CC2" w:rsidRDefault="00677F9F">
      <w:r>
        <w:t>Bc = A B(c−1) / (c + A B(</w:t>
      </w:r>
      <w:r>
        <w:t>c−1))</w:t>
      </w:r>
    </w:p>
    <w:p w:rsidR="00207CC2" w:rsidRDefault="00677F9F">
      <w:r>
        <w:t>This recursion avoids directly evaluating large factorials. The Erlang B model is a standard method for estimating traffic loss in systems where blocked calls are cleared.</w:t>
      </w:r>
    </w:p>
    <w:p w:rsidR="00207CC2" w:rsidRDefault="00677F9F">
      <w:pPr>
        <w:pStyle w:val="Heading2"/>
      </w:pPr>
      <w:r>
        <w:lastRenderedPageBreak/>
        <w:t>4.3 Blocking Probability for the Initial 100-Channel Base Station</w:t>
      </w:r>
    </w:p>
    <w:p w:rsidR="00207CC2" w:rsidRDefault="00677F9F">
      <w:r>
        <w:t>Using A = 80</w:t>
      </w:r>
      <w:r>
        <w:t xml:space="preserve"> Erlangs and C = 100:</w:t>
      </w:r>
    </w:p>
    <w:p w:rsidR="00207CC2" w:rsidRDefault="00677F9F">
      <w:r>
        <w:t>B(80,100) ≈ 0.003992</w:t>
      </w:r>
    </w:p>
    <w:p w:rsidR="00207CC2" w:rsidRDefault="00677F9F">
      <w:r>
        <w:t>Blocking percentage = 0.003992 × 100 = 0.3992%</w:t>
      </w:r>
    </w:p>
    <w:p w:rsidR="00207CC2" w:rsidRDefault="00677F9F">
      <w:r>
        <w:t>The initial 100-channel group therefore meets the target blocking probability of at most 2%, under the model assumptions.</w:t>
      </w:r>
    </w:p>
    <w:p w:rsidR="00207CC2" w:rsidRDefault="00677F9F">
      <w:pPr>
        <w:pStyle w:val="Heading2"/>
      </w:pPr>
      <w:r>
        <w:t>4.4 Minimum Channel Count</w:t>
      </w:r>
    </w:p>
    <w:tbl>
      <w:tblPr>
        <w:tblStyle w:val="TableGrid"/>
        <w:tblW w:w="0" w:type="auto"/>
        <w:jc w:val="center"/>
        <w:tblLook w:val="04A0" w:firstRow="1" w:lastRow="0" w:firstColumn="1" w:lastColumn="0" w:noHBand="0" w:noVBand="1"/>
      </w:tblPr>
      <w:tblGrid>
        <w:gridCol w:w="3261"/>
        <w:gridCol w:w="3261"/>
        <w:gridCol w:w="3260"/>
      </w:tblGrid>
      <w:tr w:rsidR="00207CC2">
        <w:trPr>
          <w:jc w:val="center"/>
        </w:trPr>
        <w:tc>
          <w:tcPr>
            <w:tcW w:w="3264" w:type="dxa"/>
            <w:shd w:val="clear" w:color="auto" w:fill="D9E1F2"/>
            <w:vAlign w:val="center"/>
          </w:tcPr>
          <w:p w:rsidR="00207CC2" w:rsidRDefault="00677F9F">
            <w:pPr>
              <w:spacing w:before="40" w:after="40"/>
            </w:pPr>
            <w:r>
              <w:rPr>
                <w:b/>
                <w:sz w:val="18"/>
              </w:rPr>
              <w:t xml:space="preserve">Traffic channels, </w:t>
            </w:r>
            <w:r>
              <w:rPr>
                <w:b/>
                <w:sz w:val="18"/>
              </w:rPr>
              <w:t>C</w:t>
            </w:r>
          </w:p>
        </w:tc>
        <w:tc>
          <w:tcPr>
            <w:tcW w:w="3264" w:type="dxa"/>
            <w:shd w:val="clear" w:color="auto" w:fill="D9E1F2"/>
            <w:vAlign w:val="center"/>
          </w:tcPr>
          <w:p w:rsidR="00207CC2" w:rsidRDefault="00677F9F">
            <w:pPr>
              <w:spacing w:before="40" w:after="40"/>
            </w:pPr>
            <w:r>
              <w:rPr>
                <w:b/>
                <w:sz w:val="18"/>
              </w:rPr>
              <w:t>Erlang B blocking probability</w:t>
            </w:r>
          </w:p>
        </w:tc>
        <w:tc>
          <w:tcPr>
            <w:tcW w:w="3264" w:type="dxa"/>
            <w:shd w:val="clear" w:color="auto" w:fill="D9E1F2"/>
            <w:vAlign w:val="center"/>
          </w:tcPr>
          <w:p w:rsidR="00207CC2" w:rsidRDefault="00677F9F">
            <w:pPr>
              <w:spacing w:before="40" w:after="40"/>
            </w:pPr>
            <w:r>
              <w:rPr>
                <w:b/>
                <w:sz w:val="18"/>
              </w:rPr>
              <w:t>Meets 2% target?</w:t>
            </w:r>
          </w:p>
        </w:tc>
      </w:tr>
      <w:tr w:rsidR="00207CC2">
        <w:trPr>
          <w:jc w:val="center"/>
        </w:trPr>
        <w:tc>
          <w:tcPr>
            <w:tcW w:w="3264" w:type="dxa"/>
            <w:vAlign w:val="center"/>
          </w:tcPr>
          <w:p w:rsidR="00207CC2" w:rsidRDefault="00677F9F">
            <w:pPr>
              <w:spacing w:before="40" w:after="40"/>
            </w:pPr>
            <w:r>
              <w:rPr>
                <w:sz w:val="18"/>
              </w:rPr>
              <w:t>90</w:t>
            </w:r>
          </w:p>
        </w:tc>
        <w:tc>
          <w:tcPr>
            <w:tcW w:w="3264" w:type="dxa"/>
            <w:vAlign w:val="center"/>
          </w:tcPr>
          <w:p w:rsidR="00207CC2" w:rsidRDefault="00677F9F">
            <w:pPr>
              <w:spacing w:before="40" w:after="40"/>
            </w:pPr>
            <w:r>
              <w:rPr>
                <w:sz w:val="18"/>
              </w:rPr>
              <w:t>2.6232%</w:t>
            </w:r>
          </w:p>
        </w:tc>
        <w:tc>
          <w:tcPr>
            <w:tcW w:w="3264" w:type="dxa"/>
            <w:vAlign w:val="center"/>
          </w:tcPr>
          <w:p w:rsidR="00207CC2" w:rsidRDefault="00677F9F">
            <w:pPr>
              <w:spacing w:before="40" w:after="40"/>
            </w:pPr>
            <w:r>
              <w:rPr>
                <w:sz w:val="18"/>
              </w:rPr>
              <w:t>No</w:t>
            </w:r>
          </w:p>
        </w:tc>
      </w:tr>
      <w:tr w:rsidR="00207CC2">
        <w:trPr>
          <w:jc w:val="center"/>
        </w:trPr>
        <w:tc>
          <w:tcPr>
            <w:tcW w:w="3264" w:type="dxa"/>
            <w:vAlign w:val="center"/>
          </w:tcPr>
          <w:p w:rsidR="00207CC2" w:rsidRDefault="00677F9F">
            <w:pPr>
              <w:spacing w:before="40" w:after="40"/>
            </w:pPr>
            <w:r>
              <w:rPr>
                <w:sz w:val="18"/>
              </w:rPr>
              <w:t>91</w:t>
            </w:r>
          </w:p>
        </w:tc>
        <w:tc>
          <w:tcPr>
            <w:tcW w:w="3264" w:type="dxa"/>
            <w:vAlign w:val="center"/>
          </w:tcPr>
          <w:p w:rsidR="00207CC2" w:rsidRDefault="00677F9F">
            <w:pPr>
              <w:spacing w:before="40" w:after="40"/>
            </w:pPr>
            <w:r>
              <w:rPr>
                <w:sz w:val="18"/>
              </w:rPr>
              <w:t>Approximately 2.30%</w:t>
            </w:r>
          </w:p>
        </w:tc>
        <w:tc>
          <w:tcPr>
            <w:tcW w:w="3264" w:type="dxa"/>
            <w:vAlign w:val="center"/>
          </w:tcPr>
          <w:p w:rsidR="00207CC2" w:rsidRDefault="00677F9F">
            <w:pPr>
              <w:spacing w:before="40" w:after="40"/>
            </w:pPr>
            <w:r>
              <w:rPr>
                <w:sz w:val="18"/>
              </w:rPr>
              <w:t>No</w:t>
            </w:r>
          </w:p>
        </w:tc>
      </w:tr>
      <w:tr w:rsidR="00207CC2">
        <w:trPr>
          <w:jc w:val="center"/>
        </w:trPr>
        <w:tc>
          <w:tcPr>
            <w:tcW w:w="3264" w:type="dxa"/>
            <w:vAlign w:val="center"/>
          </w:tcPr>
          <w:p w:rsidR="00207CC2" w:rsidRDefault="00677F9F">
            <w:pPr>
              <w:spacing w:before="40" w:after="40"/>
            </w:pPr>
            <w:r>
              <w:rPr>
                <w:sz w:val="18"/>
              </w:rPr>
              <w:t>92</w:t>
            </w:r>
          </w:p>
        </w:tc>
        <w:tc>
          <w:tcPr>
            <w:tcW w:w="3264" w:type="dxa"/>
            <w:vAlign w:val="center"/>
          </w:tcPr>
          <w:p w:rsidR="00207CC2" w:rsidRDefault="00677F9F">
            <w:pPr>
              <w:spacing w:before="40" w:after="40"/>
            </w:pPr>
            <w:r>
              <w:rPr>
                <w:sz w:val="18"/>
              </w:rPr>
              <w:t>Approximately 1.99%</w:t>
            </w:r>
          </w:p>
        </w:tc>
        <w:tc>
          <w:tcPr>
            <w:tcW w:w="3264" w:type="dxa"/>
            <w:vAlign w:val="center"/>
          </w:tcPr>
          <w:p w:rsidR="00207CC2" w:rsidRDefault="00677F9F">
            <w:pPr>
              <w:spacing w:before="40" w:after="40"/>
            </w:pPr>
            <w:r>
              <w:rPr>
                <w:sz w:val="18"/>
              </w:rPr>
              <w:t>Yes</w:t>
            </w:r>
          </w:p>
        </w:tc>
      </w:tr>
      <w:tr w:rsidR="00207CC2">
        <w:trPr>
          <w:jc w:val="center"/>
        </w:trPr>
        <w:tc>
          <w:tcPr>
            <w:tcW w:w="3264" w:type="dxa"/>
            <w:vAlign w:val="center"/>
          </w:tcPr>
          <w:p w:rsidR="00207CC2" w:rsidRDefault="00677F9F">
            <w:pPr>
              <w:spacing w:before="40" w:after="40"/>
            </w:pPr>
            <w:r>
              <w:rPr>
                <w:sz w:val="18"/>
              </w:rPr>
              <w:t>95</w:t>
            </w:r>
          </w:p>
        </w:tc>
        <w:tc>
          <w:tcPr>
            <w:tcW w:w="3264" w:type="dxa"/>
            <w:vAlign w:val="center"/>
          </w:tcPr>
          <w:p w:rsidR="00207CC2" w:rsidRDefault="00677F9F">
            <w:pPr>
              <w:spacing w:before="40" w:after="40"/>
            </w:pPr>
            <w:r>
              <w:rPr>
                <w:sz w:val="18"/>
              </w:rPr>
              <w:t>1.1369%</w:t>
            </w:r>
          </w:p>
        </w:tc>
        <w:tc>
          <w:tcPr>
            <w:tcW w:w="3264" w:type="dxa"/>
            <w:vAlign w:val="center"/>
          </w:tcPr>
          <w:p w:rsidR="00207CC2" w:rsidRDefault="00677F9F">
            <w:pPr>
              <w:spacing w:before="40" w:after="40"/>
            </w:pPr>
            <w:r>
              <w:rPr>
                <w:sz w:val="18"/>
              </w:rPr>
              <w:t>Yes</w:t>
            </w:r>
          </w:p>
        </w:tc>
      </w:tr>
      <w:tr w:rsidR="00207CC2">
        <w:trPr>
          <w:jc w:val="center"/>
        </w:trPr>
        <w:tc>
          <w:tcPr>
            <w:tcW w:w="3264" w:type="dxa"/>
            <w:vAlign w:val="center"/>
          </w:tcPr>
          <w:p w:rsidR="00207CC2" w:rsidRDefault="00677F9F">
            <w:pPr>
              <w:spacing w:before="40" w:after="40"/>
            </w:pPr>
            <w:r>
              <w:rPr>
                <w:sz w:val="18"/>
              </w:rPr>
              <w:t>100</w:t>
            </w:r>
          </w:p>
        </w:tc>
        <w:tc>
          <w:tcPr>
            <w:tcW w:w="3264" w:type="dxa"/>
            <w:vAlign w:val="center"/>
          </w:tcPr>
          <w:p w:rsidR="00207CC2" w:rsidRDefault="00677F9F">
            <w:pPr>
              <w:spacing w:before="40" w:after="40"/>
            </w:pPr>
            <w:r>
              <w:rPr>
                <w:sz w:val="18"/>
              </w:rPr>
              <w:t>0.3992%</w:t>
            </w:r>
          </w:p>
        </w:tc>
        <w:tc>
          <w:tcPr>
            <w:tcW w:w="3264" w:type="dxa"/>
            <w:vAlign w:val="center"/>
          </w:tcPr>
          <w:p w:rsidR="00207CC2" w:rsidRDefault="00677F9F">
            <w:pPr>
              <w:spacing w:before="40" w:after="40"/>
            </w:pPr>
            <w:r>
              <w:rPr>
                <w:sz w:val="18"/>
              </w:rPr>
              <w:t>Yes</w:t>
            </w:r>
          </w:p>
        </w:tc>
      </w:tr>
    </w:tbl>
    <w:p w:rsidR="00207CC2" w:rsidRDefault="00207CC2"/>
    <w:p w:rsidR="00207CC2" w:rsidRDefault="00677F9F">
      <w:r>
        <w:t xml:space="preserve">The minimum channel requirement is Cmin = 92 channels. The result shows that 92 channels are </w:t>
      </w:r>
      <w:r>
        <w:t>sufficient for the modeled 80 Erlangs at the specified blocking threshold. A 100-channel group provides eight additional channels and a lower calculated blocking probability.</w:t>
      </w:r>
    </w:p>
    <w:p w:rsidR="00207CC2" w:rsidRDefault="00677F9F">
      <w:pPr>
        <w:pStyle w:val="Heading2"/>
      </w:pPr>
      <w:r>
        <w:t>4.5 Number of 100-Channel Groups and Infrastructure Implications</w:t>
      </w:r>
    </w:p>
    <w:p w:rsidR="00207CC2" w:rsidRDefault="00677F9F">
      <w:r>
        <w:t>G = ceiling(92 /</w:t>
      </w:r>
      <w:r>
        <w:t xml:space="preserve"> 100) = 1 group</w:t>
      </w:r>
    </w:p>
    <w:p w:rsidR="00207CC2" w:rsidRDefault="00677F9F">
      <w:r>
        <w:t>One 100-channel group is sufficient to provide at least 92 channels for the modeled aggregate traffic pool.</w:t>
      </w:r>
    </w:p>
    <w:p w:rsidR="00207CC2" w:rsidRDefault="00677F9F">
      <w:r>
        <w:t xml:space="preserve">This is a first-order estimate rather than a complete base-station site plan. It does not establish that a single physical site can </w:t>
      </w:r>
      <w:r>
        <w:t>serve the entire geographical area, nor does it account for frequency allocation, traffic distribution, signaling channels, control resources, carrier bandwidth, equipment limitations, or radio coverage.</w:t>
      </w:r>
    </w:p>
    <w:p w:rsidR="00207CC2" w:rsidRDefault="00677F9F">
      <w:r>
        <w:t>In particular, a channel group serving one traffic p</w:t>
      </w:r>
      <w:r>
        <w:t>ool cannot automatically be treated as a shared resource across all 19 cells. Real networks must determine the channel allocation and traffic load for each cell or sector. Uneven demand may require additional capacity at specific locations even when aggreg</w:t>
      </w:r>
      <w:r>
        <w:t>ate traffic appears manageable.</w:t>
      </w:r>
    </w:p>
    <w:p w:rsidR="00207CC2" w:rsidRDefault="00677F9F">
      <w:r>
        <w:t>Engineering interpretation: The initial capacity is adequate for the supplied aggregate busy-hour demand. Further investment should therefore be driven by measured local congestion, coverage gaps, and future growth rather th</w:t>
      </w:r>
      <w:r>
        <w:t>an by the aggregate Erlang calculation alone.</w:t>
      </w:r>
    </w:p>
    <w:p w:rsidR="00207CC2" w:rsidRDefault="00677F9F">
      <w:pPr>
        <w:pStyle w:val="Heading1"/>
      </w:pPr>
      <w:r>
        <w:lastRenderedPageBreak/>
        <w:t>5. Mobility and Handoff Analysis</w:t>
      </w:r>
    </w:p>
    <w:p w:rsidR="00207CC2" w:rsidRDefault="00677F9F">
      <w:pPr>
        <w:pStyle w:val="Heading2"/>
      </w:pPr>
      <w:r>
        <w:t>5.1 Distance Travelled During the Overlap Interval</w:t>
      </w:r>
    </w:p>
    <w:p w:rsidR="00207CC2" w:rsidRDefault="00677F9F">
      <w:r>
        <w:t>The mobile speed is 60 km/h. Converting to metres per second:</w:t>
      </w:r>
    </w:p>
    <w:p w:rsidR="00207CC2" w:rsidRDefault="00677F9F">
      <w:r>
        <w:t>v = 60 × (1000 / 3600) = 16.667 m/s</w:t>
      </w:r>
    </w:p>
    <w:p w:rsidR="00207CC2" w:rsidRDefault="00677F9F">
      <w:r>
        <w:t xml:space="preserve">The distance travelled </w:t>
      </w:r>
      <w:r>
        <w:t>during the six-second overlap interval is:</w:t>
      </w:r>
    </w:p>
    <w:p w:rsidR="00207CC2" w:rsidRDefault="00677F9F">
      <w:r>
        <w:t>d = vt = 16.667 × 6 = 100 m</w:t>
      </w:r>
    </w:p>
    <w:p w:rsidR="00207CC2" w:rsidRDefault="00677F9F">
      <w:r>
        <w:t>The mobile travels approximately 100 m while it remains in the overlap zone. This is the distance available for the network to identify the target cell, perform the handoff procedure, a</w:t>
      </w:r>
      <w:r>
        <w:t>nd maintain an acceptable connection as the serving-cell signal weakens.</w:t>
      </w:r>
    </w:p>
    <w:p w:rsidR="00207CC2" w:rsidRDefault="00677F9F">
      <w:pPr>
        <w:pStyle w:val="Heading2"/>
      </w:pPr>
      <w:r>
        <w:t>5.2 Estimated Handoffs per Minute</w:t>
      </w:r>
    </w:p>
    <w:p w:rsidR="00207CC2" w:rsidRDefault="00677F9F">
      <w:r>
        <w:t>For this estimate, the supplied nominal cell length of 1 km is interpreted as the distance along the route between successive cell-boundary crossings</w:t>
      </w:r>
      <w:r>
        <w:t>. It is not the same as the 2 km cell radius.</w:t>
      </w:r>
    </w:p>
    <w:p w:rsidR="00207CC2" w:rsidRDefault="00677F9F">
      <w:r>
        <w:t>tcell = 1 km / 60 km/h = 1/60 h = 60 s</w:t>
      </w:r>
    </w:p>
    <w:p w:rsidR="00207CC2" w:rsidRDefault="00677F9F">
      <w:r>
        <w:t>H = 60 s/min ÷ 60 s/crossing = 1 handoff/minute</w:t>
      </w:r>
    </w:p>
    <w:p w:rsidR="00207CC2" w:rsidRDefault="00677F9F">
      <w:r>
        <w:t xml:space="preserve">This is a nominal average estimate for continuous travel at constant speed. Actual handoff rates depend on the route, cell </w:t>
      </w:r>
      <w:r>
        <w:t>shape, overlap, sector boundaries, and network mobility settings.</w:t>
      </w:r>
    </w:p>
    <w:p w:rsidR="00207CC2" w:rsidRDefault="00677F9F">
      <w:pPr>
        <w:pStyle w:val="Heading2"/>
      </w:pPr>
      <w:r>
        <w:t>5.3 Hard, Soft, and Softer Handoff</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677F9F">
            <w:pPr>
              <w:spacing w:before="40" w:after="40"/>
            </w:pPr>
            <w:r>
              <w:rPr>
                <w:b/>
                <w:sz w:val="16"/>
              </w:rPr>
              <w:t>Handoff type</w:t>
            </w:r>
          </w:p>
        </w:tc>
        <w:tc>
          <w:tcPr>
            <w:tcW w:w="3264" w:type="dxa"/>
            <w:shd w:val="clear" w:color="auto" w:fill="D9E1F2"/>
            <w:vAlign w:val="center"/>
          </w:tcPr>
          <w:p w:rsidR="00207CC2" w:rsidRDefault="00677F9F">
            <w:pPr>
              <w:spacing w:before="40" w:after="40"/>
            </w:pPr>
            <w:r>
              <w:rPr>
                <w:b/>
                <w:sz w:val="16"/>
              </w:rPr>
              <w:t>Operating principle</w:t>
            </w:r>
          </w:p>
        </w:tc>
        <w:tc>
          <w:tcPr>
            <w:tcW w:w="3264" w:type="dxa"/>
            <w:shd w:val="clear" w:color="auto" w:fill="D9E1F2"/>
            <w:vAlign w:val="center"/>
          </w:tcPr>
          <w:p w:rsidR="00207CC2" w:rsidRDefault="00677F9F">
            <w:pPr>
              <w:spacing w:before="40" w:after="40"/>
            </w:pPr>
            <w:r>
              <w:rPr>
                <w:b/>
                <w:sz w:val="16"/>
              </w:rPr>
              <w:t>Continuity and resource trade-off</w:t>
            </w:r>
          </w:p>
        </w:tc>
      </w:tr>
      <w:tr w:rsidR="00207CC2">
        <w:trPr>
          <w:jc w:val="center"/>
        </w:trPr>
        <w:tc>
          <w:tcPr>
            <w:tcW w:w="3264" w:type="dxa"/>
            <w:vAlign w:val="center"/>
          </w:tcPr>
          <w:p w:rsidR="00207CC2" w:rsidRDefault="00677F9F">
            <w:pPr>
              <w:spacing w:before="40" w:after="40"/>
            </w:pPr>
            <w:r>
              <w:rPr>
                <w:sz w:val="16"/>
              </w:rPr>
              <w:t>Hard handoff</w:t>
            </w:r>
          </w:p>
        </w:tc>
        <w:tc>
          <w:tcPr>
            <w:tcW w:w="3264" w:type="dxa"/>
            <w:vAlign w:val="center"/>
          </w:tcPr>
          <w:p w:rsidR="00207CC2" w:rsidRDefault="00677F9F">
            <w:pPr>
              <w:spacing w:before="40" w:after="40"/>
            </w:pPr>
            <w:r>
              <w:rPr>
                <w:sz w:val="16"/>
              </w:rPr>
              <w:t xml:space="preserve">Break-before-make; the old connection is released before the new one is </w:t>
            </w:r>
            <w:r>
              <w:rPr>
                <w:sz w:val="16"/>
              </w:rPr>
              <w:t>established</w:t>
            </w:r>
          </w:p>
        </w:tc>
        <w:tc>
          <w:tcPr>
            <w:tcW w:w="3264" w:type="dxa"/>
            <w:vAlign w:val="center"/>
          </w:tcPr>
          <w:p w:rsidR="00207CC2" w:rsidRDefault="00677F9F">
            <w:pPr>
              <w:spacing w:before="40" w:after="40"/>
            </w:pPr>
            <w:r>
              <w:rPr>
                <w:sz w:val="16"/>
              </w:rPr>
              <w:t>Brief interruption may occur; generally uses fewer simultaneous radio links</w:t>
            </w:r>
          </w:p>
        </w:tc>
      </w:tr>
      <w:tr w:rsidR="00207CC2">
        <w:trPr>
          <w:jc w:val="center"/>
        </w:trPr>
        <w:tc>
          <w:tcPr>
            <w:tcW w:w="3264" w:type="dxa"/>
            <w:vAlign w:val="center"/>
          </w:tcPr>
          <w:p w:rsidR="00207CC2" w:rsidRDefault="00677F9F">
            <w:pPr>
              <w:spacing w:before="40" w:after="40"/>
            </w:pPr>
            <w:r>
              <w:rPr>
                <w:sz w:val="16"/>
              </w:rPr>
              <w:t>Soft handoff</w:t>
            </w:r>
          </w:p>
        </w:tc>
        <w:tc>
          <w:tcPr>
            <w:tcW w:w="3264" w:type="dxa"/>
            <w:vAlign w:val="center"/>
          </w:tcPr>
          <w:p w:rsidR="00207CC2" w:rsidRDefault="00677F9F">
            <w:pPr>
              <w:spacing w:before="40" w:after="40"/>
            </w:pPr>
            <w:r>
              <w:rPr>
                <w:sz w:val="16"/>
              </w:rPr>
              <w:t>Make-before-break, with a mobile connected to multiple base stations during transition where supported</w:t>
            </w:r>
          </w:p>
        </w:tc>
        <w:tc>
          <w:tcPr>
            <w:tcW w:w="3264" w:type="dxa"/>
            <w:vAlign w:val="center"/>
          </w:tcPr>
          <w:p w:rsidR="00207CC2" w:rsidRDefault="00677F9F">
            <w:pPr>
              <w:spacing w:before="40" w:after="40"/>
            </w:pPr>
            <w:r>
              <w:rPr>
                <w:sz w:val="16"/>
              </w:rPr>
              <w:t xml:space="preserve">Can improve continuity and reduce abrupt link </w:t>
            </w:r>
            <w:r>
              <w:rPr>
                <w:sz w:val="16"/>
              </w:rPr>
              <w:t>failure, but uses extra radio resources and requires combining or coordination</w:t>
            </w:r>
          </w:p>
        </w:tc>
      </w:tr>
      <w:tr w:rsidR="00207CC2">
        <w:trPr>
          <w:jc w:val="center"/>
        </w:trPr>
        <w:tc>
          <w:tcPr>
            <w:tcW w:w="3264" w:type="dxa"/>
            <w:vAlign w:val="center"/>
          </w:tcPr>
          <w:p w:rsidR="00207CC2" w:rsidRDefault="00677F9F">
            <w:pPr>
              <w:spacing w:before="40" w:after="40"/>
            </w:pPr>
            <w:r>
              <w:rPr>
                <w:sz w:val="16"/>
              </w:rPr>
              <w:t>Softer handoff</w:t>
            </w:r>
          </w:p>
        </w:tc>
        <w:tc>
          <w:tcPr>
            <w:tcW w:w="3264" w:type="dxa"/>
            <w:vAlign w:val="center"/>
          </w:tcPr>
          <w:p w:rsidR="00207CC2" w:rsidRDefault="00677F9F">
            <w:pPr>
              <w:spacing w:before="40" w:after="40"/>
            </w:pPr>
            <w:r>
              <w:rPr>
                <w:sz w:val="16"/>
              </w:rPr>
              <w:t>Make-before-break transition between sectors of the same base station, where supported</w:t>
            </w:r>
          </w:p>
        </w:tc>
        <w:tc>
          <w:tcPr>
            <w:tcW w:w="3264" w:type="dxa"/>
            <w:vAlign w:val="center"/>
          </w:tcPr>
          <w:p w:rsidR="00207CC2" w:rsidRDefault="00677F9F">
            <w:pPr>
              <w:spacing w:before="40" w:after="40"/>
            </w:pPr>
            <w:r>
              <w:rPr>
                <w:sz w:val="16"/>
              </w:rPr>
              <w:t>Can improve continuity at sector boundaries, but consumes resources in mul</w:t>
            </w:r>
            <w:r>
              <w:rPr>
                <w:sz w:val="16"/>
              </w:rPr>
              <w:t>tiple sectors and requires appropriate processing</w:t>
            </w:r>
          </w:p>
        </w:tc>
      </w:tr>
    </w:tbl>
    <w:p w:rsidR="00207CC2" w:rsidRDefault="00207CC2"/>
    <w:p w:rsidR="00207CC2" w:rsidRDefault="00677F9F">
      <w:r>
        <w:t>Soft and softer handoff are associated particularly with CDMA-based architectures; they should not be assumed to operate identically in every GSM, LTE, or 5G deployment. In LTE and 5G NR, mobility general</w:t>
      </w:r>
      <w:r>
        <w:t>ly uses network-controlled handover procedures rather than the classic CDMA soft-handoff mechanism.</w:t>
      </w:r>
    </w:p>
    <w:p w:rsidR="00207CC2" w:rsidRDefault="00677F9F">
      <w:pPr>
        <w:pStyle w:val="Heading2"/>
      </w:pPr>
      <w:r>
        <w:t>5.4 Interruption and Simple Call-Drop Risk Estimate</w:t>
      </w:r>
    </w:p>
    <w:p w:rsidR="00207CC2" w:rsidRDefault="00677F9F">
      <w:r>
        <w:t>The supplied handoff interruption is 0.5 s, while the overlap dwell time is 6 s.</w:t>
      </w:r>
    </w:p>
    <w:p w:rsidR="00207CC2" w:rsidRDefault="00677F9F">
      <w:r>
        <w:t xml:space="preserve">Rint = (0.5 / 6) × 100 </w:t>
      </w:r>
      <w:r>
        <w:t>= 8.33%</w:t>
      </w:r>
    </w:p>
    <w:p w:rsidR="00207CC2" w:rsidRDefault="00677F9F">
      <w:r>
        <w:t>This is a time ratio, not an 8.33% probability of dropping a call.</w:t>
      </w:r>
    </w:p>
    <w:p w:rsidR="00207CC2" w:rsidRDefault="00677F9F">
      <w:r>
        <w:lastRenderedPageBreak/>
        <w:t>If the target cell is unavailable 1% of the time, a simplified estimate of the risk associated with one handoff is Pdrop ≈ 1%. This assumes that target-cell unavailability is the on</w:t>
      </w:r>
      <w:r>
        <w:t>ly drop mechanism and that the supplied 1% availability statistic represents the probability of encountering an unavailable target at the handoff attempt.</w:t>
      </w:r>
    </w:p>
    <w:p w:rsidR="00207CC2" w:rsidRDefault="00677F9F">
      <w:r>
        <w:t>The estimate is not a complete reliability calculation. It excludes failures caused by inadequate sig</w:t>
      </w:r>
      <w:r>
        <w:t>nal strength, interference, synchronization errors, delayed handoff decisions, backhaul problems, and multiple correlated outages. The 0.5 s interruption is a separate service-continuity concern and should be reduced where application requirements demand l</w:t>
      </w:r>
      <w:r>
        <w:t>ow interruption.</w:t>
      </w:r>
    </w:p>
    <w:p w:rsidR="00207CC2" w:rsidRDefault="00677F9F">
      <w:r>
        <w:t>Recommendation: Optimize handoff thresholds and neighbor-cell configuration, and verify that the target cell can be detected and prepared within the 100 m overlap travel distance. Field testing should measure actual handoff success, interr</w:t>
      </w:r>
      <w:r>
        <w:t>uption duration, and call-drop rate at the target speed.</w:t>
      </w:r>
    </w:p>
    <w:p w:rsidR="00207CC2" w:rsidRDefault="00677F9F">
      <w:pPr>
        <w:pStyle w:val="Heading1"/>
      </w:pPr>
      <w:r>
        <w:t>6. Interference Calculations and Mitigation</w:t>
      </w:r>
    </w:p>
    <w:p w:rsidR="00207CC2" w:rsidRDefault="00677F9F">
      <w:r>
        <w:t>Interference is particularly important in cellular networks because frequency reuse allows the same spectrum to be used in multiple cells. The operator mus</w:t>
      </w:r>
      <w:r>
        <w:t>t maintain adequate desired-signal strength relative to unwanted co-channel and adjacent-channel signals.</w:t>
      </w:r>
    </w:p>
    <w:p w:rsidR="00207CC2" w:rsidRDefault="00677F9F">
      <w:pPr>
        <w:pStyle w:val="Heading2"/>
      </w:pPr>
      <w:r>
        <w:t>6.1 Carrier-to-Interference Ratio Using the Co-Channel Interferer Alone</w:t>
      </w:r>
    </w:p>
    <w:p w:rsidR="00207CC2" w:rsidRDefault="00677F9F">
      <w:r>
        <w:t>Given S = −70 dBm and I₁ = −85 dBm:</w:t>
      </w:r>
    </w:p>
    <w:p w:rsidR="00207CC2" w:rsidRDefault="00677F9F">
      <w:r>
        <w:t>C/I₁ (dB) = S − I₁ = (−70) − (−85) = 15 dB</w:t>
      </w:r>
    </w:p>
    <w:p w:rsidR="00207CC2" w:rsidRDefault="00677F9F">
      <w:r>
        <w:t>The co-channel interferer alone gives exactly the specified minimum target of 15 dB. There is no additional interference margin in this case.</w:t>
      </w:r>
    </w:p>
    <w:p w:rsidR="00207CC2" w:rsidRDefault="00677F9F">
      <w:pPr>
        <w:pStyle w:val="Heading2"/>
      </w:pPr>
      <w:r>
        <w:t>6.2 Combined Co-Channel and Adjacent-Channel Interference</w:t>
      </w:r>
    </w:p>
    <w:p w:rsidR="00207CC2" w:rsidRDefault="00677F9F">
      <w:r>
        <w:t xml:space="preserve">Interference powers must be added in linear units, not </w:t>
      </w:r>
      <w:r>
        <w:t>directly in dBm. For power P in dBm:</w:t>
      </w:r>
    </w:p>
    <w:p w:rsidR="00207CC2" w:rsidRDefault="00677F9F">
      <w:r>
        <w:t>PmW = 10^(PdBm / 10)</w:t>
      </w:r>
    </w:p>
    <w:p w:rsidR="00207CC2" w:rsidRDefault="00677F9F">
      <w:r>
        <w:t>Co-channel interference:</w:t>
      </w:r>
    </w:p>
    <w:p w:rsidR="00207CC2" w:rsidRDefault="00677F9F">
      <w:r>
        <w:t>I₁ = 10^(−85/10) = 3.1623 × 10⁻⁹ mW</w:t>
      </w:r>
    </w:p>
    <w:p w:rsidR="00207CC2" w:rsidRDefault="00677F9F">
      <w:r>
        <w:t>Adjacent-channel interference:</w:t>
      </w:r>
    </w:p>
    <w:p w:rsidR="00207CC2" w:rsidRDefault="00677F9F">
      <w:r>
        <w:t>I₂ = 10^(−90/10) = 1.0000 × 10⁻⁹ mW</w:t>
      </w:r>
    </w:p>
    <w:p w:rsidR="00207CC2" w:rsidRDefault="00677F9F">
      <w:r>
        <w:t>Total interference:</w:t>
      </w:r>
    </w:p>
    <w:p w:rsidR="00207CC2" w:rsidRDefault="00677F9F">
      <w:r>
        <w:t>IT = I₁ + I₂ = 4.1623 × 10⁻⁹ mW</w:t>
      </w:r>
    </w:p>
    <w:p w:rsidR="00207CC2" w:rsidRDefault="00677F9F">
      <w:r>
        <w:t>Converting back to</w:t>
      </w:r>
      <w:r>
        <w:t xml:space="preserve"> dBm:</w:t>
      </w:r>
    </w:p>
    <w:p w:rsidR="00207CC2" w:rsidRDefault="00677F9F">
      <w:r>
        <w:t>IT,dBm = 10 log₁₀(IT) = −83.81 dBm</w:t>
      </w:r>
    </w:p>
    <w:p w:rsidR="00207CC2" w:rsidRDefault="00677F9F">
      <w:r>
        <w:t>The combined interference is approximately 1.19 dB higher in power than the co-channel interferer alone.</w:t>
      </w:r>
    </w:p>
    <w:p w:rsidR="00207CC2" w:rsidRDefault="00677F9F">
      <w:pPr>
        <w:pStyle w:val="Heading2"/>
      </w:pPr>
      <w:r>
        <w:lastRenderedPageBreak/>
        <w:t>6.3 SINR and Target Compliance</w:t>
      </w:r>
    </w:p>
    <w:p w:rsidR="00207CC2" w:rsidRDefault="00677F9F">
      <w:r>
        <w:t>The general signal-to-interference-plus-noise ratio is SINR = S / (I + Nnoise),</w:t>
      </w:r>
      <w:r>
        <w:t xml:space="preserve"> where all powers in the ratio must be expressed in linear units.</w:t>
      </w:r>
    </w:p>
    <w:p w:rsidR="00207CC2" w:rsidRDefault="00677F9F">
      <w:r>
        <w:t>Because the supplied data provide interference powers but no separate receiver-noise power, the numerical result below uses the specified interference terms only. It is therefore an interfer</w:t>
      </w:r>
      <w:r>
        <w:t>ence-limited SINR estimate.</w:t>
      </w:r>
    </w:p>
    <w:p w:rsidR="00207CC2" w:rsidRDefault="00677F9F">
      <w:r>
        <w:t>SINRdB = S_dBm − IT,dBm = (−70) − (−83.8067) = 13.81 dB</w:t>
      </w:r>
    </w:p>
    <w:tbl>
      <w:tblPr>
        <w:tblStyle w:val="TableGrid"/>
        <w:tblW w:w="0" w:type="auto"/>
        <w:jc w:val="center"/>
        <w:tblLook w:val="04A0" w:firstRow="1" w:lastRow="0" w:firstColumn="1" w:lastColumn="0" w:noHBand="0" w:noVBand="1"/>
      </w:tblPr>
      <w:tblGrid>
        <w:gridCol w:w="3261"/>
        <w:gridCol w:w="3260"/>
        <w:gridCol w:w="3261"/>
      </w:tblGrid>
      <w:tr w:rsidR="00207CC2">
        <w:trPr>
          <w:jc w:val="center"/>
        </w:trPr>
        <w:tc>
          <w:tcPr>
            <w:tcW w:w="3264" w:type="dxa"/>
            <w:shd w:val="clear" w:color="auto" w:fill="D9E1F2"/>
            <w:vAlign w:val="center"/>
          </w:tcPr>
          <w:p w:rsidR="00207CC2" w:rsidRDefault="00677F9F">
            <w:pPr>
              <w:spacing w:before="40" w:after="40"/>
            </w:pPr>
            <w:r>
              <w:rPr>
                <w:b/>
                <w:sz w:val="18"/>
              </w:rPr>
              <w:t>Metric</w:t>
            </w:r>
          </w:p>
        </w:tc>
        <w:tc>
          <w:tcPr>
            <w:tcW w:w="3264" w:type="dxa"/>
            <w:shd w:val="clear" w:color="auto" w:fill="D9E1F2"/>
            <w:vAlign w:val="center"/>
          </w:tcPr>
          <w:p w:rsidR="00207CC2" w:rsidRDefault="00677F9F">
            <w:pPr>
              <w:spacing w:before="40" w:after="40"/>
            </w:pPr>
            <w:r>
              <w:rPr>
                <w:b/>
                <w:sz w:val="18"/>
              </w:rPr>
              <w:t>Result</w:t>
            </w:r>
          </w:p>
        </w:tc>
        <w:tc>
          <w:tcPr>
            <w:tcW w:w="3264" w:type="dxa"/>
            <w:shd w:val="clear" w:color="auto" w:fill="D9E1F2"/>
            <w:vAlign w:val="center"/>
          </w:tcPr>
          <w:p w:rsidR="00207CC2" w:rsidRDefault="00677F9F">
            <w:pPr>
              <w:spacing w:before="40" w:after="40"/>
            </w:pPr>
            <w:r>
              <w:rPr>
                <w:b/>
                <w:sz w:val="18"/>
              </w:rPr>
              <w:t>Interpretation</w:t>
            </w:r>
          </w:p>
        </w:tc>
      </w:tr>
      <w:tr w:rsidR="00207CC2">
        <w:trPr>
          <w:jc w:val="center"/>
        </w:trPr>
        <w:tc>
          <w:tcPr>
            <w:tcW w:w="3264" w:type="dxa"/>
            <w:vAlign w:val="center"/>
          </w:tcPr>
          <w:p w:rsidR="00207CC2" w:rsidRDefault="00677F9F">
            <w:pPr>
              <w:spacing w:before="40" w:after="40"/>
            </w:pPr>
            <w:r>
              <w:rPr>
                <w:sz w:val="18"/>
              </w:rPr>
              <w:t>Co-channel-only C/I</w:t>
            </w:r>
          </w:p>
        </w:tc>
        <w:tc>
          <w:tcPr>
            <w:tcW w:w="3264" w:type="dxa"/>
            <w:vAlign w:val="center"/>
          </w:tcPr>
          <w:p w:rsidR="00207CC2" w:rsidRDefault="00677F9F">
            <w:pPr>
              <w:spacing w:before="40" w:after="40"/>
            </w:pPr>
            <w:r>
              <w:rPr>
                <w:sz w:val="18"/>
              </w:rPr>
              <w:t>15.00 dB</w:t>
            </w:r>
          </w:p>
        </w:tc>
        <w:tc>
          <w:tcPr>
            <w:tcW w:w="3264" w:type="dxa"/>
            <w:vAlign w:val="center"/>
          </w:tcPr>
          <w:p w:rsidR="00207CC2" w:rsidRDefault="00677F9F">
            <w:pPr>
              <w:spacing w:before="40" w:after="40"/>
            </w:pPr>
            <w:r>
              <w:rPr>
                <w:sz w:val="18"/>
              </w:rPr>
              <w:t>Exactly meets the target before adjacent-channel interference</w:t>
            </w:r>
          </w:p>
        </w:tc>
      </w:tr>
      <w:tr w:rsidR="00207CC2">
        <w:trPr>
          <w:jc w:val="center"/>
        </w:trPr>
        <w:tc>
          <w:tcPr>
            <w:tcW w:w="3264" w:type="dxa"/>
            <w:vAlign w:val="center"/>
          </w:tcPr>
          <w:p w:rsidR="00207CC2" w:rsidRDefault="00677F9F">
            <w:pPr>
              <w:spacing w:before="40" w:after="40"/>
            </w:pPr>
            <w:r>
              <w:rPr>
                <w:sz w:val="18"/>
              </w:rPr>
              <w:t>Combined interference</w:t>
            </w:r>
          </w:p>
        </w:tc>
        <w:tc>
          <w:tcPr>
            <w:tcW w:w="3264" w:type="dxa"/>
            <w:vAlign w:val="center"/>
          </w:tcPr>
          <w:p w:rsidR="00207CC2" w:rsidRDefault="00677F9F">
            <w:pPr>
              <w:spacing w:before="40" w:after="40"/>
            </w:pPr>
            <w:r>
              <w:rPr>
                <w:sz w:val="18"/>
              </w:rPr>
              <w:t>−83.81 dBm</w:t>
            </w:r>
          </w:p>
        </w:tc>
        <w:tc>
          <w:tcPr>
            <w:tcW w:w="3264" w:type="dxa"/>
            <w:vAlign w:val="center"/>
          </w:tcPr>
          <w:p w:rsidR="00207CC2" w:rsidRDefault="00677F9F">
            <w:pPr>
              <w:spacing w:before="40" w:after="40"/>
            </w:pPr>
            <w:r>
              <w:rPr>
                <w:sz w:val="18"/>
              </w:rPr>
              <w:t xml:space="preserve">Co-channel and </w:t>
            </w:r>
            <w:r>
              <w:rPr>
                <w:sz w:val="18"/>
              </w:rPr>
              <w:t>adjacent-channel powers summed in linear units</w:t>
            </w:r>
          </w:p>
        </w:tc>
      </w:tr>
      <w:tr w:rsidR="00207CC2">
        <w:trPr>
          <w:jc w:val="center"/>
        </w:trPr>
        <w:tc>
          <w:tcPr>
            <w:tcW w:w="3264" w:type="dxa"/>
            <w:vAlign w:val="center"/>
          </w:tcPr>
          <w:p w:rsidR="00207CC2" w:rsidRDefault="00677F9F">
            <w:pPr>
              <w:spacing w:before="40" w:after="40"/>
            </w:pPr>
            <w:r>
              <w:rPr>
                <w:sz w:val="18"/>
              </w:rPr>
              <w:t>Interference-limited SINR</w:t>
            </w:r>
          </w:p>
        </w:tc>
        <w:tc>
          <w:tcPr>
            <w:tcW w:w="3264" w:type="dxa"/>
            <w:vAlign w:val="center"/>
          </w:tcPr>
          <w:p w:rsidR="00207CC2" w:rsidRDefault="00677F9F">
            <w:pPr>
              <w:spacing w:before="40" w:after="40"/>
            </w:pPr>
            <w:r>
              <w:rPr>
                <w:sz w:val="18"/>
              </w:rPr>
              <w:t>13.81 dB</w:t>
            </w:r>
          </w:p>
        </w:tc>
        <w:tc>
          <w:tcPr>
            <w:tcW w:w="3264" w:type="dxa"/>
            <w:vAlign w:val="center"/>
          </w:tcPr>
          <w:p w:rsidR="00207CC2" w:rsidRDefault="00677F9F">
            <w:pPr>
              <w:spacing w:before="40" w:after="40"/>
            </w:pPr>
            <w:r>
              <w:rPr>
                <w:sz w:val="18"/>
              </w:rPr>
              <w:t>Below required SINR</w:t>
            </w:r>
          </w:p>
        </w:tc>
      </w:tr>
      <w:tr w:rsidR="00207CC2">
        <w:trPr>
          <w:jc w:val="center"/>
        </w:trPr>
        <w:tc>
          <w:tcPr>
            <w:tcW w:w="3264" w:type="dxa"/>
            <w:vAlign w:val="center"/>
          </w:tcPr>
          <w:p w:rsidR="00207CC2" w:rsidRDefault="00677F9F">
            <w:pPr>
              <w:spacing w:before="40" w:after="40"/>
            </w:pPr>
            <w:r>
              <w:rPr>
                <w:sz w:val="18"/>
              </w:rPr>
              <w:t>Required SINR</w:t>
            </w:r>
          </w:p>
        </w:tc>
        <w:tc>
          <w:tcPr>
            <w:tcW w:w="3264" w:type="dxa"/>
            <w:vAlign w:val="center"/>
          </w:tcPr>
          <w:p w:rsidR="00207CC2" w:rsidRDefault="00677F9F">
            <w:pPr>
              <w:spacing w:before="40" w:after="40"/>
            </w:pPr>
            <w:r>
              <w:rPr>
                <w:sz w:val="18"/>
              </w:rPr>
              <w:t>15 dB</w:t>
            </w:r>
          </w:p>
        </w:tc>
        <w:tc>
          <w:tcPr>
            <w:tcW w:w="3264" w:type="dxa"/>
            <w:vAlign w:val="center"/>
          </w:tcPr>
          <w:p w:rsidR="00207CC2" w:rsidRDefault="00677F9F">
            <w:pPr>
              <w:spacing w:before="40" w:after="40"/>
            </w:pPr>
            <w:r>
              <w:rPr>
                <w:sz w:val="18"/>
              </w:rPr>
              <w:t>Target not met; shortfall is approximately 1.19 dB</w:t>
            </w:r>
          </w:p>
        </w:tc>
      </w:tr>
    </w:tbl>
    <w:p w:rsidR="00207CC2" w:rsidRDefault="00207CC2"/>
    <w:p w:rsidR="00207CC2" w:rsidRDefault="00677F9F">
      <w:r>
        <w:t>Receiver noise, if significant, would reduce the actual SINR further.</w:t>
      </w:r>
    </w:p>
    <w:p w:rsidR="00207CC2" w:rsidRDefault="00677F9F">
      <w:pPr>
        <w:pStyle w:val="Heading2"/>
      </w:pPr>
      <w:r>
        <w:t>6.4 Recom</w:t>
      </w:r>
      <w:r>
        <w:t>mended Interference Mitigation</w:t>
      </w:r>
    </w:p>
    <w:p w:rsidR="00207CC2" w:rsidRDefault="00677F9F">
      <w:r>
        <w:t>A suitable first measure is directional antenna optimization with sector-level power and tilt adjustment. The operator can reduce unwanted received power from neighboring cells by adjusting antenna azimuth, electrical or mech</w:t>
      </w:r>
      <w:r>
        <w:t>anical downtilt, and transmit power while maintaining the desired serving-cell signal.</w:t>
      </w:r>
    </w:p>
    <w:p w:rsidR="00207CC2" w:rsidRDefault="00677F9F">
      <w:r>
        <w:t>This measure can improve the desired-to-interference ratio without automatically requiring more spectrum. However, excessive downtilt or power reduction can create cover</w:t>
      </w:r>
      <w:r>
        <w:t>age holes and increase handoffs. Optimization must therefore consider both interference and coverage.</w:t>
      </w:r>
    </w:p>
    <w:p w:rsidR="00207CC2" w:rsidRDefault="00677F9F">
      <w:r>
        <w:t>Other options include frequency planning to separate adjacent-channel assignments where feasible; sectoring and beamforming to focus energy toward intende</w:t>
      </w:r>
      <w:r>
        <w:t>d users; power control to reduce unnecessary transmit power; and site densification to shorten links, with additional interference and handoff planning.</w:t>
      </w:r>
    </w:p>
    <w:p w:rsidR="00207CC2" w:rsidRDefault="00677F9F">
      <w:r>
        <w:t>The next step should be to verify whether the dominant problem is co-channel interference, adjacent-cha</w:t>
      </w:r>
      <w:r>
        <w:t>nnel leakage, or insufficient desired signal. The supplied values do not include antenna patterns, receiver selectivity, bandwidth, or noise figure, so they cannot identify the exact physical cause.</w:t>
      </w:r>
    </w:p>
    <w:p w:rsidR="00207CC2" w:rsidRDefault="00677F9F">
      <w:pPr>
        <w:pStyle w:val="Heading1"/>
      </w:pPr>
      <w:r>
        <w:t>7. Spectrum-Band Comparison and Propagation Analysis</w:t>
      </w:r>
    </w:p>
    <w:p w:rsidR="00207CC2" w:rsidRDefault="00677F9F">
      <w:r>
        <w:t xml:space="preserve">The </w:t>
      </w:r>
      <w:r>
        <w:t>operator must balance propagation distance, penetration, antenna size, available bandwidth, and interference when choosing a frequency band. Higher-frequency spectrum can provide wider bandwidths, but it generally experiences greater free-space path loss a</w:t>
      </w:r>
      <w:r>
        <w:t>t the same distance when antenna gains and other conditions are held constant.</w:t>
      </w:r>
    </w:p>
    <w:p w:rsidR="00207CC2" w:rsidRDefault="00677F9F">
      <w:pPr>
        <w:pStyle w:val="Heading2"/>
      </w:pPr>
      <w:r>
        <w:lastRenderedPageBreak/>
        <w:t>7.1 Wavelength Calculation</w:t>
      </w:r>
    </w:p>
    <w:p w:rsidR="00207CC2" w:rsidRDefault="00677F9F">
      <w:r>
        <w:t>Wavelength is calculated using λ = c / f, where c = 3 × 10⁸ m/s.</w:t>
      </w:r>
    </w:p>
    <w:p w:rsidR="00207CC2" w:rsidRDefault="00677F9F">
      <w:r>
        <w:t>900 MHz: λ = (3 × 10⁸) / (900 × 10⁶) = 0.3333 m</w:t>
      </w:r>
    </w:p>
    <w:p w:rsidR="00207CC2" w:rsidRDefault="00677F9F">
      <w:r>
        <w:t xml:space="preserve">3.5 GHz: λ = (3 × 10⁸) / (3.5 × 10⁹) </w:t>
      </w:r>
      <w:r>
        <w:t>= 0.08571 m</w:t>
      </w:r>
    </w:p>
    <w:p w:rsidR="00207CC2" w:rsidRDefault="00677F9F">
      <w:r>
        <w:t>28 GHz: λ = (3 × 10⁸) / (28 × 10⁹) = 0.01071 m</w:t>
      </w:r>
    </w:p>
    <w:p w:rsidR="00207CC2" w:rsidRDefault="00677F9F">
      <w:pPr>
        <w:pStyle w:val="Heading2"/>
      </w:pPr>
      <w:r>
        <w:t>7.2 Free-Space Path Loss at 100 m</w:t>
      </w:r>
    </w:p>
    <w:p w:rsidR="00207CC2" w:rsidRDefault="00677F9F">
      <w:r>
        <w:t>The supplied free-space path-loss equation is:</w:t>
      </w:r>
    </w:p>
    <w:p w:rsidR="00207CC2" w:rsidRDefault="00677F9F">
      <w:r>
        <w:t>FSPL = 20 log₁₀(4πd / λ)</w:t>
      </w:r>
    </w:p>
    <w:p w:rsidR="00207CC2" w:rsidRDefault="00677F9F">
      <w:r>
        <w:t>Given d = 100 m, the results are:</w:t>
      </w:r>
    </w:p>
    <w:tbl>
      <w:tblPr>
        <w:tblStyle w:val="TableGrid"/>
        <w:tblW w:w="0" w:type="auto"/>
        <w:jc w:val="center"/>
        <w:tblLook w:val="04A0" w:firstRow="1" w:lastRow="0" w:firstColumn="1" w:lastColumn="0" w:noHBand="0" w:noVBand="1"/>
      </w:tblPr>
      <w:tblGrid>
        <w:gridCol w:w="2445"/>
        <w:gridCol w:w="2446"/>
        <w:gridCol w:w="2445"/>
        <w:gridCol w:w="2446"/>
      </w:tblGrid>
      <w:tr w:rsidR="00207CC2">
        <w:trPr>
          <w:jc w:val="center"/>
        </w:trPr>
        <w:tc>
          <w:tcPr>
            <w:tcW w:w="2448" w:type="dxa"/>
            <w:shd w:val="clear" w:color="auto" w:fill="D9E1F2"/>
            <w:vAlign w:val="center"/>
          </w:tcPr>
          <w:p w:rsidR="00207CC2" w:rsidRDefault="00677F9F">
            <w:pPr>
              <w:spacing w:before="40" w:after="40"/>
            </w:pPr>
            <w:r>
              <w:rPr>
                <w:b/>
                <w:sz w:val="18"/>
              </w:rPr>
              <w:t>Frequency</w:t>
            </w:r>
          </w:p>
        </w:tc>
        <w:tc>
          <w:tcPr>
            <w:tcW w:w="2448" w:type="dxa"/>
            <w:shd w:val="clear" w:color="auto" w:fill="D9E1F2"/>
            <w:vAlign w:val="center"/>
          </w:tcPr>
          <w:p w:rsidR="00207CC2" w:rsidRDefault="00677F9F">
            <w:pPr>
              <w:spacing w:before="40" w:after="40"/>
            </w:pPr>
            <w:r>
              <w:rPr>
                <w:b/>
                <w:sz w:val="18"/>
              </w:rPr>
              <w:t>Wavelength</w:t>
            </w:r>
          </w:p>
        </w:tc>
        <w:tc>
          <w:tcPr>
            <w:tcW w:w="2448" w:type="dxa"/>
            <w:shd w:val="clear" w:color="auto" w:fill="D9E1F2"/>
            <w:vAlign w:val="center"/>
          </w:tcPr>
          <w:p w:rsidR="00207CC2" w:rsidRDefault="00677F9F">
            <w:pPr>
              <w:spacing w:before="40" w:after="40"/>
            </w:pPr>
            <w:r>
              <w:rPr>
                <w:b/>
                <w:sz w:val="18"/>
              </w:rPr>
              <w:t>FSPL at 100 m</w:t>
            </w:r>
          </w:p>
        </w:tc>
        <w:tc>
          <w:tcPr>
            <w:tcW w:w="2448" w:type="dxa"/>
            <w:shd w:val="clear" w:color="auto" w:fill="D9E1F2"/>
            <w:vAlign w:val="center"/>
          </w:tcPr>
          <w:p w:rsidR="00207CC2" w:rsidRDefault="00677F9F">
            <w:pPr>
              <w:spacing w:before="40" w:after="40"/>
            </w:pPr>
            <w:r>
              <w:rPr>
                <w:b/>
                <w:sz w:val="18"/>
              </w:rPr>
              <w:t>Difference from 900 MH</w:t>
            </w:r>
            <w:r>
              <w:rPr>
                <w:b/>
                <w:sz w:val="18"/>
              </w:rPr>
              <w:t>z</w:t>
            </w:r>
          </w:p>
        </w:tc>
      </w:tr>
      <w:tr w:rsidR="00207CC2">
        <w:trPr>
          <w:jc w:val="center"/>
        </w:trPr>
        <w:tc>
          <w:tcPr>
            <w:tcW w:w="2448" w:type="dxa"/>
            <w:vAlign w:val="center"/>
          </w:tcPr>
          <w:p w:rsidR="00207CC2" w:rsidRDefault="00677F9F">
            <w:pPr>
              <w:spacing w:before="40" w:after="40"/>
            </w:pPr>
            <w:r>
              <w:rPr>
                <w:sz w:val="18"/>
              </w:rPr>
              <w:t>900 MHz</w:t>
            </w:r>
          </w:p>
        </w:tc>
        <w:tc>
          <w:tcPr>
            <w:tcW w:w="2448" w:type="dxa"/>
            <w:vAlign w:val="center"/>
          </w:tcPr>
          <w:p w:rsidR="00207CC2" w:rsidRDefault="00677F9F">
            <w:pPr>
              <w:spacing w:before="40" w:after="40"/>
            </w:pPr>
            <w:r>
              <w:rPr>
                <w:sz w:val="18"/>
              </w:rPr>
              <w:t>0.3333 m</w:t>
            </w:r>
          </w:p>
        </w:tc>
        <w:tc>
          <w:tcPr>
            <w:tcW w:w="2448" w:type="dxa"/>
            <w:vAlign w:val="center"/>
          </w:tcPr>
          <w:p w:rsidR="00207CC2" w:rsidRDefault="00677F9F">
            <w:pPr>
              <w:spacing w:before="40" w:after="40"/>
            </w:pPr>
            <w:r>
              <w:rPr>
                <w:sz w:val="18"/>
              </w:rPr>
              <w:t>71.53 dB</w:t>
            </w:r>
          </w:p>
        </w:tc>
        <w:tc>
          <w:tcPr>
            <w:tcW w:w="2448" w:type="dxa"/>
            <w:vAlign w:val="center"/>
          </w:tcPr>
          <w:p w:rsidR="00207CC2" w:rsidRDefault="00677F9F">
            <w:pPr>
              <w:spacing w:before="40" w:after="40"/>
            </w:pPr>
            <w:r>
              <w:rPr>
                <w:sz w:val="18"/>
              </w:rPr>
              <w:t>0 dB</w:t>
            </w:r>
          </w:p>
        </w:tc>
      </w:tr>
      <w:tr w:rsidR="00207CC2">
        <w:trPr>
          <w:jc w:val="center"/>
        </w:trPr>
        <w:tc>
          <w:tcPr>
            <w:tcW w:w="2448" w:type="dxa"/>
            <w:vAlign w:val="center"/>
          </w:tcPr>
          <w:p w:rsidR="00207CC2" w:rsidRDefault="00677F9F">
            <w:pPr>
              <w:spacing w:before="40" w:after="40"/>
            </w:pPr>
            <w:r>
              <w:rPr>
                <w:sz w:val="18"/>
              </w:rPr>
              <w:t>3.5 GHz</w:t>
            </w:r>
          </w:p>
        </w:tc>
        <w:tc>
          <w:tcPr>
            <w:tcW w:w="2448" w:type="dxa"/>
            <w:vAlign w:val="center"/>
          </w:tcPr>
          <w:p w:rsidR="00207CC2" w:rsidRDefault="00677F9F">
            <w:pPr>
              <w:spacing w:before="40" w:after="40"/>
            </w:pPr>
            <w:r>
              <w:rPr>
                <w:sz w:val="18"/>
              </w:rPr>
              <w:t>0.08571 m</w:t>
            </w:r>
          </w:p>
        </w:tc>
        <w:tc>
          <w:tcPr>
            <w:tcW w:w="2448" w:type="dxa"/>
            <w:vAlign w:val="center"/>
          </w:tcPr>
          <w:p w:rsidR="00207CC2" w:rsidRDefault="00677F9F">
            <w:pPr>
              <w:spacing w:before="40" w:after="40"/>
            </w:pPr>
            <w:r>
              <w:rPr>
                <w:sz w:val="18"/>
              </w:rPr>
              <w:t>83.32 dB</w:t>
            </w:r>
          </w:p>
        </w:tc>
        <w:tc>
          <w:tcPr>
            <w:tcW w:w="2448" w:type="dxa"/>
            <w:vAlign w:val="center"/>
          </w:tcPr>
          <w:p w:rsidR="00207CC2" w:rsidRDefault="00677F9F">
            <w:pPr>
              <w:spacing w:before="40" w:after="40"/>
            </w:pPr>
            <w:r>
              <w:rPr>
                <w:sz w:val="18"/>
              </w:rPr>
              <w:t>+11.80 dB</w:t>
            </w:r>
          </w:p>
        </w:tc>
      </w:tr>
      <w:tr w:rsidR="00207CC2">
        <w:trPr>
          <w:jc w:val="center"/>
        </w:trPr>
        <w:tc>
          <w:tcPr>
            <w:tcW w:w="2448" w:type="dxa"/>
            <w:vAlign w:val="center"/>
          </w:tcPr>
          <w:p w:rsidR="00207CC2" w:rsidRDefault="00677F9F">
            <w:pPr>
              <w:spacing w:before="40" w:after="40"/>
            </w:pPr>
            <w:r>
              <w:rPr>
                <w:sz w:val="18"/>
              </w:rPr>
              <w:t>28 GHz</w:t>
            </w:r>
          </w:p>
        </w:tc>
        <w:tc>
          <w:tcPr>
            <w:tcW w:w="2448" w:type="dxa"/>
            <w:vAlign w:val="center"/>
          </w:tcPr>
          <w:p w:rsidR="00207CC2" w:rsidRDefault="00677F9F">
            <w:pPr>
              <w:spacing w:before="40" w:after="40"/>
            </w:pPr>
            <w:r>
              <w:rPr>
                <w:sz w:val="18"/>
              </w:rPr>
              <w:t>0.01071 m</w:t>
            </w:r>
          </w:p>
        </w:tc>
        <w:tc>
          <w:tcPr>
            <w:tcW w:w="2448" w:type="dxa"/>
            <w:vAlign w:val="center"/>
          </w:tcPr>
          <w:p w:rsidR="00207CC2" w:rsidRDefault="00677F9F">
            <w:pPr>
              <w:spacing w:before="40" w:after="40"/>
            </w:pPr>
            <w:r>
              <w:rPr>
                <w:sz w:val="18"/>
              </w:rPr>
              <w:t>101.38 dB</w:t>
            </w:r>
          </w:p>
        </w:tc>
        <w:tc>
          <w:tcPr>
            <w:tcW w:w="2448" w:type="dxa"/>
            <w:vAlign w:val="center"/>
          </w:tcPr>
          <w:p w:rsidR="00207CC2" w:rsidRDefault="00677F9F">
            <w:pPr>
              <w:spacing w:before="40" w:after="40"/>
            </w:pPr>
            <w:r>
              <w:rPr>
                <w:sz w:val="18"/>
              </w:rPr>
              <w:t>+29.86 dB</w:t>
            </w:r>
          </w:p>
        </w:tc>
      </w:tr>
    </w:tbl>
    <w:p w:rsidR="00207CC2" w:rsidRDefault="00207CC2"/>
    <w:p w:rsidR="00207CC2" w:rsidRDefault="00677F9F">
      <w:r>
        <w:t>For 3.5 GHz, the relative path loss is 83.323 − 71.527 = 11.80 dB. For 28 GHz, the relative path loss is 101.385 − 71.527 = 29.86 dB.</w:t>
      </w:r>
    </w:p>
    <w:p w:rsidR="00207CC2" w:rsidRDefault="00677F9F">
      <w:r>
        <w:t xml:space="preserve">The </w:t>
      </w:r>
      <w:r>
        <w:t>calculation assumes ideal free-space propagation at the same distance. It does not include atmospheric absorption, rain attenuation, foliage, walls, diffraction, reflections, or antenna gains.</w:t>
      </w:r>
    </w:p>
    <w:p w:rsidR="00207CC2" w:rsidRDefault="00677F9F">
      <w:pPr>
        <w:pStyle w:val="Heading2"/>
      </w:pPr>
      <w:r>
        <w:t>7.3 Engineering Comparison of the Bands</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677F9F">
            <w:pPr>
              <w:spacing w:before="40" w:after="40"/>
            </w:pPr>
            <w:r>
              <w:rPr>
                <w:b/>
                <w:sz w:val="16"/>
              </w:rPr>
              <w:t>Band</w:t>
            </w:r>
          </w:p>
        </w:tc>
        <w:tc>
          <w:tcPr>
            <w:tcW w:w="3264" w:type="dxa"/>
            <w:shd w:val="clear" w:color="auto" w:fill="D9E1F2"/>
            <w:vAlign w:val="center"/>
          </w:tcPr>
          <w:p w:rsidR="00207CC2" w:rsidRDefault="00677F9F">
            <w:pPr>
              <w:spacing w:before="40" w:after="40"/>
            </w:pPr>
            <w:r>
              <w:rPr>
                <w:b/>
                <w:sz w:val="16"/>
              </w:rPr>
              <w:t>Likely propagation</w:t>
            </w:r>
            <w:r>
              <w:rPr>
                <w:b/>
                <w:sz w:val="16"/>
              </w:rPr>
              <w:t xml:space="preserve"> and antenna characteristics</w:t>
            </w:r>
          </w:p>
        </w:tc>
        <w:tc>
          <w:tcPr>
            <w:tcW w:w="3264" w:type="dxa"/>
            <w:shd w:val="clear" w:color="auto" w:fill="D9E1F2"/>
            <w:vAlign w:val="center"/>
          </w:tcPr>
          <w:p w:rsidR="00207CC2" w:rsidRDefault="00677F9F">
            <w:pPr>
              <w:spacing w:before="40" w:after="40"/>
            </w:pPr>
            <w:r>
              <w:rPr>
                <w:b/>
                <w:sz w:val="16"/>
              </w:rPr>
              <w:t>Deployment implications</w:t>
            </w:r>
          </w:p>
        </w:tc>
      </w:tr>
      <w:tr w:rsidR="00207CC2">
        <w:trPr>
          <w:jc w:val="center"/>
        </w:trPr>
        <w:tc>
          <w:tcPr>
            <w:tcW w:w="3264" w:type="dxa"/>
            <w:vAlign w:val="center"/>
          </w:tcPr>
          <w:p w:rsidR="00207CC2" w:rsidRDefault="00677F9F">
            <w:pPr>
              <w:spacing w:before="40" w:after="40"/>
            </w:pPr>
            <w:r>
              <w:rPr>
                <w:sz w:val="16"/>
              </w:rPr>
              <w:t>900 MHz</w:t>
            </w:r>
          </w:p>
        </w:tc>
        <w:tc>
          <w:tcPr>
            <w:tcW w:w="3264" w:type="dxa"/>
            <w:vAlign w:val="center"/>
          </w:tcPr>
          <w:p w:rsidR="00207CC2" w:rsidRDefault="00677F9F">
            <w:pPr>
              <w:spacing w:before="40" w:after="40"/>
            </w:pPr>
            <w:r>
              <w:rPr>
                <w:sz w:val="16"/>
              </w:rPr>
              <w:t>Longer wavelength; generally better diffraction and building penetration than the higher bands</w:t>
            </w:r>
          </w:p>
        </w:tc>
        <w:tc>
          <w:tcPr>
            <w:tcW w:w="3264" w:type="dxa"/>
            <w:vAlign w:val="center"/>
          </w:tcPr>
          <w:p w:rsidR="00207CC2" w:rsidRDefault="00677F9F">
            <w:pPr>
              <w:spacing w:before="40" w:after="40"/>
            </w:pPr>
            <w:r>
              <w:rPr>
                <w:sz w:val="16"/>
              </w:rPr>
              <w:t xml:space="preserve">Suitable for broad-area coverage, rural links, and cell-edge service; available spectrum may be </w:t>
            </w:r>
            <w:r>
              <w:rPr>
                <w:sz w:val="16"/>
              </w:rPr>
              <w:t>narrower, limiting capacity</w:t>
            </w:r>
          </w:p>
        </w:tc>
      </w:tr>
      <w:tr w:rsidR="00207CC2">
        <w:trPr>
          <w:jc w:val="center"/>
        </w:trPr>
        <w:tc>
          <w:tcPr>
            <w:tcW w:w="3264" w:type="dxa"/>
            <w:vAlign w:val="center"/>
          </w:tcPr>
          <w:p w:rsidR="00207CC2" w:rsidRDefault="00677F9F">
            <w:pPr>
              <w:spacing w:before="40" w:after="40"/>
            </w:pPr>
            <w:r>
              <w:rPr>
                <w:sz w:val="16"/>
              </w:rPr>
              <w:t>3.5 GHz</w:t>
            </w:r>
          </w:p>
        </w:tc>
        <w:tc>
          <w:tcPr>
            <w:tcW w:w="3264" w:type="dxa"/>
            <w:vAlign w:val="center"/>
          </w:tcPr>
          <w:p w:rsidR="00207CC2" w:rsidRDefault="00677F9F">
            <w:pPr>
              <w:spacing w:before="40" w:after="40"/>
            </w:pPr>
            <w:r>
              <w:rPr>
                <w:sz w:val="16"/>
              </w:rPr>
              <w:t>Mid-band propagation; substantial broadband capacity with more practical coverage than mmWave in many environments</w:t>
            </w:r>
          </w:p>
        </w:tc>
        <w:tc>
          <w:tcPr>
            <w:tcW w:w="3264" w:type="dxa"/>
            <w:vAlign w:val="center"/>
          </w:tcPr>
          <w:p w:rsidR="00207CC2" w:rsidRDefault="00677F9F">
            <w:pPr>
              <w:spacing w:before="40" w:after="40"/>
            </w:pPr>
            <w:r>
              <w:rPr>
                <w:sz w:val="16"/>
              </w:rPr>
              <w:t>Strong candidate for the main 5G expansion layer; indoor penetration and cell-edge performance depend on</w:t>
            </w:r>
            <w:r>
              <w:rPr>
                <w:sz w:val="16"/>
              </w:rPr>
              <w:t xml:space="preserve"> materials and antenna design</w:t>
            </w:r>
          </w:p>
        </w:tc>
      </w:tr>
      <w:tr w:rsidR="00207CC2">
        <w:trPr>
          <w:jc w:val="center"/>
        </w:trPr>
        <w:tc>
          <w:tcPr>
            <w:tcW w:w="3264" w:type="dxa"/>
            <w:vAlign w:val="center"/>
          </w:tcPr>
          <w:p w:rsidR="00207CC2" w:rsidRDefault="00677F9F">
            <w:pPr>
              <w:spacing w:before="40" w:after="40"/>
            </w:pPr>
            <w:r>
              <w:rPr>
                <w:sz w:val="16"/>
              </w:rPr>
              <w:t>28 GHz</w:t>
            </w:r>
          </w:p>
        </w:tc>
        <w:tc>
          <w:tcPr>
            <w:tcW w:w="3264" w:type="dxa"/>
            <w:vAlign w:val="center"/>
          </w:tcPr>
          <w:p w:rsidR="00207CC2" w:rsidRDefault="00677F9F">
            <w:pPr>
              <w:spacing w:before="40" w:after="40"/>
            </w:pPr>
            <w:r>
              <w:rPr>
                <w:sz w:val="16"/>
              </w:rPr>
              <w:t>Short wavelength supports compact antenna elements and arrays; higher free-space loss and blockage sensitivity</w:t>
            </w:r>
          </w:p>
        </w:tc>
        <w:tc>
          <w:tcPr>
            <w:tcW w:w="3264" w:type="dxa"/>
            <w:vAlign w:val="center"/>
          </w:tcPr>
          <w:p w:rsidR="00207CC2" w:rsidRDefault="00677F9F">
            <w:pPr>
              <w:spacing w:before="40" w:after="40"/>
            </w:pPr>
            <w:r>
              <w:rPr>
                <w:sz w:val="16"/>
              </w:rPr>
              <w:t>Suitable for high-capacity hotspots and dense venues; requires careful site placement, beamforming, and bac</w:t>
            </w:r>
            <w:r>
              <w:rPr>
                <w:sz w:val="16"/>
              </w:rPr>
              <w:t>khaul</w:t>
            </w:r>
          </w:p>
        </w:tc>
      </w:tr>
    </w:tbl>
    <w:p w:rsidR="00207CC2" w:rsidRDefault="00207CC2"/>
    <w:p w:rsidR="00207CC2" w:rsidRDefault="00677F9F">
      <w:pPr>
        <w:pStyle w:val="Heading2"/>
      </w:pPr>
      <w:r>
        <w:t>7.4 Why Path Loss Alone Does Not Determine Network Performance</w:t>
      </w:r>
    </w:p>
    <w:p w:rsidR="00207CC2" w:rsidRDefault="00677F9F">
      <w:r>
        <w:t xml:space="preserve">The FSPL figures show an increase in loss as frequency rises, but they do not establish actual data rate, coverage radius, or network capacity. Real network performance also depends on </w:t>
      </w:r>
      <w:r>
        <w:t>transmit power and antenna gain; beamforming and MIMO; available channel bandwidth and modulation and coding; receiver noise figure, interference, and sensitivity; obstructions and building penetration; and base-station density, traffic distribution, and b</w:t>
      </w:r>
      <w:r>
        <w:t>ackhaul.</w:t>
      </w:r>
    </w:p>
    <w:p w:rsidR="00207CC2" w:rsidRDefault="00677F9F">
      <w:r>
        <w:lastRenderedPageBreak/>
        <w:t>For example, a 28 GHz system can compensate for part of its propagation loss through directional antenna gain and dense small-cell deployment. It can also provide high throughput when substantial bandwidth is available. However, beamforming cannot</w:t>
      </w:r>
      <w:r>
        <w:t xml:space="preserve"> remove all blockage or indoor-penetration problems.</w:t>
      </w:r>
    </w:p>
    <w:p w:rsidR="00207CC2" w:rsidRDefault="00677F9F">
      <w:r>
        <w:t xml:space="preserve">Band-selection recommendation: Use 900 MHz as a coverage foundation where suitable spectrum rights are held, 3.5 GHz as the primary capacity layer, and 28 GHz selectively for dense venues or hotspots </w:t>
      </w:r>
      <w:r>
        <w:t>where measured demand justifies additional sites.</w:t>
      </w:r>
    </w:p>
    <w:p w:rsidR="00207CC2" w:rsidRDefault="00677F9F">
      <w:pPr>
        <w:pStyle w:val="Heading1"/>
      </w:pPr>
      <w:r>
        <w:t>8. International Spectrum Coordination</w:t>
      </w:r>
    </w:p>
    <w:p w:rsidR="00207CC2" w:rsidRDefault="00677F9F">
      <w:r>
        <w:t>International spectrum coordination is necessary because radio transmissions do not stop at national borders. Poorly coordinated frequency assignments can create harmf</w:t>
      </w:r>
      <w:r>
        <w:t>ul interference between countries or between different radiocommunication services.</w:t>
      </w:r>
    </w:p>
    <w:tbl>
      <w:tblPr>
        <w:tblStyle w:val="TableGrid"/>
        <w:tblW w:w="0" w:type="auto"/>
        <w:jc w:val="center"/>
        <w:tblLook w:val="04A0" w:firstRow="1" w:lastRow="0" w:firstColumn="1" w:lastColumn="0" w:noHBand="0" w:noVBand="1"/>
      </w:tblPr>
      <w:tblGrid>
        <w:gridCol w:w="3261"/>
        <w:gridCol w:w="3261"/>
        <w:gridCol w:w="3260"/>
      </w:tblGrid>
      <w:tr w:rsidR="00207CC2">
        <w:trPr>
          <w:jc w:val="center"/>
        </w:trPr>
        <w:tc>
          <w:tcPr>
            <w:tcW w:w="3264" w:type="dxa"/>
            <w:shd w:val="clear" w:color="auto" w:fill="D9E1F2"/>
            <w:vAlign w:val="center"/>
          </w:tcPr>
          <w:p w:rsidR="00207CC2" w:rsidRDefault="00677F9F">
            <w:pPr>
              <w:spacing w:before="40" w:after="40"/>
            </w:pPr>
            <w:r>
              <w:rPr>
                <w:b/>
                <w:sz w:val="16"/>
              </w:rPr>
              <w:t>Institution</w:t>
            </w:r>
          </w:p>
        </w:tc>
        <w:tc>
          <w:tcPr>
            <w:tcW w:w="3264" w:type="dxa"/>
            <w:shd w:val="clear" w:color="auto" w:fill="D9E1F2"/>
            <w:vAlign w:val="center"/>
          </w:tcPr>
          <w:p w:rsidR="00207CC2" w:rsidRDefault="00677F9F">
            <w:pPr>
              <w:spacing w:before="40" w:after="40"/>
            </w:pPr>
            <w:r>
              <w:rPr>
                <w:b/>
                <w:sz w:val="16"/>
              </w:rPr>
              <w:t>Primary role</w:t>
            </w:r>
          </w:p>
        </w:tc>
        <w:tc>
          <w:tcPr>
            <w:tcW w:w="3264" w:type="dxa"/>
            <w:shd w:val="clear" w:color="auto" w:fill="D9E1F2"/>
            <w:vAlign w:val="center"/>
          </w:tcPr>
          <w:p w:rsidR="00207CC2" w:rsidRDefault="00677F9F">
            <w:pPr>
              <w:spacing w:before="40" w:after="40"/>
            </w:pPr>
            <w:r>
              <w:rPr>
                <w:b/>
                <w:sz w:val="16"/>
              </w:rPr>
              <w:t>Relevance to the regional operator</w:t>
            </w:r>
          </w:p>
        </w:tc>
      </w:tr>
      <w:tr w:rsidR="00207CC2">
        <w:trPr>
          <w:jc w:val="center"/>
        </w:trPr>
        <w:tc>
          <w:tcPr>
            <w:tcW w:w="3264" w:type="dxa"/>
            <w:vAlign w:val="center"/>
          </w:tcPr>
          <w:p w:rsidR="00207CC2" w:rsidRDefault="00677F9F">
            <w:pPr>
              <w:spacing w:before="40" w:after="40"/>
            </w:pPr>
            <w:r>
              <w:rPr>
                <w:sz w:val="16"/>
              </w:rPr>
              <w:t>ITU-R</w:t>
            </w:r>
          </w:p>
        </w:tc>
        <w:tc>
          <w:tcPr>
            <w:tcW w:w="3264" w:type="dxa"/>
            <w:vAlign w:val="center"/>
          </w:tcPr>
          <w:p w:rsidR="00207CC2" w:rsidRDefault="00677F9F">
            <w:pPr>
              <w:spacing w:before="40" w:after="40"/>
            </w:pPr>
            <w:r>
              <w:rPr>
                <w:sz w:val="16"/>
              </w:rPr>
              <w:t>Develops international radiocommunication recommendations, technical studies, and spectrum-allocation fra</w:t>
            </w:r>
            <w:r>
              <w:rPr>
                <w:sz w:val="16"/>
              </w:rPr>
              <w:t>meworks</w:t>
            </w:r>
          </w:p>
        </w:tc>
        <w:tc>
          <w:tcPr>
            <w:tcW w:w="3264" w:type="dxa"/>
            <w:vAlign w:val="center"/>
          </w:tcPr>
          <w:p w:rsidR="00207CC2" w:rsidRDefault="00677F9F">
            <w:pPr>
              <w:spacing w:before="40" w:after="40"/>
            </w:pPr>
            <w:r>
              <w:rPr>
                <w:sz w:val="16"/>
              </w:rPr>
              <w:t>Provides technical foundations for compatible spectrum use and future mobile-system development</w:t>
            </w:r>
          </w:p>
        </w:tc>
      </w:tr>
      <w:tr w:rsidR="00207CC2">
        <w:trPr>
          <w:jc w:val="center"/>
        </w:trPr>
        <w:tc>
          <w:tcPr>
            <w:tcW w:w="3264" w:type="dxa"/>
            <w:vAlign w:val="center"/>
          </w:tcPr>
          <w:p w:rsidR="00207CC2" w:rsidRDefault="00677F9F">
            <w:pPr>
              <w:spacing w:before="40" w:after="40"/>
            </w:pPr>
            <w:r>
              <w:rPr>
                <w:sz w:val="16"/>
              </w:rPr>
              <w:t>World Radiocommunication Conference (WRC)</w:t>
            </w:r>
          </w:p>
        </w:tc>
        <w:tc>
          <w:tcPr>
            <w:tcW w:w="3264" w:type="dxa"/>
            <w:vAlign w:val="center"/>
          </w:tcPr>
          <w:p w:rsidR="00207CC2" w:rsidRDefault="00677F9F">
            <w:pPr>
              <w:spacing w:before="40" w:after="40"/>
            </w:pPr>
            <w:r>
              <w:rPr>
                <w:sz w:val="16"/>
              </w:rPr>
              <w:t>Member States negotiate and adopt changes to the international Radio Regulations, including spectrum allocati</w:t>
            </w:r>
            <w:r>
              <w:rPr>
                <w:sz w:val="16"/>
              </w:rPr>
              <w:t>ons and related regulatory provisions</w:t>
            </w:r>
          </w:p>
        </w:tc>
        <w:tc>
          <w:tcPr>
            <w:tcW w:w="3264" w:type="dxa"/>
            <w:vAlign w:val="center"/>
          </w:tcPr>
          <w:p w:rsidR="00207CC2" w:rsidRDefault="00677F9F">
            <w:pPr>
              <w:spacing w:before="40" w:after="40"/>
            </w:pPr>
            <w:r>
              <w:rPr>
                <w:sz w:val="16"/>
              </w:rPr>
              <w:t>International decisions can affect which bands national regulators make available and the conditions under which they are used</w:t>
            </w:r>
          </w:p>
        </w:tc>
      </w:tr>
      <w:tr w:rsidR="00207CC2">
        <w:trPr>
          <w:jc w:val="center"/>
        </w:trPr>
        <w:tc>
          <w:tcPr>
            <w:tcW w:w="3264" w:type="dxa"/>
            <w:vAlign w:val="center"/>
          </w:tcPr>
          <w:p w:rsidR="00207CC2" w:rsidRDefault="00677F9F">
            <w:pPr>
              <w:spacing w:before="40" w:after="40"/>
            </w:pPr>
            <w:r>
              <w:rPr>
                <w:sz w:val="16"/>
              </w:rPr>
              <w:t>Radiocommunication Bureau (BR)</w:t>
            </w:r>
          </w:p>
        </w:tc>
        <w:tc>
          <w:tcPr>
            <w:tcW w:w="3264" w:type="dxa"/>
            <w:vAlign w:val="center"/>
          </w:tcPr>
          <w:p w:rsidR="00207CC2" w:rsidRDefault="00677F9F">
            <w:pPr>
              <w:spacing w:before="40" w:after="40"/>
            </w:pPr>
            <w:r>
              <w:rPr>
                <w:sz w:val="16"/>
              </w:rPr>
              <w:t xml:space="preserve">Provides administrative and technical support, applies the </w:t>
            </w:r>
            <w:r>
              <w:rPr>
                <w:sz w:val="16"/>
              </w:rPr>
              <w:t>Radio Regulations, records and registers frequency assignments, and assists with harmful-interference resolution</w:t>
            </w:r>
          </w:p>
        </w:tc>
        <w:tc>
          <w:tcPr>
            <w:tcW w:w="3264" w:type="dxa"/>
            <w:vAlign w:val="center"/>
          </w:tcPr>
          <w:p w:rsidR="00207CC2" w:rsidRDefault="00677F9F">
            <w:pPr>
              <w:spacing w:before="40" w:after="40"/>
            </w:pPr>
            <w:r>
              <w:rPr>
                <w:sz w:val="16"/>
              </w:rPr>
              <w:t>Supports international coordination and helps address cross-border frequency conflicts</w:t>
            </w:r>
          </w:p>
        </w:tc>
      </w:tr>
    </w:tbl>
    <w:p w:rsidR="00207CC2" w:rsidRDefault="00207CC2"/>
    <w:p w:rsidR="00207CC2" w:rsidRDefault="00677F9F">
      <w:r>
        <w:t xml:space="preserve">These roles are complementary rather than </w:t>
      </w:r>
      <w:r>
        <w:t>interchangeable. ITU-R performs technical and preparatory work; WRC makes treaty-level regulatory decisions through its Member States; and the Radiocommunication Bureau supports implementation of the Radio Regulations and international coordination.</w:t>
      </w:r>
    </w:p>
    <w:p w:rsidR="00207CC2" w:rsidRDefault="00677F9F">
      <w:pPr>
        <w:pStyle w:val="Heading2"/>
      </w:pPr>
      <w:r>
        <w:t>8.1 Ef</w:t>
      </w:r>
      <w:r>
        <w:t>fect on National Regulators and Operators</w:t>
      </w:r>
    </w:p>
    <w:p w:rsidR="00207CC2" w:rsidRDefault="00677F9F">
      <w:r>
        <w:t>International decisions influence national regulators when they establish or revise the international allocation framework for radio services. National authorities then determine domestic band availability, licensi</w:t>
      </w:r>
      <w:r>
        <w:t>ng arrangements, emission limits, and other implementation conditions in accordance with applicable international obligations.</w:t>
      </w:r>
    </w:p>
    <w:p w:rsidR="00207CC2" w:rsidRDefault="00677F9F">
      <w:r>
        <w:t>For operators, this affects suitable spectrum availability, bandwidth and operating conditions, cross-border interference coordin</w:t>
      </w:r>
      <w:r>
        <w:t>ation, equipment harmonization, and the long-term availability of spectrum for future technologies.</w:t>
      </w:r>
    </w:p>
    <w:p w:rsidR="00207CC2" w:rsidRDefault="00677F9F">
      <w:r>
        <w:t>For India, the operator must confirm current domestic frequency-allocation and licensing conditions with the Department of Telecommunications and other rele</w:t>
      </w:r>
      <w:r>
        <w:t>vant national authorities before purchasing equipment or committing to deployment.</w:t>
      </w:r>
    </w:p>
    <w:p w:rsidR="00207CC2" w:rsidRDefault="00677F9F">
      <w:r>
        <w:t xml:space="preserve">The emerging 6G framework is another example of international coordination. ITU-R Recommendation M.2160 establishes the IMT-2030 framework for mobile systems for 2030 and </w:t>
      </w:r>
      <w:r>
        <w:lastRenderedPageBreak/>
        <w:t>be</w:t>
      </w:r>
      <w:r>
        <w:t>yond, providing a common basis for developing and evaluating future technologies. It does not mean that all proposed 6G frequency bands or technologies are already authorized for commercial operation.</w:t>
      </w:r>
    </w:p>
    <w:p w:rsidR="00207CC2" w:rsidRDefault="00677F9F">
      <w:pPr>
        <w:pStyle w:val="Heading1"/>
      </w:pPr>
      <w:r>
        <w:t>9. Integrated Deployment Recommendation</w:t>
      </w:r>
    </w:p>
    <w:p w:rsidR="00207CC2" w:rsidRDefault="00677F9F">
      <w:r>
        <w:t xml:space="preserve">The </w:t>
      </w:r>
      <w:r>
        <w:t>calculations indicate that the regional operator does not need to pursue indiscriminate site densification. Instead, the network should be expanded in stages, with each stage tied to measured coverage, capacity, and interference conditions.</w:t>
      </w:r>
    </w:p>
    <w:p w:rsidR="00207CC2" w:rsidRDefault="00677F9F">
      <w:pPr>
        <w:pStyle w:val="Heading2"/>
      </w:pPr>
      <w:r>
        <w:t>9.1 Proposed Ph</w:t>
      </w:r>
      <w:r>
        <w:t>ased Strategy</w:t>
      </w:r>
    </w:p>
    <w:p w:rsidR="00207CC2" w:rsidRDefault="00677F9F">
      <w:pPr>
        <w:pStyle w:val="Heading3"/>
      </w:pPr>
      <w:r>
        <w:t>Phase 1 — Establish the Coverage and Traffic Baseline</w:t>
      </w:r>
    </w:p>
    <w:p w:rsidR="00207CC2" w:rsidRDefault="00677F9F">
      <w:r>
        <w:t>Validate existing site locations, subscriber distribution, licensed spectrum, and radio coverage. Use 900 MHz for broad-area coverage where licensed and technically suitable. The hexagonal</w:t>
      </w:r>
      <w:r>
        <w:t xml:space="preserve"> calculation gives 10.392 km² per idealized cell and 197.45 km² for the 19-cell cluster, but these figures must be validated against actual terrain and coverage measurements.</w:t>
      </w:r>
    </w:p>
    <w:p w:rsidR="00207CC2" w:rsidRDefault="00677F9F">
      <w:pPr>
        <w:pStyle w:val="Heading3"/>
      </w:pPr>
      <w:r>
        <w:t>Phase 2 — Verify Capacity and Expand Selectively</w:t>
      </w:r>
    </w:p>
    <w:p w:rsidR="00207CC2" w:rsidRDefault="00677F9F">
      <w:r>
        <w:t>The offered busy-hour traffic is</w:t>
      </w:r>
      <w:r>
        <w:t xml:space="preserve"> 80 Erlangs. Erlang B indicates that 92 channels are sufficient for the 2% blocking target, while the supplied 100-channel group produces approximately 0.399% blocking. Retain the existing group if correctly provisioned and expand only where cell-level tra</w:t>
      </w:r>
      <w:r>
        <w:t>ffic measurements show congestion. Use sectoring first where appropriate, then microcells in high-demand areas.</w:t>
      </w:r>
    </w:p>
    <w:p w:rsidR="00207CC2" w:rsidRDefault="00677F9F">
      <w:pPr>
        <w:pStyle w:val="Heading3"/>
      </w:pPr>
      <w:r>
        <w:t>Phase 3 — Deploy 3.5 GHz for Broadband Capacity</w:t>
      </w:r>
    </w:p>
    <w:p w:rsidR="00207CC2" w:rsidRDefault="00677F9F">
      <w:r>
        <w:t>Introduce 3.5 GHz NR where spectrum is available and demand supports it. The calculated free-spa</w:t>
      </w:r>
      <w:r>
        <w:t>ce loss is 83.32 dB at 100 m, about 11.80 dB higher than at 900 MHz. Optimize antenna placement, MIMO, power, and handoff parameters to deliver the intended capacity without compromising coverage.</w:t>
      </w:r>
    </w:p>
    <w:p w:rsidR="00207CC2" w:rsidRDefault="00677F9F">
      <w:pPr>
        <w:pStyle w:val="Heading3"/>
      </w:pPr>
      <w:r>
        <w:t>Phase 4 — Optimize Mobility and Interference</w:t>
      </w:r>
    </w:p>
    <w:p w:rsidR="00207CC2" w:rsidRDefault="00677F9F">
      <w:r>
        <w:t>The nominal es</w:t>
      </w:r>
      <w:r>
        <w:t>timate is one handoff per minute at 60 km/h, with 100 m travelled during the overlap interval. Reduce interruption and drop risk through neighbor-cell optimization, handoff testing, and interference mitigation. The combined-interference SINR of 13.81 dB fa</w:t>
      </w:r>
      <w:r>
        <w:t>ils the 15 dB target, so interference must be reduced or the desired signal improved.</w:t>
      </w:r>
    </w:p>
    <w:p w:rsidR="00207CC2" w:rsidRDefault="00677F9F">
      <w:pPr>
        <w:pStyle w:val="Heading3"/>
      </w:pPr>
      <w:r>
        <w:t>Phase 5 — Add mmWave and Monitor 6G Developments</w:t>
      </w:r>
    </w:p>
    <w:p w:rsidR="00207CC2" w:rsidRDefault="00677F9F">
      <w:r>
        <w:t>Deploy 28 GHz selectively in high-traffic locations where site density, line of sight, antenna gain, and backhaul are sui</w:t>
      </w:r>
      <w:r>
        <w:t>table. Its calculated FSPL is 101.38 dB at 100 m, making the coverage trade-off significant. Track ITU-R’s IMT-2030 work, but treat THz and other 6G technologies as future planning considerations rather than immediate network requirements.</w:t>
      </w:r>
    </w:p>
    <w:p w:rsidR="00207CC2" w:rsidRDefault="00677F9F">
      <w:pPr>
        <w:pStyle w:val="Heading2"/>
      </w:pPr>
      <w:r>
        <w:lastRenderedPageBreak/>
        <w:t>9.2 Consolidated</w:t>
      </w:r>
      <w:r>
        <w:t xml:space="preserve"> Engineering Results</w:t>
      </w:r>
    </w:p>
    <w:tbl>
      <w:tblPr>
        <w:tblStyle w:val="TableGrid"/>
        <w:tblW w:w="0" w:type="auto"/>
        <w:jc w:val="center"/>
        <w:tblLook w:val="04A0" w:firstRow="1" w:lastRow="0" w:firstColumn="1" w:lastColumn="0" w:noHBand="0" w:noVBand="1"/>
      </w:tblPr>
      <w:tblGrid>
        <w:gridCol w:w="3260"/>
        <w:gridCol w:w="3261"/>
        <w:gridCol w:w="3261"/>
      </w:tblGrid>
      <w:tr w:rsidR="00207CC2">
        <w:trPr>
          <w:jc w:val="center"/>
        </w:trPr>
        <w:tc>
          <w:tcPr>
            <w:tcW w:w="3264" w:type="dxa"/>
            <w:shd w:val="clear" w:color="auto" w:fill="D9E1F2"/>
            <w:vAlign w:val="center"/>
          </w:tcPr>
          <w:p w:rsidR="00207CC2" w:rsidRDefault="00677F9F">
            <w:pPr>
              <w:spacing w:before="40" w:after="40"/>
            </w:pPr>
            <w:r>
              <w:rPr>
                <w:b/>
                <w:sz w:val="16"/>
              </w:rPr>
              <w:t>Design parameter</w:t>
            </w:r>
          </w:p>
        </w:tc>
        <w:tc>
          <w:tcPr>
            <w:tcW w:w="3264" w:type="dxa"/>
            <w:shd w:val="clear" w:color="auto" w:fill="D9E1F2"/>
            <w:vAlign w:val="center"/>
          </w:tcPr>
          <w:p w:rsidR="00207CC2" w:rsidRDefault="00677F9F">
            <w:pPr>
              <w:spacing w:before="40" w:after="40"/>
            </w:pPr>
            <w:r>
              <w:rPr>
                <w:b/>
                <w:sz w:val="16"/>
              </w:rPr>
              <w:t>Calculated result</w:t>
            </w:r>
          </w:p>
        </w:tc>
        <w:tc>
          <w:tcPr>
            <w:tcW w:w="3264" w:type="dxa"/>
            <w:shd w:val="clear" w:color="auto" w:fill="D9E1F2"/>
            <w:vAlign w:val="center"/>
          </w:tcPr>
          <w:p w:rsidR="00207CC2" w:rsidRDefault="00677F9F">
            <w:pPr>
              <w:spacing w:before="40" w:after="40"/>
            </w:pPr>
            <w:r>
              <w:rPr>
                <w:b/>
                <w:sz w:val="16"/>
              </w:rPr>
              <w:t>Engineering decision</w:t>
            </w:r>
          </w:p>
        </w:tc>
      </w:tr>
      <w:tr w:rsidR="00207CC2">
        <w:trPr>
          <w:jc w:val="center"/>
        </w:trPr>
        <w:tc>
          <w:tcPr>
            <w:tcW w:w="3264" w:type="dxa"/>
            <w:vAlign w:val="center"/>
          </w:tcPr>
          <w:p w:rsidR="00207CC2" w:rsidRDefault="00677F9F">
            <w:pPr>
              <w:spacing w:before="40" w:after="40"/>
            </w:pPr>
            <w:r>
              <w:rPr>
                <w:sz w:val="16"/>
              </w:rPr>
              <w:t>Single hexagonal cell area</w:t>
            </w:r>
          </w:p>
        </w:tc>
        <w:tc>
          <w:tcPr>
            <w:tcW w:w="3264" w:type="dxa"/>
            <w:vAlign w:val="center"/>
          </w:tcPr>
          <w:p w:rsidR="00207CC2" w:rsidRDefault="00677F9F">
            <w:pPr>
              <w:spacing w:before="40" w:after="40"/>
            </w:pPr>
            <w:r>
              <w:rPr>
                <w:sz w:val="16"/>
              </w:rPr>
              <w:t>10.392 km²</w:t>
            </w:r>
          </w:p>
        </w:tc>
        <w:tc>
          <w:tcPr>
            <w:tcW w:w="3264" w:type="dxa"/>
            <w:vAlign w:val="center"/>
          </w:tcPr>
          <w:p w:rsidR="00207CC2" w:rsidRDefault="00677F9F">
            <w:pPr>
              <w:spacing w:before="40" w:after="40"/>
            </w:pPr>
            <w:r>
              <w:rPr>
                <w:sz w:val="16"/>
              </w:rPr>
              <w:t>Use as an idealized planning estimate</w:t>
            </w:r>
          </w:p>
        </w:tc>
      </w:tr>
      <w:tr w:rsidR="00207CC2">
        <w:trPr>
          <w:jc w:val="center"/>
        </w:trPr>
        <w:tc>
          <w:tcPr>
            <w:tcW w:w="3264" w:type="dxa"/>
            <w:vAlign w:val="center"/>
          </w:tcPr>
          <w:p w:rsidR="00207CC2" w:rsidRDefault="00677F9F">
            <w:pPr>
              <w:spacing w:before="40" w:after="40"/>
            </w:pPr>
            <w:r>
              <w:rPr>
                <w:sz w:val="16"/>
              </w:rPr>
              <w:t>19-cell cluster area</w:t>
            </w:r>
          </w:p>
        </w:tc>
        <w:tc>
          <w:tcPr>
            <w:tcW w:w="3264" w:type="dxa"/>
            <w:vAlign w:val="center"/>
          </w:tcPr>
          <w:p w:rsidR="00207CC2" w:rsidRDefault="00677F9F">
            <w:pPr>
              <w:spacing w:before="40" w:after="40"/>
            </w:pPr>
            <w:r>
              <w:rPr>
                <w:sz w:val="16"/>
              </w:rPr>
              <w:t>197.45 km²</w:t>
            </w:r>
          </w:p>
        </w:tc>
        <w:tc>
          <w:tcPr>
            <w:tcW w:w="3264" w:type="dxa"/>
            <w:vAlign w:val="center"/>
          </w:tcPr>
          <w:p w:rsidR="00207CC2" w:rsidRDefault="00677F9F">
            <w:pPr>
              <w:spacing w:before="40" w:after="40"/>
            </w:pPr>
            <w:r>
              <w:rPr>
                <w:sz w:val="16"/>
              </w:rPr>
              <w:t>Validate against actual coverage and terrain</w:t>
            </w:r>
          </w:p>
        </w:tc>
      </w:tr>
      <w:tr w:rsidR="00207CC2">
        <w:trPr>
          <w:jc w:val="center"/>
        </w:trPr>
        <w:tc>
          <w:tcPr>
            <w:tcW w:w="3264" w:type="dxa"/>
            <w:vAlign w:val="center"/>
          </w:tcPr>
          <w:p w:rsidR="00207CC2" w:rsidRDefault="00677F9F">
            <w:pPr>
              <w:spacing w:before="40" w:after="40"/>
            </w:pPr>
            <w:r>
              <w:rPr>
                <w:sz w:val="16"/>
              </w:rPr>
              <w:t>Frequency reuse fractio</w:t>
            </w:r>
            <w:r>
              <w:rPr>
                <w:sz w:val="16"/>
              </w:rPr>
              <w:t>n</w:t>
            </w:r>
          </w:p>
        </w:tc>
        <w:tc>
          <w:tcPr>
            <w:tcW w:w="3264" w:type="dxa"/>
            <w:vAlign w:val="center"/>
          </w:tcPr>
          <w:p w:rsidR="00207CC2" w:rsidRDefault="00677F9F">
            <w:pPr>
              <w:spacing w:before="40" w:after="40"/>
            </w:pPr>
            <w:r>
              <w:rPr>
                <w:sz w:val="16"/>
              </w:rPr>
              <w:t>14.29%</w:t>
            </w:r>
          </w:p>
        </w:tc>
        <w:tc>
          <w:tcPr>
            <w:tcW w:w="3264" w:type="dxa"/>
            <w:vAlign w:val="center"/>
          </w:tcPr>
          <w:p w:rsidR="00207CC2" w:rsidRDefault="00677F9F">
            <w:pPr>
              <w:spacing w:before="40" w:after="40"/>
            </w:pPr>
            <w:r>
              <w:rPr>
                <w:sz w:val="16"/>
              </w:rPr>
              <w:t>Evaluate the assumed seven-cell reuse plan</w:t>
            </w:r>
          </w:p>
        </w:tc>
      </w:tr>
      <w:tr w:rsidR="00207CC2">
        <w:trPr>
          <w:jc w:val="center"/>
        </w:trPr>
        <w:tc>
          <w:tcPr>
            <w:tcW w:w="3264" w:type="dxa"/>
            <w:vAlign w:val="center"/>
          </w:tcPr>
          <w:p w:rsidR="00207CC2" w:rsidRDefault="00677F9F">
            <w:pPr>
              <w:spacing w:before="40" w:after="40"/>
            </w:pPr>
            <w:r>
              <w:rPr>
                <w:sz w:val="16"/>
              </w:rPr>
              <w:t>Reuse distance</w:t>
            </w:r>
          </w:p>
        </w:tc>
        <w:tc>
          <w:tcPr>
            <w:tcW w:w="3264" w:type="dxa"/>
            <w:vAlign w:val="center"/>
          </w:tcPr>
          <w:p w:rsidR="00207CC2" w:rsidRDefault="00677F9F">
            <w:pPr>
              <w:spacing w:before="40" w:after="40"/>
            </w:pPr>
            <w:r>
              <w:rPr>
                <w:sz w:val="16"/>
              </w:rPr>
              <w:t>9.17 km</w:t>
            </w:r>
          </w:p>
        </w:tc>
        <w:tc>
          <w:tcPr>
            <w:tcW w:w="3264" w:type="dxa"/>
            <w:vAlign w:val="center"/>
          </w:tcPr>
          <w:p w:rsidR="00207CC2" w:rsidRDefault="00677F9F">
            <w:pPr>
              <w:spacing w:before="40" w:after="40"/>
            </w:pPr>
            <w:r>
              <w:rPr>
                <w:sz w:val="16"/>
              </w:rPr>
              <w:t>Check actual co-channel interference</w:t>
            </w:r>
          </w:p>
        </w:tc>
      </w:tr>
      <w:tr w:rsidR="00207CC2">
        <w:trPr>
          <w:jc w:val="center"/>
        </w:trPr>
        <w:tc>
          <w:tcPr>
            <w:tcW w:w="3264" w:type="dxa"/>
            <w:vAlign w:val="center"/>
          </w:tcPr>
          <w:p w:rsidR="00207CC2" w:rsidRDefault="00677F9F">
            <w:pPr>
              <w:spacing w:before="40" w:after="40"/>
            </w:pPr>
            <w:r>
              <w:rPr>
                <w:sz w:val="16"/>
              </w:rPr>
              <w:t>Busy-hour offered traffic</w:t>
            </w:r>
          </w:p>
        </w:tc>
        <w:tc>
          <w:tcPr>
            <w:tcW w:w="3264" w:type="dxa"/>
            <w:vAlign w:val="center"/>
          </w:tcPr>
          <w:p w:rsidR="00207CC2" w:rsidRDefault="00677F9F">
            <w:pPr>
              <w:spacing w:before="40" w:after="40"/>
            </w:pPr>
            <w:r>
              <w:rPr>
                <w:sz w:val="16"/>
              </w:rPr>
              <w:t>80 Erlangs</w:t>
            </w:r>
          </w:p>
        </w:tc>
        <w:tc>
          <w:tcPr>
            <w:tcW w:w="3264" w:type="dxa"/>
            <w:vAlign w:val="center"/>
          </w:tcPr>
          <w:p w:rsidR="00207CC2" w:rsidRDefault="00677F9F">
            <w:pPr>
              <w:spacing w:before="40" w:after="40"/>
            </w:pPr>
            <w:r>
              <w:rPr>
                <w:sz w:val="16"/>
              </w:rPr>
              <w:t>Use for first-order channel planning</w:t>
            </w:r>
          </w:p>
        </w:tc>
      </w:tr>
      <w:tr w:rsidR="00207CC2">
        <w:trPr>
          <w:jc w:val="center"/>
        </w:trPr>
        <w:tc>
          <w:tcPr>
            <w:tcW w:w="3264" w:type="dxa"/>
            <w:vAlign w:val="center"/>
          </w:tcPr>
          <w:p w:rsidR="00207CC2" w:rsidRDefault="00677F9F">
            <w:pPr>
              <w:spacing w:before="40" w:after="40"/>
            </w:pPr>
            <w:r>
              <w:rPr>
                <w:sz w:val="16"/>
              </w:rPr>
              <w:t>Blocking with 100 channels</w:t>
            </w:r>
          </w:p>
        </w:tc>
        <w:tc>
          <w:tcPr>
            <w:tcW w:w="3264" w:type="dxa"/>
            <w:vAlign w:val="center"/>
          </w:tcPr>
          <w:p w:rsidR="00207CC2" w:rsidRDefault="00677F9F">
            <w:pPr>
              <w:spacing w:before="40" w:after="40"/>
            </w:pPr>
            <w:r>
              <w:rPr>
                <w:sz w:val="16"/>
              </w:rPr>
              <w:t>0.3992%</w:t>
            </w:r>
          </w:p>
        </w:tc>
        <w:tc>
          <w:tcPr>
            <w:tcW w:w="3264" w:type="dxa"/>
            <w:vAlign w:val="center"/>
          </w:tcPr>
          <w:p w:rsidR="00207CC2" w:rsidRDefault="00677F9F">
            <w:pPr>
              <w:spacing w:before="40" w:after="40"/>
            </w:pPr>
            <w:r>
              <w:rPr>
                <w:sz w:val="16"/>
              </w:rPr>
              <w:t>Meets 2% target under the model</w:t>
            </w:r>
          </w:p>
        </w:tc>
      </w:tr>
      <w:tr w:rsidR="00207CC2">
        <w:trPr>
          <w:jc w:val="center"/>
        </w:trPr>
        <w:tc>
          <w:tcPr>
            <w:tcW w:w="3264" w:type="dxa"/>
            <w:vAlign w:val="center"/>
          </w:tcPr>
          <w:p w:rsidR="00207CC2" w:rsidRDefault="00677F9F">
            <w:pPr>
              <w:spacing w:before="40" w:after="40"/>
            </w:pPr>
            <w:r>
              <w:rPr>
                <w:sz w:val="16"/>
              </w:rPr>
              <w:t>Minimum channels for 2% blocking</w:t>
            </w:r>
          </w:p>
        </w:tc>
        <w:tc>
          <w:tcPr>
            <w:tcW w:w="3264" w:type="dxa"/>
            <w:vAlign w:val="center"/>
          </w:tcPr>
          <w:p w:rsidR="00207CC2" w:rsidRDefault="00677F9F">
            <w:pPr>
              <w:spacing w:before="40" w:after="40"/>
            </w:pPr>
            <w:r>
              <w:rPr>
                <w:sz w:val="16"/>
              </w:rPr>
              <w:t>92</w:t>
            </w:r>
          </w:p>
        </w:tc>
        <w:tc>
          <w:tcPr>
            <w:tcW w:w="3264" w:type="dxa"/>
            <w:vAlign w:val="center"/>
          </w:tcPr>
          <w:p w:rsidR="00207CC2" w:rsidRDefault="00677F9F">
            <w:pPr>
              <w:spacing w:before="40" w:after="40"/>
            </w:pPr>
            <w:r>
              <w:rPr>
                <w:sz w:val="16"/>
              </w:rPr>
              <w:t>One 100-channel group is sufficient for the aggregate pool</w:t>
            </w:r>
          </w:p>
        </w:tc>
      </w:tr>
      <w:tr w:rsidR="00207CC2">
        <w:trPr>
          <w:jc w:val="center"/>
        </w:trPr>
        <w:tc>
          <w:tcPr>
            <w:tcW w:w="3264" w:type="dxa"/>
            <w:vAlign w:val="center"/>
          </w:tcPr>
          <w:p w:rsidR="00207CC2" w:rsidRDefault="00677F9F">
            <w:pPr>
              <w:spacing w:before="40" w:after="40"/>
            </w:pPr>
            <w:r>
              <w:rPr>
                <w:sz w:val="16"/>
              </w:rPr>
              <w:t>Distance in six-second overlap</w:t>
            </w:r>
          </w:p>
        </w:tc>
        <w:tc>
          <w:tcPr>
            <w:tcW w:w="3264" w:type="dxa"/>
            <w:vAlign w:val="center"/>
          </w:tcPr>
          <w:p w:rsidR="00207CC2" w:rsidRDefault="00677F9F">
            <w:pPr>
              <w:spacing w:before="40" w:after="40"/>
            </w:pPr>
            <w:r>
              <w:rPr>
                <w:sz w:val="16"/>
              </w:rPr>
              <w:t>100 m</w:t>
            </w:r>
          </w:p>
        </w:tc>
        <w:tc>
          <w:tcPr>
            <w:tcW w:w="3264" w:type="dxa"/>
            <w:vAlign w:val="center"/>
          </w:tcPr>
          <w:p w:rsidR="00207CC2" w:rsidRDefault="00677F9F">
            <w:pPr>
              <w:spacing w:before="40" w:after="40"/>
            </w:pPr>
            <w:r>
              <w:rPr>
                <w:sz w:val="16"/>
              </w:rPr>
              <w:t>Validate handoff timing and target-cell preparation</w:t>
            </w:r>
          </w:p>
        </w:tc>
      </w:tr>
      <w:tr w:rsidR="00207CC2">
        <w:trPr>
          <w:jc w:val="center"/>
        </w:trPr>
        <w:tc>
          <w:tcPr>
            <w:tcW w:w="3264" w:type="dxa"/>
            <w:vAlign w:val="center"/>
          </w:tcPr>
          <w:p w:rsidR="00207CC2" w:rsidRDefault="00677F9F">
            <w:pPr>
              <w:spacing w:before="40" w:after="40"/>
            </w:pPr>
            <w:r>
              <w:rPr>
                <w:sz w:val="16"/>
              </w:rPr>
              <w:t>Nominal handoffs per minute</w:t>
            </w:r>
          </w:p>
        </w:tc>
        <w:tc>
          <w:tcPr>
            <w:tcW w:w="3264" w:type="dxa"/>
            <w:vAlign w:val="center"/>
          </w:tcPr>
          <w:p w:rsidR="00207CC2" w:rsidRDefault="00677F9F">
            <w:pPr>
              <w:spacing w:before="40" w:after="40"/>
            </w:pPr>
            <w:r>
              <w:rPr>
                <w:sz w:val="16"/>
              </w:rPr>
              <w:t>1</w:t>
            </w:r>
          </w:p>
        </w:tc>
        <w:tc>
          <w:tcPr>
            <w:tcW w:w="3264" w:type="dxa"/>
            <w:vAlign w:val="center"/>
          </w:tcPr>
          <w:p w:rsidR="00207CC2" w:rsidRDefault="00677F9F">
            <w:pPr>
              <w:spacing w:before="40" w:after="40"/>
            </w:pPr>
            <w:r>
              <w:rPr>
                <w:sz w:val="16"/>
              </w:rPr>
              <w:t>Optimize mobility using route measureme</w:t>
            </w:r>
            <w:r>
              <w:rPr>
                <w:sz w:val="16"/>
              </w:rPr>
              <w:t>nts</w:t>
            </w:r>
          </w:p>
        </w:tc>
      </w:tr>
      <w:tr w:rsidR="00207CC2">
        <w:trPr>
          <w:jc w:val="center"/>
        </w:trPr>
        <w:tc>
          <w:tcPr>
            <w:tcW w:w="3264" w:type="dxa"/>
            <w:vAlign w:val="center"/>
          </w:tcPr>
          <w:p w:rsidR="00207CC2" w:rsidRDefault="00677F9F">
            <w:pPr>
              <w:spacing w:before="40" w:after="40"/>
            </w:pPr>
            <w:r>
              <w:rPr>
                <w:sz w:val="16"/>
              </w:rPr>
              <w:t>Combined interference</w:t>
            </w:r>
          </w:p>
        </w:tc>
        <w:tc>
          <w:tcPr>
            <w:tcW w:w="3264" w:type="dxa"/>
            <w:vAlign w:val="center"/>
          </w:tcPr>
          <w:p w:rsidR="00207CC2" w:rsidRDefault="00677F9F">
            <w:pPr>
              <w:spacing w:before="40" w:after="40"/>
            </w:pPr>
            <w:r>
              <w:rPr>
                <w:sz w:val="16"/>
              </w:rPr>
              <w:t>−83.81 dBm</w:t>
            </w:r>
          </w:p>
        </w:tc>
        <w:tc>
          <w:tcPr>
            <w:tcW w:w="3264" w:type="dxa"/>
            <w:vAlign w:val="center"/>
          </w:tcPr>
          <w:p w:rsidR="00207CC2" w:rsidRDefault="00677F9F">
            <w:pPr>
              <w:spacing w:before="40" w:after="40"/>
            </w:pPr>
            <w:r>
              <w:rPr>
                <w:sz w:val="16"/>
              </w:rPr>
              <w:t>Reduce unwanted interference or improve the desired signal</w:t>
            </w:r>
          </w:p>
        </w:tc>
      </w:tr>
      <w:tr w:rsidR="00207CC2">
        <w:trPr>
          <w:jc w:val="center"/>
        </w:trPr>
        <w:tc>
          <w:tcPr>
            <w:tcW w:w="3264" w:type="dxa"/>
            <w:vAlign w:val="center"/>
          </w:tcPr>
          <w:p w:rsidR="00207CC2" w:rsidRDefault="00677F9F">
            <w:pPr>
              <w:spacing w:before="40" w:after="40"/>
            </w:pPr>
            <w:r>
              <w:rPr>
                <w:sz w:val="16"/>
              </w:rPr>
              <w:t>Interference-limited SINR</w:t>
            </w:r>
          </w:p>
        </w:tc>
        <w:tc>
          <w:tcPr>
            <w:tcW w:w="3264" w:type="dxa"/>
            <w:vAlign w:val="center"/>
          </w:tcPr>
          <w:p w:rsidR="00207CC2" w:rsidRDefault="00677F9F">
            <w:pPr>
              <w:spacing w:before="40" w:after="40"/>
            </w:pPr>
            <w:r>
              <w:rPr>
                <w:sz w:val="16"/>
              </w:rPr>
              <w:t>13.81 dB</w:t>
            </w:r>
          </w:p>
        </w:tc>
        <w:tc>
          <w:tcPr>
            <w:tcW w:w="3264" w:type="dxa"/>
            <w:vAlign w:val="center"/>
          </w:tcPr>
          <w:p w:rsidR="00207CC2" w:rsidRDefault="00677F9F">
            <w:pPr>
              <w:spacing w:before="40" w:after="40"/>
            </w:pPr>
            <w:r>
              <w:rPr>
                <w:sz w:val="16"/>
              </w:rPr>
              <w:t>Does not meet the 15 dB target</w:t>
            </w:r>
          </w:p>
        </w:tc>
      </w:tr>
      <w:tr w:rsidR="00207CC2">
        <w:trPr>
          <w:jc w:val="center"/>
        </w:trPr>
        <w:tc>
          <w:tcPr>
            <w:tcW w:w="3264" w:type="dxa"/>
            <w:vAlign w:val="center"/>
          </w:tcPr>
          <w:p w:rsidR="00207CC2" w:rsidRDefault="00677F9F">
            <w:pPr>
              <w:spacing w:before="40" w:after="40"/>
            </w:pPr>
            <w:r>
              <w:rPr>
                <w:sz w:val="16"/>
              </w:rPr>
              <w:t>FSPL at 900 MHz</w:t>
            </w:r>
          </w:p>
        </w:tc>
        <w:tc>
          <w:tcPr>
            <w:tcW w:w="3264" w:type="dxa"/>
            <w:vAlign w:val="center"/>
          </w:tcPr>
          <w:p w:rsidR="00207CC2" w:rsidRDefault="00677F9F">
            <w:pPr>
              <w:spacing w:before="40" w:after="40"/>
            </w:pPr>
            <w:r>
              <w:rPr>
                <w:sz w:val="16"/>
              </w:rPr>
              <w:t>71.53 dB</w:t>
            </w:r>
          </w:p>
        </w:tc>
        <w:tc>
          <w:tcPr>
            <w:tcW w:w="3264" w:type="dxa"/>
            <w:vAlign w:val="center"/>
          </w:tcPr>
          <w:p w:rsidR="00207CC2" w:rsidRDefault="00677F9F">
            <w:pPr>
              <w:spacing w:before="40" w:after="40"/>
            </w:pPr>
            <w:r>
              <w:rPr>
                <w:sz w:val="16"/>
              </w:rPr>
              <w:t>Favor broad-area coverage</w:t>
            </w:r>
          </w:p>
        </w:tc>
      </w:tr>
      <w:tr w:rsidR="00207CC2">
        <w:trPr>
          <w:jc w:val="center"/>
        </w:trPr>
        <w:tc>
          <w:tcPr>
            <w:tcW w:w="3264" w:type="dxa"/>
            <w:vAlign w:val="center"/>
          </w:tcPr>
          <w:p w:rsidR="00207CC2" w:rsidRDefault="00677F9F">
            <w:pPr>
              <w:spacing w:before="40" w:after="40"/>
            </w:pPr>
            <w:r>
              <w:rPr>
                <w:sz w:val="16"/>
              </w:rPr>
              <w:t>FSPL at 3.5 GHz</w:t>
            </w:r>
          </w:p>
        </w:tc>
        <w:tc>
          <w:tcPr>
            <w:tcW w:w="3264" w:type="dxa"/>
            <w:vAlign w:val="center"/>
          </w:tcPr>
          <w:p w:rsidR="00207CC2" w:rsidRDefault="00677F9F">
            <w:pPr>
              <w:spacing w:before="40" w:after="40"/>
            </w:pPr>
            <w:r>
              <w:rPr>
                <w:sz w:val="16"/>
              </w:rPr>
              <w:t>83.32 dB</w:t>
            </w:r>
          </w:p>
        </w:tc>
        <w:tc>
          <w:tcPr>
            <w:tcW w:w="3264" w:type="dxa"/>
            <w:vAlign w:val="center"/>
          </w:tcPr>
          <w:p w:rsidR="00207CC2" w:rsidRDefault="00677F9F">
            <w:pPr>
              <w:spacing w:before="40" w:after="40"/>
            </w:pPr>
            <w:r>
              <w:rPr>
                <w:sz w:val="16"/>
              </w:rPr>
              <w:t>Favor the main</w:t>
            </w:r>
            <w:r>
              <w:rPr>
                <w:sz w:val="16"/>
              </w:rPr>
              <w:t xml:space="preserve"> broadband-capacity layer</w:t>
            </w:r>
          </w:p>
        </w:tc>
      </w:tr>
      <w:tr w:rsidR="00207CC2">
        <w:trPr>
          <w:jc w:val="center"/>
        </w:trPr>
        <w:tc>
          <w:tcPr>
            <w:tcW w:w="3264" w:type="dxa"/>
            <w:vAlign w:val="center"/>
          </w:tcPr>
          <w:p w:rsidR="00207CC2" w:rsidRDefault="00677F9F">
            <w:pPr>
              <w:spacing w:before="40" w:after="40"/>
            </w:pPr>
            <w:r>
              <w:rPr>
                <w:sz w:val="16"/>
              </w:rPr>
              <w:t>FSPL at 28 GHz</w:t>
            </w:r>
          </w:p>
        </w:tc>
        <w:tc>
          <w:tcPr>
            <w:tcW w:w="3264" w:type="dxa"/>
            <w:vAlign w:val="center"/>
          </w:tcPr>
          <w:p w:rsidR="00207CC2" w:rsidRDefault="00677F9F">
            <w:pPr>
              <w:spacing w:before="40" w:after="40"/>
            </w:pPr>
            <w:r>
              <w:rPr>
                <w:sz w:val="16"/>
              </w:rPr>
              <w:t>101.38 dB</w:t>
            </w:r>
          </w:p>
        </w:tc>
        <w:tc>
          <w:tcPr>
            <w:tcW w:w="3264" w:type="dxa"/>
            <w:vAlign w:val="center"/>
          </w:tcPr>
          <w:p w:rsidR="00207CC2" w:rsidRDefault="00677F9F">
            <w:pPr>
              <w:spacing w:before="40" w:after="40"/>
            </w:pPr>
            <w:r>
              <w:rPr>
                <w:sz w:val="16"/>
              </w:rPr>
              <w:t>Reserve for selected high-capacity hotspots</w:t>
            </w:r>
          </w:p>
        </w:tc>
      </w:tr>
    </w:tbl>
    <w:p w:rsidR="00207CC2" w:rsidRDefault="00207CC2"/>
    <w:p w:rsidR="00207CC2" w:rsidRDefault="00677F9F">
      <w:pPr>
        <w:pStyle w:val="Heading2"/>
      </w:pPr>
      <w:r>
        <w:t>9.3 Assumptions and Uncertainties to Resolve Before Deployment</w:t>
      </w:r>
    </w:p>
    <w:p w:rsidR="00207CC2" w:rsidRDefault="00677F9F">
      <w:pPr>
        <w:pStyle w:val="ListNumber"/>
        <w:spacing w:after="60"/>
      </w:pPr>
      <w:r>
        <w:t xml:space="preserve">Cell geometry: The hexagonal model assumes regular cells and uniform coverage. Actual terrain, </w:t>
      </w:r>
      <w:r>
        <w:t>buildings, antenna heights, and propagation conditions will change the usable coverage area.</w:t>
      </w:r>
    </w:p>
    <w:p w:rsidR="00207CC2" w:rsidRDefault="00677F9F">
      <w:pPr>
        <w:pStyle w:val="ListNumber"/>
        <w:spacing w:after="60"/>
      </w:pPr>
      <w:r>
        <w:t>Frequency reuse: The seven-cell reuse pattern is supplied as a planning assumption. The interference calculation must be checked against the actual channel plan, a</w:t>
      </w:r>
      <w:r>
        <w:t>ntenna patterns, and deployed technology.</w:t>
      </w:r>
    </w:p>
    <w:p w:rsidR="00207CC2" w:rsidRDefault="00677F9F">
      <w:pPr>
        <w:pStyle w:val="ListNumber"/>
        <w:spacing w:after="60"/>
      </w:pPr>
      <w:r>
        <w:t>Traffic distribution: The Erlang B calculation assumes 80 Erlangs offered to one modeled traffic pool. Real traffic is distributed across sites and sectors, so individual cells may require different channel counts.</w:t>
      </w:r>
    </w:p>
    <w:p w:rsidR="00207CC2" w:rsidRDefault="00677F9F">
      <w:pPr>
        <w:pStyle w:val="ListNumber"/>
        <w:spacing w:after="60"/>
      </w:pPr>
      <w:r>
        <w:t>Handoff behavior: The one-kilometre route length is interpreted as the distance between successive handoff boundaries. The assumed six-second overlap and 0.5-second interruption must be validated with real mobility measurements.</w:t>
      </w:r>
    </w:p>
    <w:p w:rsidR="00207CC2" w:rsidRDefault="00677F9F">
      <w:pPr>
        <w:pStyle w:val="ListNumber"/>
        <w:spacing w:after="60"/>
      </w:pPr>
      <w:r>
        <w:t>Call-drop estimate: The 1%</w:t>
      </w:r>
      <w:r>
        <w:t xml:space="preserve"> unavailability figure is treated as the probability that the target is unavailable at handoff. Actual drop probability also depends on radio quality, handoff execution, and failure correlations.</w:t>
      </w:r>
    </w:p>
    <w:p w:rsidR="00207CC2" w:rsidRDefault="00677F9F">
      <w:pPr>
        <w:pStyle w:val="ListNumber"/>
        <w:spacing w:after="60"/>
      </w:pPr>
      <w:r>
        <w:t xml:space="preserve">Interference and SINR: No separate receiver-noise power was </w:t>
      </w:r>
      <w:r>
        <w:t>supplied. The calculated 13.81 dB is interference-limited; actual SINR may be lower when receiver noise is included.</w:t>
      </w:r>
    </w:p>
    <w:p w:rsidR="00207CC2" w:rsidRDefault="00677F9F">
      <w:pPr>
        <w:pStyle w:val="ListNumber"/>
        <w:spacing w:after="60"/>
      </w:pPr>
      <w:r>
        <w:t>Spectrum and licensing: The calculations assume that the proposed bands can be used with suitable bandwidth, equipment, and authorizations.</w:t>
      </w:r>
      <w:r>
        <w:t xml:space="preserve"> National allocation and licensing conditions must be confirmed before deployment.</w:t>
      </w:r>
    </w:p>
    <w:p w:rsidR="00207CC2" w:rsidRDefault="00677F9F">
      <w:pPr>
        <w:pStyle w:val="ListNumber"/>
        <w:spacing w:after="60"/>
      </w:pPr>
      <w:r>
        <w:t>Future technologies: The 6G vision is not a substitute for demonstrated service requirements. Investment in future systems should follow standards development, technology tr</w:t>
      </w:r>
      <w:r>
        <w:t>ials, and verified business needs.</w:t>
      </w:r>
    </w:p>
    <w:p w:rsidR="00207CC2" w:rsidRDefault="00677F9F">
      <w:pPr>
        <w:pStyle w:val="Heading1"/>
      </w:pPr>
      <w:r>
        <w:lastRenderedPageBreak/>
        <w:t>10. Conclusion</w:t>
      </w:r>
    </w:p>
    <w:p w:rsidR="00207CC2" w:rsidRDefault="00677F9F">
      <w:r>
        <w:t>The proposed regional network strategy should combine broad-area coverage, selective capacity expansion, and careful interference and mobility management rather than relying on a single technology or freque</w:t>
      </w:r>
      <w:r>
        <w:t>ncy band.</w:t>
      </w:r>
    </w:p>
    <w:p w:rsidR="00207CC2" w:rsidRDefault="00677F9F">
      <w:r>
        <w:t>The idealized geometry gives a cell area of 10.392 km², a 19-cell cluster area of 197.45 km², and a reuse distance of 9.17 km for the supplied seven-cell reuse pattern. Traffic analysis indicates that the 80-Erlang demand can be served by 92 chan</w:t>
      </w:r>
      <w:r>
        <w:t>nels at the specified blocking target, and the existing 100-channel group is adequate for the modeled aggregate pool. However, cell-by-cell demand and coverage must be established before translating this result into a physical site plan.</w:t>
      </w:r>
    </w:p>
    <w:p w:rsidR="00207CC2" w:rsidRDefault="00677F9F">
      <w:r>
        <w:t>The mobility analy</w:t>
      </w:r>
      <w:r>
        <w:t>sis estimates one handoff per minute and 100 m of travel during the overlap interval. This makes reliable neighbor-cell preparation and short interruption times important design considerations. Interference analysis reveals a more immediate performance iss</w:t>
      </w:r>
      <w:r>
        <w:t>ue: combined co-channel and adjacent-channel interference produces an SINR of approximately 13.81 dB, below the 15 dB requirement. Antenna optimization, power adjustment, and coordinated frequency planning should therefore be prioritized.</w:t>
      </w:r>
    </w:p>
    <w:p w:rsidR="00207CC2" w:rsidRDefault="00677F9F">
      <w:r>
        <w:t>Finally, the spec</w:t>
      </w:r>
      <w:r>
        <w:t>trum comparison supports a layered deployment: 900 MHz for broad coverage, 3.5 GHz for the main broadband-capacity layer, and 28 GHz for selected high-demand locations. International spectrum coordination must guide these choices, while the 6G vision shoul</w:t>
      </w:r>
      <w:r>
        <w:t>d remain part of long-term planning rather than the immediate implementation baseline.</w:t>
      </w:r>
    </w:p>
    <w:p w:rsidR="00207CC2" w:rsidRDefault="00677F9F">
      <w:r>
        <w:t>The recommended approach is consequently to measure first, optimize existing resources, expand capacity where demand is demonstrated, and introduce higher-frequency tech</w:t>
      </w:r>
      <w:r>
        <w:t>nologies selectively. This approach connects the calculated requirements to practical engineering constraints and reduces the risk of investing in coverage, capacity, or technology that the actual network does not need.</w:t>
      </w:r>
    </w:p>
    <w:p w:rsidR="00207CC2" w:rsidRDefault="00677F9F">
      <w:pPr>
        <w:pStyle w:val="Heading1"/>
      </w:pPr>
      <w:r>
        <w:t>References</w:t>
      </w:r>
    </w:p>
    <w:p w:rsidR="00207CC2" w:rsidRDefault="00677F9F">
      <w:pPr>
        <w:pStyle w:val="ListNumber"/>
        <w:spacing w:after="100"/>
      </w:pPr>
      <w:r>
        <w:t>International Telecommuni</w:t>
      </w:r>
      <w:r>
        <w:t>cation Union, “M.2160: Framework and overall objectives of the future development of IMT for 2030 and beyond,” Recommendation ITU-R M.2160-0, Nov. 2023. Available: https://www.itu.int/rec/R-REC-M.2160</w:t>
      </w:r>
    </w:p>
    <w:p w:rsidR="00207CC2" w:rsidRDefault="00677F9F">
      <w:pPr>
        <w:pStyle w:val="ListNumber"/>
        <w:spacing w:after="100"/>
      </w:pPr>
      <w:r>
        <w:t>International Telecommunication Union, “Radiocommunicat</w:t>
      </w:r>
      <w:r>
        <w:t>ion Sector (ITU-R): Mission statement.” Available: https://www.itu.int/en/ITU-R/information/Pages/mission-statement.aspx</w:t>
      </w:r>
    </w:p>
    <w:p w:rsidR="00207CC2" w:rsidRDefault="00677F9F">
      <w:pPr>
        <w:pStyle w:val="ListNumber"/>
        <w:spacing w:after="100"/>
      </w:pPr>
      <w:r>
        <w:t>International Telecommunication Union, “Radiocommunication Bureau.” Available: https://www.itu.int/net/ITU-R/index.asp?category=informa</w:t>
      </w:r>
      <w:r>
        <w:t>tion&amp;lang=en&amp;rlink=br</w:t>
      </w:r>
    </w:p>
    <w:p w:rsidR="00207CC2" w:rsidRDefault="00677F9F">
      <w:pPr>
        <w:pStyle w:val="ListNumber"/>
        <w:spacing w:after="100"/>
      </w:pPr>
      <w:r>
        <w:t>International Telecommunication Union, Handbook on Satellite Communications, 3rd ed., Appendix 5.3, “Erlang Tables.” Available: https://www.itu.int/dms_pub/itu-r/opb/hdb/R-HDB-42-2002-PDF-E.pdf</w:t>
      </w:r>
    </w:p>
    <w:p w:rsidR="00207CC2" w:rsidRDefault="00677F9F">
      <w:pPr>
        <w:pStyle w:val="ListNumber"/>
        <w:spacing w:after="100"/>
      </w:pPr>
      <w:r>
        <w:t>3rd Generation Partnership Project (3GPP</w:t>
      </w:r>
      <w:r>
        <w:t>), “2G and 3G mobile communication technology evolution.” Available: https://www.3gpp.org/</w:t>
      </w:r>
    </w:p>
    <w:p w:rsidR="00207CC2" w:rsidRDefault="00677F9F">
      <w:pPr>
        <w:pStyle w:val="ListNumber"/>
        <w:spacing w:after="100"/>
      </w:pPr>
      <w:r>
        <w:t>Ofcom, “Cellular networks and technology,” updated Mar. 16, 2023. Available: https://www.ofcom.org.uk/phones-and-broadband/coverage-and-speeds/cellular-networks-and-</w:t>
      </w:r>
      <w:r>
        <w:t>technology</w:t>
      </w:r>
    </w:p>
    <w:p w:rsidR="00207CC2" w:rsidRDefault="00677F9F">
      <w:pPr>
        <w:pStyle w:val="ListNumber"/>
        <w:spacing w:after="100"/>
      </w:pPr>
      <w:r>
        <w:lastRenderedPageBreak/>
        <w:t>Telecommunication Engineering Centre, Department of Telecommunications, Government of India, “3GPP.” Available: https://www.tec.gov.in/3gpp</w:t>
      </w:r>
    </w:p>
    <w:p w:rsidR="00207CC2" w:rsidRDefault="00677F9F">
      <w:r>
        <w:rPr>
          <w:i/>
        </w:rPr>
        <w:t>Note: All numerical results in this report are calculated from the supplied planning data and the equatio</w:t>
      </w:r>
      <w:r>
        <w:rPr>
          <w:i/>
        </w:rPr>
        <w:t>ns shown. External references support the technical background and institutional roles; the deployment recommendations remain conditional on the stated assumptions and on subsequent field measurements.</w:t>
      </w:r>
    </w:p>
    <w:sectPr w:rsidR="00207CC2"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F9F" w:rsidRDefault="00677F9F">
      <w:pPr>
        <w:spacing w:after="0" w:line="240" w:lineRule="auto"/>
      </w:pPr>
      <w:r>
        <w:separator/>
      </w:r>
    </w:p>
  </w:endnote>
  <w:endnote w:type="continuationSeparator" w:id="0">
    <w:p w:rsidR="00677F9F" w:rsidRDefault="00677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CC2" w:rsidRDefault="00677F9F">
    <w:pPr>
      <w:pStyle w:val="Footer"/>
      <w:jc w:val="center"/>
    </w:pPr>
    <w:r>
      <w:rPr>
        <w:sz w:val="20"/>
      </w:rPr>
      <w:t xml:space="preserve">Page </w:t>
    </w:r>
    <w:r>
      <w:fldChar w:fldCharType="begin"/>
    </w:r>
    <w:r>
      <w:instrText>PAGE</w:instrText>
    </w:r>
    <w:r>
      <w:fldChar w:fldCharType="separate"/>
    </w:r>
    <w:r w:rsidR="004E313C">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7F9F" w:rsidRDefault="00677F9F">
      <w:pPr>
        <w:spacing w:after="0" w:line="240" w:lineRule="auto"/>
      </w:pPr>
      <w:r>
        <w:separator/>
      </w:r>
    </w:p>
  </w:footnote>
  <w:footnote w:type="continuationSeparator" w:id="0">
    <w:p w:rsidR="00677F9F" w:rsidRDefault="00677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CC2" w:rsidRDefault="00677F9F">
    <w:pPr>
      <w:pStyle w:val="Header"/>
      <w:jc w:val="center"/>
    </w:pPr>
    <w:r>
      <w:rPr>
        <w:sz w:val="18"/>
      </w:rPr>
      <w:t>ENGINEERING DESIGN REPORT | CO1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07CC2"/>
    <w:rsid w:val="0029639D"/>
    <w:rsid w:val="00326F90"/>
    <w:rsid w:val="004E313C"/>
    <w:rsid w:val="00677F9F"/>
    <w:rsid w:val="00AA1D8D"/>
    <w:rsid w:val="00B47730"/>
    <w:rsid w:val="00CB0664"/>
    <w:rsid w:val="00DA1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2BC57"/>
  <w14:defaultImageDpi w14:val="300"/>
  <w15:docId w15:val="{AEE47E54-A8BC-4CB9-86B4-E4FE46CB6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32678D-84D9-424F-9DEA-52F1EF14C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5181</Words>
  <Characters>29536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2026-10-28T04:16:00Z</dcterms:created>
  <dcterms:modified xsi:type="dcterms:W3CDTF">2026-10-28T04:16:00Z</dcterms:modified>
  <cp:category/>
</cp:coreProperties>
</file>