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487265"/>
          <w:sz w:val="56"/>
        </w:rPr>
        <w:t>Assignment 1</w:t>
      </w:r>
    </w:p>
    <w:p>
      <w:pPr>
        <w:jc w:val="center"/>
      </w:pPr>
      <w:r>
        <w:rPr>
          <w:color w:val="666666"/>
          <w:sz w:val="32"/>
        </w:rPr>
        <w:t>GenAI-Powered RAG Assistant</w:t>
        <w:br/>
        <w:t>for a DBA Gen AI Professor</w:t>
      </w:r>
    </w:p>
    <w:p/>
    <w:p/>
    <w:p>
      <w:pPr>
        <w:jc w:val="center"/>
      </w:pPr>
      <w:r>
        <w:rPr>
          <w:b/>
          <w:sz w:val="24"/>
        </w:rPr>
        <w:t xml:space="preserve">Student: </w:t>
      </w:r>
      <w:r>
        <w:rPr>
          <w:sz w:val="24"/>
        </w:rPr>
        <w:t>Sanjay Gupta</w:t>
      </w:r>
    </w:p>
    <w:p>
      <w:pPr>
        <w:jc w:val="center"/>
      </w:pPr>
      <w:r>
        <w:rPr>
          <w:b/>
          <w:sz w:val="24"/>
        </w:rPr>
        <w:t xml:space="preserve">Course: </w:t>
      </w:r>
      <w:r>
        <w:rPr>
          <w:sz w:val="24"/>
        </w:rPr>
        <w:t>DBA Gen AI: Pre-Trained Models (Course 8919)</w:t>
      </w:r>
    </w:p>
    <w:p>
      <w:pPr>
        <w:jc w:val="center"/>
      </w:pPr>
      <w:r>
        <w:rPr>
          <w:b/>
          <w:sz w:val="24"/>
        </w:rPr>
        <w:t xml:space="preserve">University: </w:t>
      </w:r>
      <w:r>
        <w:rPr>
          <w:sz w:val="24"/>
        </w:rPr>
        <w:t>Golden Gate University (GGU)</w:t>
      </w:r>
    </w:p>
    <w:p>
      <w:pPr>
        <w:jc w:val="center"/>
      </w:pPr>
      <w:r>
        <w:rPr>
          <w:b/>
          <w:sz w:val="24"/>
        </w:rPr>
        <w:t xml:space="preserve">Date: </w:t>
      </w:r>
      <w:r>
        <w:rPr>
          <w:sz w:val="24"/>
        </w:rPr>
        <w:t>March 13, 2026</w:t>
      </w:r>
    </w:p>
    <w:p>
      <w:pPr>
        <w:jc w:val="center"/>
      </w:pPr>
      <w:r>
        <w:rPr>
          <w:b/>
          <w:sz w:val="24"/>
        </w:rPr>
        <w:t xml:space="preserve">Job Selected: </w:t>
      </w:r>
      <w:r>
        <w:rPr>
          <w:sz w:val="24"/>
        </w:rPr>
        <w:t>Job #5: Secondary School Teacher → DBA Gen AI Professor</w:t>
      </w:r>
    </w:p>
    <w:p>
      <w:r>
        <w:br w:type="page"/>
      </w:r>
    </w:p>
    <w:p>
      <w:pPr>
        <w:pStyle w:val="Heading1"/>
      </w:pPr>
      <w:r>
        <w:t>Section 1: Job Choice &amp; Justification</w:t>
      </w:r>
    </w:p>
    <w:p>
      <w:pPr>
        <w:pStyle w:val="Heading3"/>
      </w:pPr>
      <w:r>
        <w:t>Job #5: Secondary School Teacher → DBA Gen AI Professor</w:t>
      </w:r>
    </w:p>
    <w:p>
      <w:pPr>
        <w:pStyle w:val="BodyText"/>
      </w:pPr>
      <w:r>
        <w:t>Customization: The original job is "Secondary School Teacher — Prepare how to teach a new lesson." I adapted this to a DBA (Doctor of Business Administration) professor teaching Generative AI. The underlying task is the same — preparing lesson content — but the domain moves to postgraduate AI education, where the source material is denser and changes faster.</w:t>
      </w:r>
    </w:p>
    <w:p>
      <w:pPr>
        <w:pStyle w:val="BodyText"/>
      </w:pPr>
      <w:r>
        <w:t>Why this job benefits from GenAI: Teaching Gen AI means new papers drop every week, and a single lecture might pull from a dozen sources. Keeping up is genuinely hard. A RAG assistant that indexes the course knowledge base lets me retrieve the right material on demand and get structured draft responses, which cuts prep time significantly. The bigger win, though, is that it cites its sources — so I can trace any claim back to the original paper or lecture note rather than trusting the LLM's memory.</w:t>
      </w:r>
    </w:p>
    <w:p>
      <w:r>
        <w:br w:type="page"/>
      </w:r>
    </w:p>
    <w:p>
      <w:pPr>
        <w:pStyle w:val="Heading1"/>
      </w:pPr>
      <w:r>
        <w:t>Section 2: GenAI Capability Assessment</w:t>
      </w:r>
    </w:p>
    <w:p>
      <w:pPr>
        <w:pStyle w:val="Heading3"/>
      </w:pPr>
      <w:r>
        <w:t>Q1: Task Decomposition</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b/>
                <w:sz w:val="18"/>
              </w:rPr>
              <w:t>Sub-task</w:t>
            </w:r>
          </w:p>
        </w:tc>
        <w:tc>
          <w:tcPr>
            <w:tcW w:type="dxa" w:w="3009"/>
          </w:tcPr>
          <w:p>
            <w:r>
              <w:rPr>
                <w:b/>
                <w:sz w:val="18"/>
              </w:rPr>
              <w:t>GenAI Can Help?</w:t>
            </w:r>
          </w:p>
        </w:tc>
        <w:tc>
          <w:tcPr>
            <w:tcW w:type="dxa" w:w="3009"/>
          </w:tcPr>
          <w:p>
            <w:r>
              <w:rPr>
                <w:b/>
                <w:sz w:val="18"/>
              </w:rPr>
              <w:t>How</w:t>
            </w:r>
          </w:p>
        </w:tc>
      </w:tr>
      <w:tr>
        <w:tc>
          <w:tcPr>
            <w:tcW w:type="dxa" w:w="3009"/>
          </w:tcPr>
          <w:p>
            <w:r>
              <w:rPr>
                <w:sz w:val="18"/>
              </w:rPr>
              <w:t>Find relevant course materials for a topic</w:t>
            </w:r>
          </w:p>
        </w:tc>
        <w:tc>
          <w:tcPr>
            <w:tcW w:type="dxa" w:w="3009"/>
          </w:tcPr>
          <w:p>
            <w:r>
              <w:rPr>
                <w:sz w:val="18"/>
              </w:rPr>
              <w:t>Yes</w:t>
            </w:r>
          </w:p>
        </w:tc>
        <w:tc>
          <w:tcPr>
            <w:tcW w:type="dxa" w:w="3009"/>
          </w:tcPr>
          <w:p>
            <w:r>
              <w:rPr>
                <w:sz w:val="18"/>
              </w:rPr>
              <w:t>Semantic search over embedded lecture notes and papers</w:t>
            </w:r>
          </w:p>
        </w:tc>
      </w:tr>
      <w:tr>
        <w:tc>
          <w:tcPr>
            <w:tcW w:type="dxa" w:w="3009"/>
          </w:tcPr>
          <w:p>
            <w:r>
              <w:rPr>
                <w:sz w:val="18"/>
              </w:rPr>
              <w:t>Explain a concept at the right level</w:t>
            </w:r>
          </w:p>
        </w:tc>
        <w:tc>
          <w:tcPr>
            <w:tcW w:type="dxa" w:w="3009"/>
          </w:tcPr>
          <w:p>
            <w:r>
              <w:rPr>
                <w:sz w:val="18"/>
              </w:rPr>
              <w:t>Yes</w:t>
            </w:r>
          </w:p>
        </w:tc>
        <w:tc>
          <w:tcPr>
            <w:tcW w:type="dxa" w:w="3009"/>
          </w:tcPr>
          <w:p>
            <w:r>
              <w:rPr>
                <w:sz w:val="18"/>
              </w:rPr>
              <w:t>RAG retrieval + LLM generation with professor persona</w:t>
            </w:r>
          </w:p>
        </w:tc>
      </w:tr>
      <w:tr>
        <w:tc>
          <w:tcPr>
            <w:tcW w:type="dxa" w:w="3009"/>
          </w:tcPr>
          <w:p>
            <w:r>
              <w:rPr>
                <w:sz w:val="18"/>
              </w:rPr>
              <w:t>Create quiz questions</w:t>
            </w:r>
          </w:p>
        </w:tc>
        <w:tc>
          <w:tcPr>
            <w:tcW w:type="dxa" w:w="3009"/>
          </w:tcPr>
          <w:p>
            <w:r>
              <w:rPr>
                <w:sz w:val="18"/>
              </w:rPr>
              <w:t>Yes</w:t>
            </w:r>
          </w:p>
        </w:tc>
        <w:tc>
          <w:tcPr>
            <w:tcW w:type="dxa" w:w="3009"/>
          </w:tcPr>
          <w:p>
            <w:r>
              <w:rPr>
                <w:sz w:val="18"/>
              </w:rPr>
              <w:t>Quiz-questions mode generates varied difficulty levels</w:t>
            </w:r>
          </w:p>
        </w:tc>
      </w:tr>
      <w:tr>
        <w:tc>
          <w:tcPr>
            <w:tcW w:type="dxa" w:w="3009"/>
          </w:tcPr>
          <w:p>
            <w:r>
              <w:rPr>
                <w:sz w:val="18"/>
              </w:rPr>
              <w:t>Design a teaching plan</w:t>
            </w:r>
          </w:p>
        </w:tc>
        <w:tc>
          <w:tcPr>
            <w:tcW w:type="dxa" w:w="3009"/>
          </w:tcPr>
          <w:p>
            <w:r>
              <w:rPr>
                <w:sz w:val="18"/>
              </w:rPr>
              <w:t>Yes</w:t>
            </w:r>
          </w:p>
        </w:tc>
        <w:tc>
          <w:tcPr>
            <w:tcW w:type="dxa" w:w="3009"/>
          </w:tcPr>
          <w:p>
            <w:r>
              <w:rPr>
                <w:sz w:val="18"/>
              </w:rPr>
              <w:t>Teaching-plan mode structures objectives, activities, assessments</w:t>
            </w:r>
          </w:p>
        </w:tc>
      </w:tr>
      <w:tr>
        <w:tc>
          <w:tcPr>
            <w:tcW w:type="dxa" w:w="3009"/>
          </w:tcPr>
          <w:p>
            <w:r>
              <w:rPr>
                <w:sz w:val="18"/>
              </w:rPr>
              <w:t>Grade student submissions</w:t>
            </w:r>
          </w:p>
        </w:tc>
        <w:tc>
          <w:tcPr>
            <w:tcW w:type="dxa" w:w="3009"/>
          </w:tcPr>
          <w:p>
            <w:r>
              <w:rPr>
                <w:sz w:val="18"/>
              </w:rPr>
              <w:t>Partially</w:t>
            </w:r>
          </w:p>
        </w:tc>
        <w:tc>
          <w:tcPr>
            <w:tcW w:type="dxa" w:w="3009"/>
          </w:tcPr>
          <w:p>
            <w:r>
              <w:rPr>
                <w:sz w:val="18"/>
              </w:rPr>
              <w:t>Can assess factual accuracy but cannot evaluate original thinking</w:t>
            </w:r>
          </w:p>
        </w:tc>
      </w:tr>
      <w:tr>
        <w:tc>
          <w:tcPr>
            <w:tcW w:type="dxa" w:w="3009"/>
          </w:tcPr>
          <w:p>
            <w:r>
              <w:rPr>
                <w:sz w:val="18"/>
              </w:rPr>
              <w:t>Manage classroom dynamics</w:t>
            </w:r>
          </w:p>
        </w:tc>
        <w:tc>
          <w:tcPr>
            <w:tcW w:type="dxa" w:w="3009"/>
          </w:tcPr>
          <w:p>
            <w:r>
              <w:rPr>
                <w:sz w:val="18"/>
              </w:rPr>
              <w:t>No</w:t>
            </w:r>
          </w:p>
        </w:tc>
        <w:tc>
          <w:tcPr>
            <w:tcW w:type="dxa" w:w="3009"/>
          </w:tcPr>
          <w:p>
            <w:r>
              <w:rPr>
                <w:sz w:val="18"/>
              </w:rPr>
              <w:t>Requires real-time human judgment and emotional intelligence</w:t>
            </w:r>
          </w:p>
        </w:tc>
      </w:tr>
      <w:tr>
        <w:tc>
          <w:tcPr>
            <w:tcW w:type="dxa" w:w="3009"/>
          </w:tcPr>
          <w:p>
            <w:r>
              <w:rPr>
                <w:sz w:val="18"/>
              </w:rPr>
              <w:t>Provide pastoral care</w:t>
            </w:r>
          </w:p>
        </w:tc>
        <w:tc>
          <w:tcPr>
            <w:tcW w:type="dxa" w:w="3009"/>
          </w:tcPr>
          <w:p>
            <w:r>
              <w:rPr>
                <w:sz w:val="18"/>
              </w:rPr>
              <w:t>No</w:t>
            </w:r>
          </w:p>
        </w:tc>
        <w:tc>
          <w:tcPr>
            <w:tcW w:type="dxa" w:w="3009"/>
          </w:tcPr>
          <w:p>
            <w:r>
              <w:rPr>
                <w:sz w:val="18"/>
              </w:rPr>
              <w:t>Requires empathy, trust, and professional counseling skills</w:t>
            </w:r>
          </w:p>
        </w:tc>
      </w:tr>
    </w:tbl>
    <w:p/>
    <w:p>
      <w:pPr>
        <w:pStyle w:val="Heading3"/>
      </w:pPr>
      <w:r>
        <w:t>Q2: Can / Cannot Analysis</w:t>
      </w:r>
    </w:p>
    <w:p>
      <w:pPr>
        <w:pStyle w:val="BodyText"/>
      </w:pPr>
      <w:r>
        <w:t>GenAI CAN: Anything that boils down to "find the right passage and explain it." Retrieval, summarization, quiz generation, lesson planning — if the answer lives somewhere in the knowledge base, GenAI is fast and reliable at surfacing it.</w:t>
      </w:r>
    </w:p>
    <w:p>
      <w:pPr>
        <w:pStyle w:val="BodyText"/>
      </w:pPr>
      <w:r>
        <w:t>GenAI CANNOT: Judge whether a student's argument is original, read the room when a class discussion goes sideways, or decide if a struggling student needs an extension. These require empathy and professional judgment that no retrieval pipeline can approximate.</w:t>
      </w:r>
    </w:p>
    <w:p>
      <w:r>
        <w:br w:type="page"/>
      </w:r>
    </w:p>
    <w:p>
      <w:pPr>
        <w:pStyle w:val="Heading1"/>
      </w:pPr>
      <w:r>
        <w:t>Section 3: Knowledge Base Design</w:t>
      </w:r>
    </w:p>
    <w:p>
      <w:pPr>
        <w:pStyle w:val="Heading3"/>
      </w:pPr>
      <w:r>
        <w:t>Knowledge Base Schema</w:t>
      </w:r>
    </w:p>
    <w:p>
      <w:pPr>
        <w:pStyle w:val="BodyText"/>
      </w:pPr>
      <w:r>
        <w:t>The KB contains 1,260 embedded chunks from 13 source documents across 4 source types: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b/>
                <w:sz w:val="18"/>
              </w:rPr>
              <w:t>Source Type</w:t>
            </w:r>
          </w:p>
        </w:tc>
        <w:tc>
          <w:tcPr>
            <w:tcW w:type="dxa" w:w="2256"/>
          </w:tcPr>
          <w:p>
            <w:r>
              <w:rPr>
                <w:b/>
                <w:sz w:val="18"/>
              </w:rPr>
              <w:t>Count</w:t>
            </w:r>
          </w:p>
        </w:tc>
        <w:tc>
          <w:tcPr>
            <w:tcW w:type="dxa" w:w="2256"/>
          </w:tcPr>
          <w:p>
            <w:r>
              <w:rPr>
                <w:b/>
                <w:sz w:val="18"/>
              </w:rPr>
              <w:t>Format</w:t>
            </w:r>
          </w:p>
        </w:tc>
        <w:tc>
          <w:tcPr>
            <w:tcW w:type="dxa" w:w="2256"/>
          </w:tcPr>
          <w:p>
            <w:r>
              <w:rPr>
                <w:b/>
                <w:sz w:val="18"/>
              </w:rPr>
              <w:t>Example</w:t>
            </w:r>
          </w:p>
        </w:tc>
      </w:tr>
      <w:tr>
        <w:tc>
          <w:tcPr>
            <w:tcW w:type="dxa" w:w="2256"/>
          </w:tcPr>
          <w:p>
            <w:r>
              <w:rPr>
                <w:sz w:val="18"/>
              </w:rPr>
              <w:t>Lecture Notes</w:t>
            </w:r>
          </w:p>
        </w:tc>
        <w:tc>
          <w:tcPr>
            <w:tcW w:type="dxa" w:w="2256"/>
          </w:tcPr>
          <w:p>
            <w:r>
              <w:rPr>
                <w:sz w:val="18"/>
              </w:rPr>
              <w:t>6 files → 1,136 chunks</w:t>
            </w:r>
          </w:p>
        </w:tc>
        <w:tc>
          <w:tcPr>
            <w:tcW w:type="dxa" w:w="2256"/>
          </w:tcPr>
          <w:p>
            <w:r>
              <w:rPr>
                <w:sz w:val="18"/>
              </w:rPr>
              <w:t>Markdown</w:t>
            </w:r>
          </w:p>
        </w:tc>
        <w:tc>
          <w:tcPr>
            <w:tcW w:type="dxa" w:w="2256"/>
          </w:tcPr>
          <w:p>
            <w:r>
              <w:rPr>
                <w:sz w:val="18"/>
              </w:rPr>
              <w:t>Session_01_24_Jan_2026.md — Gen AI Overview</w:t>
            </w:r>
          </w:p>
        </w:tc>
      </w:tr>
      <w:tr>
        <w:tc>
          <w:tcPr>
            <w:tcW w:type="dxa" w:w="2256"/>
          </w:tcPr>
          <w:p>
            <w:r>
              <w:rPr>
                <w:sz w:val="18"/>
              </w:rPr>
              <w:t>Slide Decks</w:t>
            </w:r>
          </w:p>
        </w:tc>
        <w:tc>
          <w:tcPr>
            <w:tcW w:type="dxa" w:w="2256"/>
          </w:tcPr>
          <w:p>
            <w:r>
              <w:rPr>
                <w:sz w:val="18"/>
              </w:rPr>
              <w:t>6 files → 110 chunks</w:t>
            </w:r>
          </w:p>
        </w:tc>
        <w:tc>
          <w:tcPr>
            <w:tcW w:type="dxa" w:w="2256"/>
          </w:tcPr>
          <w:p>
            <w:r>
              <w:rPr>
                <w:sz w:val="18"/>
              </w:rPr>
              <w:t>PDF</w:t>
            </w:r>
          </w:p>
        </w:tc>
        <w:tc>
          <w:tcPr>
            <w:tcW w:type="dxa" w:w="2256"/>
          </w:tcPr>
          <w:p>
            <w:r>
              <w:rPr>
                <w:sz w:val="18"/>
              </w:rPr>
              <w:t>S02 — RNN to Transformers</w:t>
            </w:r>
          </w:p>
        </w:tc>
      </w:tr>
      <w:tr>
        <w:tc>
          <w:tcPr>
            <w:tcW w:type="dxa" w:w="2256"/>
          </w:tcPr>
          <w:p>
            <w:r>
              <w:rPr>
                <w:sz w:val="18"/>
              </w:rPr>
              <w:t>Assignment Specs</w:t>
            </w:r>
          </w:p>
        </w:tc>
        <w:tc>
          <w:tcPr>
            <w:tcW w:type="dxa" w:w="2256"/>
          </w:tcPr>
          <w:p>
            <w:r>
              <w:rPr>
                <w:sz w:val="18"/>
              </w:rPr>
              <w:t>1 file → 14 chunks</w:t>
            </w:r>
          </w:p>
        </w:tc>
        <w:tc>
          <w:tcPr>
            <w:tcW w:type="dxa" w:w="2256"/>
          </w:tcPr>
          <w:p>
            <w:r>
              <w:rPr>
                <w:sz w:val="18"/>
              </w:rPr>
              <w:t>Markdown</w:t>
            </w:r>
          </w:p>
        </w:tc>
        <w:tc>
          <w:tcPr>
            <w:tcW w:type="dxa" w:w="2256"/>
          </w:tcPr>
          <w:p>
            <w:r>
              <w:rPr>
                <w:sz w:val="18"/>
              </w:rPr>
              <w:t>Assignment 1 spec with rubrics</w:t>
            </w:r>
          </w:p>
        </w:tc>
      </w:tr>
      <w:tr>
        <w:tc>
          <w:tcPr>
            <w:tcW w:type="dxa" w:w="2256"/>
          </w:tcPr>
          <w:p>
            <w:r>
              <w:rPr>
                <w:sz w:val="18"/>
              </w:rPr>
              <w:t>Research Papers</w:t>
            </w:r>
          </w:p>
        </w:tc>
        <w:tc>
          <w:tcPr>
            <w:tcW w:type="dxa" w:w="2256"/>
          </w:tcPr>
          <w:p>
            <w:r>
              <w:rPr>
                <w:sz w:val="18"/>
              </w:rPr>
              <w:t>0 (planned)</w:t>
            </w:r>
          </w:p>
        </w:tc>
        <w:tc>
          <w:tcPr>
            <w:tcW w:type="dxa" w:w="2256"/>
          </w:tcPr>
          <w:p>
            <w:r>
              <w:rPr>
                <w:sz w:val="18"/>
              </w:rPr>
              <w:t>PDF</w:t>
            </w:r>
          </w:p>
        </w:tc>
        <w:tc>
          <w:tcPr>
            <w:tcW w:type="dxa" w:w="2256"/>
          </w:tcPr>
          <w:p>
            <w:r>
              <w:rPr>
                <w:sz w:val="18"/>
              </w:rPr>
              <w:t>Attention Is All You Need (future addition)</w:t>
            </w:r>
          </w:p>
        </w:tc>
      </w:tr>
    </w:tbl>
    <w:p/>
    <w:p>
      <w:pPr>
        <w:pStyle w:val="Heading3"/>
      </w:pPr>
      <w:r>
        <w:t>Chunking Strategy</w:t>
      </w:r>
    </w:p>
    <w:p>
      <w:pPr>
        <w:pStyle w:val="BodyText"/>
      </w:pPr>
      <w:r>
        <w:t>Markdown documents: Heading-aware splitting. Split on H1-H3 headings first, then by paragraph if section exceeds 800 characters, then by sentence boundary. Each chunk inherits its parent heading for context.</w:t>
      </w:r>
    </w:p>
    <w:p>
      <w:pPr>
        <w:pStyle w:val="BodyText"/>
      </w:pPr>
      <w:r>
        <w:t>PDF documents: Sliding window — 800-character chunks with 150-character overlap, snapping to sentence boundaries (last ". " before window end). Prevents mid-word splits.</w:t>
      </w:r>
    </w:p>
    <w:p>
      <w:pPr>
        <w:pStyle w:val="BodyText"/>
      </w:pPr>
      <w:r>
        <w:t>Context injection: Each chunk is prefixed with [Source: type:filename | Title] before embedding. This way the vector representation includes source context, not just the raw text.</w:t>
      </w:r>
    </w:p>
    <w:p>
      <w:pPr>
        <w:pStyle w:val="Heading3"/>
      </w:pPr>
      <w:r>
        <w:t>Sample Query → Retrieved Chunks</w:t>
      </w:r>
    </w:p>
    <w:p>
      <w:pPr>
        <w:pStyle w:val="BodyText"/>
      </w:pPr>
      <w:r>
        <w:t>Query: "What is attention in transformers?" → Top 3 results: Session 3 (score 0.76), Session 4 (score 0.76), Session 2 (score 0.75) — all from lecture notes covering the transformer architecture.</w:t>
      </w:r>
    </w:p>
    <w:p>
      <w:r>
        <w:br w:type="page"/>
      </w:r>
    </w:p>
    <w:p>
      <w:pPr>
        <w:pStyle w:val="Heading1"/>
      </w:pPr>
      <w:r>
        <w:t>Section 4: Build Approach — Why RAG?</w:t>
      </w:r>
    </w:p>
    <w:p>
      <w:pPr>
        <w:pStyle w:val="Heading3"/>
      </w:pPr>
      <w:r>
        <w:t>Q3: Why RAG over alternatives?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b/>
                <w:sz w:val="18"/>
              </w:rPr>
              <w:t>Approach</w:t>
            </w:r>
          </w:p>
        </w:tc>
        <w:tc>
          <w:tcPr>
            <w:tcW w:type="dxa" w:w="2256"/>
          </w:tcPr>
          <w:p>
            <w:r>
              <w:rPr>
                <w:b/>
                <w:sz w:val="18"/>
              </w:rPr>
              <w:t>Pros</w:t>
            </w:r>
          </w:p>
        </w:tc>
        <w:tc>
          <w:tcPr>
            <w:tcW w:type="dxa" w:w="2256"/>
          </w:tcPr>
          <w:p>
            <w:r>
              <w:rPr>
                <w:b/>
                <w:sz w:val="18"/>
              </w:rPr>
              <w:t>Cons</w:t>
            </w:r>
          </w:p>
        </w:tc>
        <w:tc>
          <w:tcPr>
            <w:tcW w:type="dxa" w:w="2256"/>
          </w:tcPr>
          <w:p>
            <w:r>
              <w:rPr>
                <w:b/>
                <w:sz w:val="18"/>
              </w:rPr>
              <w:t>Verdict</w:t>
            </w:r>
          </w:p>
        </w:tc>
      </w:tr>
      <w:tr>
        <w:tc>
          <w:tcPr>
            <w:tcW w:type="dxa" w:w="2256"/>
          </w:tcPr>
          <w:p>
            <w:r>
              <w:rPr>
                <w:sz w:val="18"/>
              </w:rPr>
              <w:t>Build from scratch</w:t>
            </w:r>
          </w:p>
        </w:tc>
        <w:tc>
          <w:tcPr>
            <w:tcW w:type="dxa" w:w="2256"/>
          </w:tcPr>
          <w:p>
            <w:r>
              <w:rPr>
                <w:sz w:val="18"/>
              </w:rPr>
              <w:t>Full control</w:t>
            </w:r>
          </w:p>
        </w:tc>
        <w:tc>
          <w:tcPr>
            <w:tcW w:type="dxa" w:w="2256"/>
          </w:tcPr>
          <w:p>
            <w:r>
              <w:rPr>
                <w:sz w:val="18"/>
              </w:rPr>
              <w:t>Years of work, no existing LLM capabilities</w:t>
            </w:r>
          </w:p>
        </w:tc>
        <w:tc>
          <w:tcPr>
            <w:tcW w:type="dxa" w:w="2256"/>
          </w:tcPr>
          <w:p>
            <w:r>
              <w:rPr>
                <w:sz w:val="18"/>
              </w:rPr>
              <w:t>Impractical</w:t>
            </w:r>
          </w:p>
        </w:tc>
      </w:tr>
      <w:tr>
        <w:tc>
          <w:tcPr>
            <w:tcW w:type="dxa" w:w="2256"/>
          </w:tcPr>
          <w:p>
            <w:r>
              <w:rPr>
                <w:sz w:val="18"/>
              </w:rPr>
              <w:t>Fine-tune a model</w:t>
            </w:r>
          </w:p>
        </w:tc>
        <w:tc>
          <w:tcPr>
            <w:tcW w:type="dxa" w:w="2256"/>
          </w:tcPr>
          <w:p>
            <w:r>
              <w:rPr>
                <w:sz w:val="18"/>
              </w:rPr>
              <w:t>Domain-specific behavior</w:t>
            </w:r>
          </w:p>
        </w:tc>
        <w:tc>
          <w:tcPr>
            <w:tcW w:type="dxa" w:w="2256"/>
          </w:tcPr>
          <w:p>
            <w:r>
              <w:rPr>
                <w:sz w:val="18"/>
              </w:rPr>
              <w:t>Expensive ($1K+ GPU time), needs 10K+ examples, stale after training</w:t>
            </w:r>
          </w:p>
        </w:tc>
        <w:tc>
          <w:tcPr>
            <w:tcW w:type="dxa" w:w="2256"/>
          </w:tcPr>
          <w:p>
            <w:r>
              <w:rPr>
                <w:sz w:val="18"/>
              </w:rPr>
              <w:t>Overkill for 13 docs</w:t>
            </w:r>
          </w:p>
        </w:tc>
      </w:tr>
      <w:tr>
        <w:tc>
          <w:tcPr>
            <w:tcW w:type="dxa" w:w="2256"/>
          </w:tcPr>
          <w:p>
            <w:r>
              <w:rPr>
                <w:sz w:val="18"/>
              </w:rPr>
              <w:t>Prompt engineering only</w:t>
            </w:r>
          </w:p>
        </w:tc>
        <w:tc>
          <w:tcPr>
            <w:tcW w:type="dxa" w:w="2256"/>
          </w:tcPr>
          <w:p>
            <w:r>
              <w:rPr>
                <w:sz w:val="18"/>
              </w:rPr>
              <w:t>Zero infrastructure</w:t>
            </w:r>
          </w:p>
        </w:tc>
        <w:tc>
          <w:tcPr>
            <w:tcW w:type="dxa" w:w="2256"/>
          </w:tcPr>
          <w:p>
            <w:r>
              <w:rPr>
                <w:sz w:val="18"/>
              </w:rPr>
              <w:t>Limited to context window (~128K tokens), no persistent KB</w:t>
            </w:r>
          </w:p>
        </w:tc>
        <w:tc>
          <w:tcPr>
            <w:tcW w:type="dxa" w:w="2256"/>
          </w:tcPr>
          <w:p>
            <w:r>
              <w:rPr>
                <w:sz w:val="18"/>
              </w:rPr>
              <w:t>Doesn't scale beyond a few docs</w:t>
            </w:r>
          </w:p>
        </w:tc>
      </w:tr>
      <w:tr>
        <w:tc>
          <w:tcPr>
            <w:tcW w:type="dxa" w:w="2256"/>
          </w:tcPr>
          <w:p>
            <w:r>
              <w:rPr>
                <w:sz w:val="18"/>
              </w:rPr>
              <w:t>RAG (Retrieval-Augmented Generation)</w:t>
            </w:r>
          </w:p>
        </w:tc>
        <w:tc>
          <w:tcPr>
            <w:tcW w:type="dxa" w:w="2256"/>
          </w:tcPr>
          <w:p>
            <w:r>
              <w:rPr>
                <w:sz w:val="18"/>
              </w:rPr>
              <w:t>Uses existing LLM, adds domain knowledge via retrieval, easily updated</w:t>
            </w:r>
          </w:p>
        </w:tc>
        <w:tc>
          <w:tcPr>
            <w:tcW w:type="dxa" w:w="2256"/>
          </w:tcPr>
          <w:p>
            <w:r>
              <w:rPr>
                <w:sz w:val="18"/>
              </w:rPr>
              <w:t>Retrieval quality depends on chunking/embedding, adds latency</w:t>
            </w:r>
          </w:p>
        </w:tc>
        <w:tc>
          <w:tcPr>
            <w:tcW w:type="dxa" w:w="2256"/>
          </w:tcPr>
          <w:p>
            <w:r>
              <w:rPr>
                <w:sz w:val="18"/>
              </w:rPr>
              <w:t>Best fit ✓</w:t>
            </w:r>
          </w:p>
        </w:tc>
      </w:tr>
    </w:tbl>
    <w:p/>
    <w:p>
      <w:pPr>
        <w:pStyle w:val="BodyText"/>
      </w:pPr>
      <w:r>
        <w:t>Rationale: RAG wins here because the KB is only 13 documents — small enough for a local JSON vector store with no cloud costs. Course materials change each semester, and with RAG I just re-run the ingestion script instead of retraining a model. I also get citations for free, since retrieved chunks carry their source metadata. Fine-tuning would cost real money and go stale within months.</w:t>
      </w:r>
    </w:p>
    <w:p>
      <w:r>
        <w:br w:type="page"/>
      </w:r>
    </w:p>
    <w:p>
      <w:pPr>
        <w:pStyle w:val="Heading1"/>
      </w:pPr>
      <w:r>
        <w:t>Section 5: RAG Architecture Design</w:t>
      </w:r>
    </w:p>
    <w:p>
      <w:pPr>
        <w:pStyle w:val="Heading3"/>
      </w:pPr>
      <w:r>
        <w:t>8-Stage RAG Pipeline (Actual Implementation)</w:t>
      </w:r>
    </w:p>
    <w:p>
      <w:pPr>
        <w:pStyle w:val="BodyText"/>
      </w:pPr>
      <w:r>
        <w:t>Document Loading: loader.ts reads markdown (Bun.file().text()) and PDFs (pdf-parse with Buffer.from(arrayBuffer)). Extracts metadata: session number, title, source type.</w:t>
      </w:r>
    </w:p>
    <w:p>
      <w:pPr>
        <w:pStyle w:val="BodyText"/>
      </w:pPr>
      <w:r>
        <w:t>Chunking: chunker.ts — markdown-aware splitting for lecture notes (heading → paragraph → sentence hierarchy); sliding window (800/150) for PDFs. Context prefix injected.</w:t>
      </w:r>
    </w:p>
    <w:p>
      <w:pPr>
        <w:pStyle w:val="BodyText"/>
      </w:pPr>
      <w:r>
        <w:t>Embedding: embedder.ts — Gemini gemini-embedding-001 (3072-dim vectors). Batched 20/batch with 2s rate-limit delays. taskType: RETRIEVAL_DOCUMENT for chunks, RETRIEVAL_QUERY for queries. Retry with exponential backoff (1s, 2s, 4s).</w:t>
      </w:r>
    </w:p>
    <w:p>
      <w:pPr>
        <w:pStyle w:val="BodyText"/>
      </w:pPr>
      <w:r>
        <w:t>Storage: fallback.ts — JSON-persisted in-memory store with cosine similarity. 78MB store file (1,260 chunks × 3072 floats). Loads on server startup.</w:t>
      </w:r>
    </w:p>
    <w:p>
      <w:pPr>
        <w:pStyle w:val="BodyText"/>
      </w:pPr>
      <w:r>
        <w:t>Query Embedding: User query embedded with taskType=RETRIEVAL_QUERY via same Gemini model.</w:t>
      </w:r>
    </w:p>
    <w:p>
      <w:pPr>
        <w:pStyle w:val="BodyText"/>
      </w:pPr>
      <w:r>
        <w:t>Retrieval: retriever.ts — 2× oversampling (fetch 16, return 8). MMR-lite diversity reranking: penalize same-document results (−30%) and over-represented source types (−15% if ≥3 from same type).</w:t>
      </w:r>
    </w:p>
    <w:p>
      <w:pPr>
        <w:pStyle w:val="BodyText"/>
      </w:pPr>
      <w:r>
        <w:t>Generation: generator.ts — Gemini gemini-2.0-flash (temp=0.4, max 2048 tokens). DBA Professor persona. 5 modes (explain, teaching-plan, quiz-questions, connect, research-angle). Relevance gate at score &lt; 0.70 returns clean refusal.</w:t>
      </w:r>
    </w:p>
    <w:p>
      <w:pPr>
        <w:pStyle w:val="BodyText"/>
      </w:pPr>
      <w:r>
        <w:t>Response Assembly: Extract [N] citations from generated text, match to retrieved sources. Estimate confidence from top-3 retrieval scores.</w:t>
      </w:r>
    </w:p>
    <w:p>
      <w:pPr>
        <w:pStyle w:val="Heading3"/>
      </w:pPr>
      <w:r>
        <w:t>Architecture Diagram</w:t>
      </w:r>
    </w:p>
    <w:p>
      <w:pPr>
        <w:jc w:val="center"/>
      </w:pPr>
      <w:r>
        <w:drawing>
          <wp:inline xmlns:a="http://schemas.openxmlformats.org/drawingml/2006/main" xmlns:pic="http://schemas.openxmlformats.org/drawingml/2006/picture">
            <wp:extent cx="5486400" cy="166159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661595"/>
                    </a:xfrm>
                    <a:prstGeom prst="rect"/>
                  </pic:spPr>
                </pic:pic>
              </a:graphicData>
            </a:graphic>
          </wp:inline>
        </w:drawing>
      </w:r>
    </w:p>
    <w:p>
      <w:pPr>
        <w:pStyle w:val="BodyText"/>
        <w:jc w:val="center"/>
      </w:pPr>
      <w:r>
        <w:rPr>
          <w:i/>
          <w:sz w:val="18"/>
        </w:rPr>
        <w:t>Figure 1: 8-Stage RAG Pipeline Architecture</w:t>
      </w:r>
    </w:p>
    <w:p>
      <w:r>
        <w:br w:type="page"/>
      </w:r>
    </w:p>
    <w:p>
      <w:pPr>
        <w:pStyle w:val="Heading1"/>
      </w:pPr>
      <w:r>
        <w:t>Section 6: Prompts &amp; RAG Enhancements</w:t>
      </w:r>
    </w:p>
    <w:p>
      <w:pPr>
        <w:pStyle w:val="Heading3"/>
      </w:pPr>
      <w:r>
        <w:t>System Prompt (Actual)</w:t>
      </w:r>
    </w:p>
    <w:p>
      <w:pPr>
        <w:pStyle w:val="BodyText"/>
      </w:pPr>
      <w:r>
        <w:t>You are the DBA Gen AI Professor, an experienced academic who teaches Generative AI concepts to doctoral business administration students.</w:t>
      </w:r>
    </w:p>
    <w:p>
      <w:pPr>
        <w:pStyle w:val="BodyText"/>
      </w:pPr>
      <w:r>
        <w:t>When answering, ALWAYS:</w:t>
        <w:br/>
        <w:t>1. Use the provided knowledge base context as your primary source</w:t>
        <w:br/>
        <w:t>2. Cite specific sources using [N] notation</w:t>
        <w:br/>
        <w:t>3. If the knowledge base doesn't contain sufficient information, say so honestly</w:t>
        <w:br/>
        <w:t>4. Reference specific session numbers (e.g., "In Session 2, we covered...")</w:t>
        <w:br/>
        <w:t>5. When comparing models, create structured comparisons</w:t>
      </w:r>
    </w:p>
    <w:p>
      <w:pPr>
        <w:pStyle w:val="BodyText"/>
      </w:pPr>
      <w:r>
        <w:t>CRITICAL — Out-of-scope queries:</w:t>
        <w:br/>
        <w:t>If the question is NOT about Gen AI, ML, NLP, or transformers, clearly state this is outside your domain, do NOT cite sources, and suggest a related topic.</w:t>
      </w:r>
    </w:p>
    <w:p>
      <w:pPr>
        <w:pStyle w:val="Heading3"/>
      </w:pPr>
      <w:r>
        <w:t>Mode-Specific Prompts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b/>
                <w:sz w:val="18"/>
              </w:rPr>
              <w:t>Mode</w:t>
            </w:r>
          </w:p>
        </w:tc>
        <w:tc>
          <w:tcPr>
            <w:tcW w:type="dxa" w:w="3009"/>
          </w:tcPr>
          <w:p>
            <w:r>
              <w:rPr>
                <w:b/>
                <w:sz w:val="18"/>
              </w:rPr>
              <w:t>Prompt Enhancement</w:t>
            </w:r>
          </w:p>
        </w:tc>
        <w:tc>
          <w:tcPr>
            <w:tcW w:type="dxa" w:w="3009"/>
          </w:tcPr>
          <w:p>
            <w:r>
              <w:rPr>
                <w:b/>
                <w:sz w:val="18"/>
              </w:rPr>
              <w:t>Effect</w:t>
            </w:r>
          </w:p>
        </w:tc>
      </w:tr>
      <w:tr>
        <w:tc>
          <w:tcPr>
            <w:tcW w:type="dxa" w:w="3009"/>
          </w:tcPr>
          <w:p>
            <w:r>
              <w:rPr>
                <w:sz w:val="18"/>
              </w:rPr>
              <w:t>explain</w:t>
            </w:r>
          </w:p>
        </w:tc>
        <w:tc>
          <w:tcPr>
            <w:tcW w:type="dxa" w:w="3009"/>
          </w:tcPr>
          <w:p>
            <w:r>
              <w:rPr>
                <w:sz w:val="18"/>
              </w:rPr>
              <w:t>Require formal definitions and mathematical formulations</w:t>
            </w:r>
          </w:p>
        </w:tc>
        <w:tc>
          <w:tcPr>
            <w:tcW w:type="dxa" w:w="3009"/>
          </w:tcPr>
          <w:p>
            <w:r>
              <w:rPr>
                <w:sz w:val="18"/>
              </w:rPr>
              <w:t>Technical depth for attention formula, self-attention</w:t>
            </w:r>
          </w:p>
        </w:tc>
      </w:tr>
      <w:tr>
        <w:tc>
          <w:tcPr>
            <w:tcW w:type="dxa" w:w="3009"/>
          </w:tcPr>
          <w:p>
            <w:r>
              <w:rPr>
                <w:sz w:val="18"/>
              </w:rPr>
              <w:t>teaching-plan</w:t>
            </w:r>
          </w:p>
        </w:tc>
        <w:tc>
          <w:tcPr>
            <w:tcW w:type="dxa" w:w="3009"/>
          </w:tcPr>
          <w:p>
            <w:r>
              <w:rPr>
                <w:sz w:val="18"/>
              </w:rPr>
              <w:t>Structure: objectives, concepts, activities, questions, assessment</w:t>
            </w:r>
          </w:p>
        </w:tc>
        <w:tc>
          <w:tcPr>
            <w:tcW w:type="dxa" w:w="3009"/>
          </w:tcPr>
          <w:p>
            <w:r>
              <w:rPr>
                <w:sz w:val="18"/>
              </w:rPr>
              <w:t>Actionable lesson plans</w:t>
            </w:r>
          </w:p>
        </w:tc>
      </w:tr>
      <w:tr>
        <w:tc>
          <w:tcPr>
            <w:tcW w:type="dxa" w:w="3009"/>
          </w:tcPr>
          <w:p>
            <w:r>
              <w:rPr>
                <w:sz w:val="18"/>
              </w:rPr>
              <w:t>quiz-questions</w:t>
            </w:r>
          </w:p>
        </w:tc>
        <w:tc>
          <w:tcPr>
            <w:tcW w:type="dxa" w:w="3009"/>
          </w:tcPr>
          <w:p>
            <w:r>
              <w:rPr>
                <w:sz w:val="18"/>
              </w:rPr>
              <w:t>5 questions at 3 difficulty levels (2 recall, 2 application, 1 analysis)</w:t>
            </w:r>
          </w:p>
        </w:tc>
        <w:tc>
          <w:tcPr>
            <w:tcW w:type="dxa" w:w="3009"/>
          </w:tcPr>
          <w:p>
            <w:r>
              <w:rPr>
                <w:sz w:val="18"/>
              </w:rPr>
              <w:t>Bloom's taxonomy alignment</w:t>
            </w:r>
          </w:p>
        </w:tc>
      </w:tr>
      <w:tr>
        <w:tc>
          <w:tcPr>
            <w:tcW w:type="dxa" w:w="3009"/>
          </w:tcPr>
          <w:p>
            <w:r>
              <w:rPr>
                <w:sz w:val="18"/>
              </w:rPr>
              <w:t>connect</w:t>
            </w:r>
          </w:p>
        </w:tc>
        <w:tc>
          <w:tcPr>
            <w:tcW w:type="dxa" w:w="3009"/>
          </w:tcPr>
          <w:p>
            <w:r>
              <w:rPr>
                <w:sz w:val="18"/>
              </w:rPr>
              <w:t>Require 3+ diverse sources, comparative analysis</w:t>
            </w:r>
          </w:p>
        </w:tc>
        <w:tc>
          <w:tcPr>
            <w:tcW w:type="dxa" w:w="3009"/>
          </w:tcPr>
          <w:p>
            <w:r>
              <w:rPr>
                <w:sz w:val="18"/>
              </w:rPr>
              <w:t>Cross-document synthesis</w:t>
            </w:r>
          </w:p>
        </w:tc>
      </w:tr>
      <w:tr>
        <w:tc>
          <w:tcPr>
            <w:tcW w:type="dxa" w:w="3009"/>
          </w:tcPr>
          <w:p>
            <w:r>
              <w:rPr>
                <w:sz w:val="18"/>
              </w:rPr>
              <w:t>research-angle</w:t>
            </w:r>
          </w:p>
        </w:tc>
        <w:tc>
          <w:tcPr>
            <w:tcW w:type="dxa" w:w="3009"/>
          </w:tcPr>
          <w:p>
            <w:r>
              <w:rPr>
                <w:sz w:val="18"/>
              </w:rPr>
              <w:t>Suggest DBA-level research gaps and methodologies</w:t>
            </w:r>
          </w:p>
        </w:tc>
        <w:tc>
          <w:tcPr>
            <w:tcW w:type="dxa" w:w="3009"/>
          </w:tcPr>
          <w:p>
            <w:r>
              <w:rPr>
                <w:sz w:val="18"/>
              </w:rPr>
              <w:t>Doctoral-appropriate research directions</w:t>
            </w:r>
          </w:p>
        </w:tc>
      </w:tr>
    </w:tbl>
    <w:p/>
    <w:p>
      <w:pPr>
        <w:pStyle w:val="Heading3"/>
      </w:pPr>
      <w:r>
        <w:t>Optimization strategies</w:t>
      </w:r>
    </w:p>
    <w:p>
      <w:pPr>
        <w:pStyle w:val="BodyText"/>
      </w:pPr>
      <w:r>
        <w:t>I built in four practical optimizations based on issues that came up during testing:</w:t>
      </w:r>
    </w:p>
    <w:p>
      <w:pPr>
        <w:pStyle w:val="BodyText"/>
      </w:pPr>
      <w:r>
        <w:t>If the total prompt exceeds 30K characters, the system drops the lowest-scored results until it fits. This came up with broad queries that pulled too many chunks.</w:t>
      </w:r>
    </w:p>
    <w:p>
      <w:pPr>
        <w:pStyle w:val="BodyText"/>
      </w:pPr>
      <w:r>
        <w:t>A relevance gate at score &lt; 0.70 returns a refusal without calling the LLM at all. This saves API cost on off-topic queries and avoids hallucinated answers when the KB has nothing relevant.</w:t>
      </w:r>
    </w:p>
    <w:p>
      <w:pPr>
        <w:pStyle w:val="BodyText"/>
      </w:pPr>
      <w:r>
        <w:t>Confidence is calculated as avg(top-3 retrieval scores) with a citation boost. Anything below 0.30 gets capped at 0.20 — this prevents the UI from displaying false confidence on weak retrievals.</w:t>
      </w:r>
    </w:p>
    <w:p>
      <w:pPr>
        <w:pStyle w:val="BodyText"/>
      </w:pPr>
      <w:r>
        <w:t>Each chunk includes a [Source: type | title] prefix, which implicitly teaches the LLM the citation format. No few-shot examples needed for citation behavior.</w:t>
      </w:r>
    </w:p>
    <w:p>
      <w:r>
        <w:br w:type="page"/>
      </w:r>
    </w:p>
    <w:p>
      <w:pPr>
        <w:pStyle w:val="Heading1"/>
      </w:pPr>
      <w:r>
        <w:t>Section 7: Limitations &amp; Risks</w:t>
      </w:r>
    </w:p>
    <w:p>
      <w:pPr>
        <w:pStyle w:val="Heading3"/>
      </w:pPr>
      <w:r>
        <w:t>Limitation &amp; Risk Matrix</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b/>
                <w:sz w:val="18"/>
              </w:rPr>
              <w:t>Risk</w:t>
            </w:r>
          </w:p>
        </w:tc>
        <w:tc>
          <w:tcPr>
            <w:tcW w:type="dxa" w:w="2256"/>
          </w:tcPr>
          <w:p>
            <w:r>
              <w:rPr>
                <w:b/>
                <w:sz w:val="18"/>
              </w:rPr>
              <w:t>Severity</w:t>
            </w:r>
          </w:p>
        </w:tc>
        <w:tc>
          <w:tcPr>
            <w:tcW w:type="dxa" w:w="2256"/>
          </w:tcPr>
          <w:p>
            <w:r>
              <w:rPr>
                <w:b/>
                <w:sz w:val="18"/>
              </w:rPr>
              <w:t>Likelihood</w:t>
            </w:r>
          </w:p>
        </w:tc>
        <w:tc>
          <w:tcPr>
            <w:tcW w:type="dxa" w:w="2256"/>
          </w:tcPr>
          <w:p>
            <w:r>
              <w:rPr>
                <w:b/>
                <w:sz w:val="18"/>
              </w:rPr>
              <w:t>Mitigation</w:t>
            </w:r>
          </w:p>
        </w:tc>
      </w:tr>
      <w:tr>
        <w:tc>
          <w:tcPr>
            <w:tcW w:type="dxa" w:w="2256"/>
          </w:tcPr>
          <w:p>
            <w:r>
              <w:rPr>
                <w:sz w:val="18"/>
              </w:rPr>
              <w:t>Hallucination: LLM generates claims not in KB</w:t>
            </w:r>
          </w:p>
        </w:tc>
        <w:tc>
          <w:tcPr>
            <w:tcW w:type="dxa" w:w="2256"/>
          </w:tcPr>
          <w:p>
            <w:r>
              <w:rPr>
                <w:sz w:val="18"/>
              </w:rPr>
              <w:t>High</w:t>
            </w:r>
          </w:p>
        </w:tc>
        <w:tc>
          <w:tcPr>
            <w:tcW w:type="dxa" w:w="2256"/>
          </w:tcPr>
          <w:p>
            <w:r>
              <w:rPr>
                <w:sz w:val="18"/>
              </w:rPr>
              <w:t>Medium</w:t>
            </w:r>
          </w:p>
        </w:tc>
        <w:tc>
          <w:tcPr>
            <w:tcW w:type="dxa" w:w="2256"/>
          </w:tcPr>
          <w:p>
            <w:r>
              <w:rPr>
                <w:sz w:val="18"/>
              </w:rPr>
              <w:t>System prompt restricts to context-only; citation extraction verifies grounding; relevance gate blocks off-topic</w:t>
            </w:r>
          </w:p>
        </w:tc>
      </w:tr>
      <w:tr>
        <w:tc>
          <w:tcPr>
            <w:tcW w:type="dxa" w:w="2256"/>
          </w:tcPr>
          <w:p>
            <w:r>
              <w:rPr>
                <w:sz w:val="18"/>
              </w:rPr>
              <w:t>Stale knowledge: Course materials updated but KB not re-ingested</w:t>
            </w:r>
          </w:p>
        </w:tc>
        <w:tc>
          <w:tcPr>
            <w:tcW w:type="dxa" w:w="2256"/>
          </w:tcPr>
          <w:p>
            <w:r>
              <w:rPr>
                <w:sz w:val="18"/>
              </w:rPr>
              <w:t>Medium</w:t>
            </w:r>
          </w:p>
        </w:tc>
        <w:tc>
          <w:tcPr>
            <w:tcW w:type="dxa" w:w="2256"/>
          </w:tcPr>
          <w:p>
            <w:r>
              <w:rPr>
                <w:sz w:val="18"/>
              </w:rPr>
              <w:t>High</w:t>
            </w:r>
          </w:p>
        </w:tc>
        <w:tc>
          <w:tcPr>
            <w:tcW w:type="dxa" w:w="2256"/>
          </w:tcPr>
          <w:p>
            <w:r>
              <w:rPr>
                <w:sz w:val="18"/>
              </w:rPr>
              <w:t>One-command re-ingestion (bun run ingest); cache invalidation deletes old embeddings</w:t>
            </w:r>
          </w:p>
        </w:tc>
      </w:tr>
      <w:tr>
        <w:tc>
          <w:tcPr>
            <w:tcW w:type="dxa" w:w="2256"/>
          </w:tcPr>
          <w:p>
            <w:r>
              <w:rPr>
                <w:sz w:val="18"/>
              </w:rPr>
              <w:t>Embedding model changes: Google deprecates gemini-embedding-001</w:t>
            </w:r>
          </w:p>
        </w:tc>
        <w:tc>
          <w:tcPr>
            <w:tcW w:type="dxa" w:w="2256"/>
          </w:tcPr>
          <w:p>
            <w:r>
              <w:rPr>
                <w:sz w:val="18"/>
              </w:rPr>
              <w:t>Medium</w:t>
            </w:r>
          </w:p>
        </w:tc>
        <w:tc>
          <w:tcPr>
            <w:tcW w:type="dxa" w:w="2256"/>
          </w:tcPr>
          <w:p>
            <w:r>
              <w:rPr>
                <w:sz w:val="18"/>
              </w:rPr>
              <w:t>Medium</w:t>
            </w:r>
          </w:p>
        </w:tc>
        <w:tc>
          <w:tcPr>
            <w:tcW w:type="dxa" w:w="2256"/>
          </w:tcPr>
          <w:p>
            <w:r>
              <w:rPr>
                <w:sz w:val="18"/>
              </w:rPr>
              <w:t>Already experienced: text-embedding-004 was deprecated. Config-driven model name allows quick swap</w:t>
            </w:r>
          </w:p>
        </w:tc>
      </w:tr>
      <w:tr>
        <w:tc>
          <w:tcPr>
            <w:tcW w:type="dxa" w:w="2256"/>
          </w:tcPr>
          <w:p>
            <w:r>
              <w:rPr>
                <w:sz w:val="18"/>
              </w:rPr>
              <w:t>Rate limiting: Free tier caps at 1,500 requests/day</w:t>
            </w:r>
          </w:p>
        </w:tc>
        <w:tc>
          <w:tcPr>
            <w:tcW w:type="dxa" w:w="2256"/>
          </w:tcPr>
          <w:p>
            <w:r>
              <w:rPr>
                <w:sz w:val="18"/>
              </w:rPr>
              <w:t>Low</w:t>
            </w:r>
          </w:p>
        </w:tc>
        <w:tc>
          <w:tcPr>
            <w:tcW w:type="dxa" w:w="2256"/>
          </w:tcPr>
          <w:p>
            <w:r>
              <w:rPr>
                <w:sz w:val="18"/>
              </w:rPr>
              <w:t>Medium</w:t>
            </w:r>
          </w:p>
        </w:tc>
        <w:tc>
          <w:tcPr>
            <w:tcW w:type="dxa" w:w="2256"/>
          </w:tcPr>
          <w:p>
            <w:r>
              <w:rPr>
                <w:sz w:val="18"/>
              </w:rPr>
              <w:t>Batch embedding with delays; query caching for repeated questions; paid tier available</w:t>
            </w:r>
          </w:p>
        </w:tc>
      </w:tr>
      <w:tr>
        <w:tc>
          <w:tcPr>
            <w:tcW w:type="dxa" w:w="2256"/>
          </w:tcPr>
          <w:p>
            <w:r>
              <w:rPr>
                <w:sz w:val="18"/>
              </w:rPr>
              <w:t>Chunking quality: PDF text extraction misses formatting</w:t>
            </w:r>
          </w:p>
        </w:tc>
        <w:tc>
          <w:tcPr>
            <w:tcW w:type="dxa" w:w="2256"/>
          </w:tcPr>
          <w:p>
            <w:r>
              <w:rPr>
                <w:sz w:val="18"/>
              </w:rPr>
              <w:t>Medium</w:t>
            </w:r>
          </w:p>
        </w:tc>
        <w:tc>
          <w:tcPr>
            <w:tcW w:type="dxa" w:w="2256"/>
          </w:tcPr>
          <w:p>
            <w:r>
              <w:rPr>
                <w:sz w:val="18"/>
              </w:rPr>
              <w:t>High</w:t>
            </w:r>
          </w:p>
        </w:tc>
        <w:tc>
          <w:tcPr>
            <w:tcW w:type="dxa" w:w="2256"/>
          </w:tcPr>
          <w:p>
            <w:r>
              <w:rPr>
                <w:sz w:val="18"/>
              </w:rPr>
              <w:t>Sliding window with sentence-boundary snapping; context prefix adds document metadata</w:t>
            </w:r>
          </w:p>
        </w:tc>
      </w:tr>
      <w:tr>
        <w:tc>
          <w:tcPr>
            <w:tcW w:type="dxa" w:w="2256"/>
          </w:tcPr>
          <w:p>
            <w:r>
              <w:rPr>
                <w:sz w:val="18"/>
              </w:rPr>
              <w:t>Bias in generation: LLM may favor certain perspectives</w:t>
            </w:r>
          </w:p>
        </w:tc>
        <w:tc>
          <w:tcPr>
            <w:tcW w:type="dxa" w:w="2256"/>
          </w:tcPr>
          <w:p>
            <w:r>
              <w:rPr>
                <w:sz w:val="18"/>
              </w:rPr>
              <w:t>Medium</w:t>
            </w:r>
          </w:p>
        </w:tc>
        <w:tc>
          <w:tcPr>
            <w:tcW w:type="dxa" w:w="2256"/>
          </w:tcPr>
          <w:p>
            <w:r>
              <w:rPr>
                <w:sz w:val="18"/>
              </w:rPr>
              <w:t>Low</w:t>
            </w:r>
          </w:p>
        </w:tc>
        <w:tc>
          <w:tcPr>
            <w:tcW w:type="dxa" w:w="2256"/>
          </w:tcPr>
          <w:p>
            <w:r>
              <w:rPr>
                <w:sz w:val="18"/>
              </w:rPr>
              <w:t>MMR diversity reranking ensures multiple source types; professor persona encourages balanced views</w:t>
            </w:r>
          </w:p>
        </w:tc>
      </w:tr>
      <w:tr>
        <w:tc>
          <w:tcPr>
            <w:tcW w:type="dxa" w:w="2256"/>
          </w:tcPr>
          <w:p>
            <w:r>
              <w:rPr>
                <w:sz w:val="18"/>
              </w:rPr>
              <w:t>Privacy: Student queries could contain sensitive information</w:t>
            </w:r>
          </w:p>
        </w:tc>
        <w:tc>
          <w:tcPr>
            <w:tcW w:type="dxa" w:w="2256"/>
          </w:tcPr>
          <w:p>
            <w:r>
              <w:rPr>
                <w:sz w:val="18"/>
              </w:rPr>
              <w:t>High</w:t>
            </w:r>
          </w:p>
        </w:tc>
        <w:tc>
          <w:tcPr>
            <w:tcW w:type="dxa" w:w="2256"/>
          </w:tcPr>
          <w:p>
            <w:r>
              <w:rPr>
                <w:sz w:val="18"/>
              </w:rPr>
              <w:t>Low</w:t>
            </w:r>
          </w:p>
        </w:tc>
        <w:tc>
          <w:tcPr>
            <w:tcW w:type="dxa" w:w="2256"/>
          </w:tcPr>
          <w:p>
            <w:r>
              <w:rPr>
                <w:sz w:val="18"/>
              </w:rPr>
              <w:t>No query logging; local vector store (no cloud DB); host on institution-approved Google Cloud project</w:t>
            </w:r>
          </w:p>
        </w:tc>
      </w:tr>
      <w:tr>
        <w:tc>
          <w:tcPr>
            <w:tcW w:type="dxa" w:w="2256"/>
          </w:tcPr>
          <w:p>
            <w:r>
              <w:rPr>
                <w:sz w:val="18"/>
              </w:rPr>
              <w:t>Over-reliance: Professor delegates too much to assistant</w:t>
            </w:r>
          </w:p>
        </w:tc>
        <w:tc>
          <w:tcPr>
            <w:tcW w:type="dxa" w:w="2256"/>
          </w:tcPr>
          <w:p>
            <w:r>
              <w:rPr>
                <w:sz w:val="18"/>
              </w:rPr>
              <w:t>Medium</w:t>
            </w:r>
          </w:p>
        </w:tc>
        <w:tc>
          <w:tcPr>
            <w:tcW w:type="dxa" w:w="2256"/>
          </w:tcPr>
          <w:p>
            <w:r>
              <w:rPr>
                <w:sz w:val="18"/>
              </w:rPr>
              <w:t>Medium</w:t>
            </w:r>
          </w:p>
        </w:tc>
        <w:tc>
          <w:tcPr>
            <w:tcW w:type="dxa" w:w="2256"/>
          </w:tcPr>
          <w:p>
            <w:r>
              <w:rPr>
                <w:sz w:val="18"/>
              </w:rPr>
              <w:t>Tool positioned as "preparation aid," not replacement; human reviews all generated content before use</w:t>
            </w:r>
          </w:p>
        </w:tc>
      </w:tr>
    </w:tbl>
    <w:p/>
    <w:p>
      <w:pPr>
        <w:pStyle w:val="Heading3"/>
      </w:pPr>
      <w:r>
        <w:t>What I'd fix in v2</w:t>
      </w:r>
    </w:p>
    <w:p>
      <w:pPr>
        <w:pStyle w:val="BodyText"/>
      </w:pPr>
      <w:r>
        <w:t>The KB has no research papers yet, just course materials. Asking about a specific paper's methodology returns weak results.</w:t>
      </w:r>
    </w:p>
    <w:p>
      <w:pPr>
        <w:pStyle w:val="BodyText"/>
      </w:pPr>
      <w:r>
        <w:t>Each query is stateless — no conversation memory. A student can't say "tell me more about that" because "that" is gone.</w:t>
      </w:r>
    </w:p>
    <w:p>
      <w:pPr>
        <w:pStyle w:val="BodyText"/>
      </w:pPr>
      <w:r>
        <w:t>There's no authentication. Right now it's a single-professor prototype; adding students would need login and rate limiting.</w:t>
      </w:r>
    </w:p>
    <w:p>
      <w:pPr>
        <w:pStyle w:val="BodyText"/>
      </w:pPr>
      <w:r>
        <w:t>The 78MB vector store loads entirely into memory on startup. Fine for 1,260 chunks, but this won't scale past maybe 10K without switching to a proper vector DB.</w:t>
      </w:r>
    </w:p>
    <w:p>
      <w:r>
        <w:br w:type="page"/>
      </w:r>
    </w:p>
    <w:p>
      <w:pPr>
        <w:pStyle w:val="Heading1"/>
      </w:pPr>
      <w:r>
        <w:t>Section 8: Hands-On Tryout</w:t>
      </w:r>
    </w:p>
    <w:p>
      <w:pPr>
        <w:pStyle w:val="Heading3"/>
      </w:pPr>
      <w:r>
        <w:t>Test A: Successful Concept Retrieval</w:t>
      </w:r>
    </w:p>
    <w:p>
      <w:pPr>
        <w:pStyle w:val="BodyText"/>
      </w:pPr>
      <w:r>
        <w:t>Query: "What is the attention mechanism in transformers?"</w:t>
      </w:r>
    </w:p>
    <w:p>
      <w:pPr>
        <w:pStyle w:val="BodyText"/>
      </w:pPr>
      <w:r>
        <w:t>Mode: Explain</w:t>
      </w:r>
    </w:p>
    <w:p>
      <w:pPr>
        <w:pStyle w:val="BodyText"/>
      </w:pPr>
      <w:r>
        <w:t>Result: The system returned a solid explanation covering self-attention, multi-head attention, and Q/K/V vectors. It pulled 8 sources from Sessions 2, 3, and 4, which is exactly where attention is covered in the course. Confidence came back at 0.86. It even included the mathematical formulation from the lecture notes, which I didn't expect from a retrieval-based system.</w:t>
      </w:r>
    </w:p>
    <w:p>
      <w:pPr>
        <w:jc w:val="center"/>
      </w:pPr>
      <w:r>
        <w:drawing>
          <wp:inline xmlns:a="http://schemas.openxmlformats.org/drawingml/2006/main" xmlns:pic="http://schemas.openxmlformats.org/drawingml/2006/picture">
            <wp:extent cx="5029200" cy="9005411"/>
            <wp:docPr id="2" name="Picture 2"/>
            <wp:cNvGraphicFramePr>
              <a:graphicFrameLocks noChangeAspect="1"/>
            </wp:cNvGraphicFramePr>
            <a:graphic>
              <a:graphicData uri="http://schemas.openxmlformats.org/drawingml/2006/picture">
                <pic:pic>
                  <pic:nvPicPr>
                    <pic:cNvPr id="0" name="02-test-a-attention.png"/>
                    <pic:cNvPicPr/>
                  </pic:nvPicPr>
                  <pic:blipFill>
                    <a:blip r:embed="rId10"/>
                    <a:stretch>
                      <a:fillRect/>
                    </a:stretch>
                  </pic:blipFill>
                  <pic:spPr>
                    <a:xfrm>
                      <a:off x="0" y="0"/>
                      <a:ext cx="5029200" cy="9005411"/>
                    </a:xfrm>
                    <a:prstGeom prst="rect"/>
                  </pic:spPr>
                </pic:pic>
              </a:graphicData>
            </a:graphic>
          </wp:inline>
        </w:drawing>
      </w:r>
    </w:p>
    <w:p>
      <w:pPr>
        <w:pStyle w:val="BodyText"/>
        <w:jc w:val="center"/>
      </w:pPr>
      <w:r>
        <w:rPr>
          <w:i/>
          <w:sz w:val="18"/>
        </w:rPr>
        <w:t>Test A: Attention Mechanism Query — detailed explanation with 8 cited sources</w:t>
      </w:r>
    </w:p>
    <w:p>
      <w:pPr>
        <w:pStyle w:val="Heading3"/>
      </w:pPr>
      <w:r>
        <w:t>Test B: Out-of-Scope Graceful Refusal</w:t>
      </w:r>
    </w:p>
    <w:p>
      <w:pPr>
        <w:pStyle w:val="BodyText"/>
      </w:pPr>
      <w:r>
        <w:t>Query: "What is the current stock price of Apple?"</w:t>
      </w:r>
    </w:p>
    <w:p>
      <w:pPr>
        <w:pStyle w:val="BodyText"/>
      </w:pPr>
      <w:r>
        <w:t>Mode: Explain</w:t>
      </w:r>
    </w:p>
    <w:p>
      <w:pPr>
        <w:pStyle w:val="BodyText"/>
      </w:pPr>
      <w:r>
        <w:t>Result: This is where the relevance gate earned its keep. The system recognized that stock prices have nothing to do with the course KB, returned zero citations, and gave a confidence of just 0.19. The refusal message was clean: "This question appears to be outside the scope of our Gen AI course materials." It also suggested related Gen AI topics the student could ask about instead.</w:t>
      </w:r>
    </w:p>
    <w:p>
      <w:pPr>
        <w:jc w:val="center"/>
      </w:pPr>
      <w:r>
        <w:drawing>
          <wp:inline xmlns:a="http://schemas.openxmlformats.org/drawingml/2006/main" xmlns:pic="http://schemas.openxmlformats.org/drawingml/2006/picture">
            <wp:extent cx="5029200" cy="3536156"/>
            <wp:docPr id="3" name="Picture 3"/>
            <wp:cNvGraphicFramePr>
              <a:graphicFrameLocks noChangeAspect="1"/>
            </wp:cNvGraphicFramePr>
            <a:graphic>
              <a:graphicData uri="http://schemas.openxmlformats.org/drawingml/2006/picture">
                <pic:pic>
                  <pic:nvPicPr>
                    <pic:cNvPr id="0" name="03-test-b-outofscope.png"/>
                    <pic:cNvPicPr/>
                  </pic:nvPicPr>
                  <pic:blipFill>
                    <a:blip r:embed="rId11"/>
                    <a:stretch>
                      <a:fillRect/>
                    </a:stretch>
                  </pic:blipFill>
                  <pic:spPr>
                    <a:xfrm>
                      <a:off x="0" y="0"/>
                      <a:ext cx="5029200" cy="3536156"/>
                    </a:xfrm>
                    <a:prstGeom prst="rect"/>
                  </pic:spPr>
                </pic:pic>
              </a:graphicData>
            </a:graphic>
          </wp:inline>
        </w:drawing>
      </w:r>
    </w:p>
    <w:p>
      <w:pPr>
        <w:pStyle w:val="BodyText"/>
        <w:jc w:val="center"/>
      </w:pPr>
      <w:r>
        <w:rPr>
          <w:i/>
          <w:sz w:val="18"/>
        </w:rPr>
        <w:t>Test B: Out-of-Scope Refusal — graceful handling of non-course query</w:t>
      </w:r>
    </w:p>
    <w:p>
      <w:pPr>
        <w:pStyle w:val="Heading3"/>
      </w:pPr>
      <w:r>
        <w:t>Test C: Multi-Document Synthesis</w:t>
      </w:r>
    </w:p>
    <w:p>
      <w:pPr>
        <w:pStyle w:val="BodyText"/>
      </w:pPr>
      <w:r>
        <w:t>Query: "Compare BERT, GPT, and T5 training approaches"</w:t>
      </w:r>
    </w:p>
    <w:p>
      <w:pPr>
        <w:pStyle w:val="BodyText"/>
      </w:pPr>
      <w:r>
        <w:t>Mode: Connect</w:t>
      </w:r>
    </w:p>
    <w:p>
      <w:pPr>
        <w:pStyle w:val="BodyText"/>
      </w:pPr>
      <w:r>
        <w:t>Result: This was the hardest test — it required pulling from three separate sessions and synthesizing them into a coherent comparison. The system distinguished masked language modeling (BERT) from autoregressive (GPT) and text-to-text (T5), citing 5 sources across 3 sessions. Confidence: 0.80. The MMR diversity reranking helped here; without it, the results would have skewed toward whichever session had the most chunks about training.</w:t>
      </w:r>
    </w:p>
    <w:p>
      <w:pPr>
        <w:jc w:val="center"/>
      </w:pPr>
      <w:r>
        <w:drawing>
          <wp:inline xmlns:a="http://schemas.openxmlformats.org/drawingml/2006/main" xmlns:pic="http://schemas.openxmlformats.org/drawingml/2006/picture">
            <wp:extent cx="5029200" cy="3536156"/>
            <wp:docPr id="4" name="Picture 4"/>
            <wp:cNvGraphicFramePr>
              <a:graphicFrameLocks noChangeAspect="1"/>
            </wp:cNvGraphicFramePr>
            <a:graphic>
              <a:graphicData uri="http://schemas.openxmlformats.org/drawingml/2006/picture">
                <pic:pic>
                  <pic:nvPicPr>
                    <pic:cNvPr id="0" name="04-test-c-synthesis.png"/>
                    <pic:cNvPicPr/>
                  </pic:nvPicPr>
                  <pic:blipFill>
                    <a:blip r:embed="rId12"/>
                    <a:stretch>
                      <a:fillRect/>
                    </a:stretch>
                  </pic:blipFill>
                  <pic:spPr>
                    <a:xfrm>
                      <a:off x="0" y="0"/>
                      <a:ext cx="5029200" cy="3536156"/>
                    </a:xfrm>
                    <a:prstGeom prst="rect"/>
                  </pic:spPr>
                </pic:pic>
              </a:graphicData>
            </a:graphic>
          </wp:inline>
        </w:drawing>
      </w:r>
    </w:p>
    <w:p>
      <w:pPr>
        <w:pStyle w:val="BodyText"/>
        <w:jc w:val="center"/>
      </w:pPr>
      <w:r>
        <w:rPr>
          <w:i/>
          <w:sz w:val="18"/>
        </w:rPr>
        <w:t>Test C: Multi-Document Synthesis — comparing BERT, GPT, and T5 architectures</w:t>
      </w:r>
    </w:p>
    <w:p>
      <w:pPr>
        <w:pStyle w:val="Heading3"/>
      </w:pPr>
      <w:r>
        <w:t>Holdout Validation Results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Pr>
                <w:b/>
                <w:sz w:val="18"/>
              </w:rPr>
              <w:t>Scenario</w:t>
            </w:r>
          </w:p>
        </w:tc>
        <w:tc>
          <w:tcPr>
            <w:tcW w:type="dxa" w:w="3009"/>
          </w:tcPr>
          <w:p>
            <w:r>
              <w:rPr>
                <w:b/>
                <w:sz w:val="18"/>
              </w:rPr>
              <w:t>Score</w:t>
            </w:r>
          </w:p>
        </w:tc>
        <w:tc>
          <w:tcPr>
            <w:tcW w:type="dxa" w:w="3009"/>
          </w:tcPr>
          <w:p>
            <w:r>
              <w:rPr>
                <w:b/>
                <w:sz w:val="18"/>
              </w:rPr>
              <w:t>Status</w:t>
            </w:r>
          </w:p>
        </w:tc>
      </w:tr>
      <w:tr>
        <w:tc>
          <w:tcPr>
            <w:tcW w:type="dxa" w:w="3009"/>
          </w:tcPr>
          <w:p>
            <w:r>
              <w:rPr>
                <w:sz w:val="18"/>
              </w:rPr>
              <w:t>Basic Retrieval (attention mechanism)</w:t>
            </w:r>
          </w:p>
        </w:tc>
        <w:tc>
          <w:tcPr>
            <w:tcW w:type="dxa" w:w="3009"/>
          </w:tcPr>
          <w:p>
            <w:r>
              <w:rPr>
                <w:sz w:val="18"/>
              </w:rPr>
              <w:t>70/100</w:t>
            </w:r>
          </w:p>
        </w:tc>
        <w:tc>
          <w:tcPr>
            <w:tcW w:type="dxa" w:w="3009"/>
          </w:tcPr>
          <w:p>
            <w:r>
              <w:rPr>
                <w:sz w:val="18"/>
              </w:rPr>
              <w:t>PASS</w:t>
            </w:r>
          </w:p>
        </w:tc>
      </w:tr>
      <w:tr>
        <w:tc>
          <w:tcPr>
            <w:tcW w:type="dxa" w:w="3009"/>
          </w:tcPr>
          <w:p>
            <w:r>
              <w:rPr>
                <w:sz w:val="18"/>
              </w:rPr>
              <w:t>Citation Accuracy (BERT MLM)</w:t>
            </w:r>
          </w:p>
        </w:tc>
        <w:tc>
          <w:tcPr>
            <w:tcW w:type="dxa" w:w="3009"/>
          </w:tcPr>
          <w:p>
            <w:r>
              <w:rPr>
                <w:sz w:val="18"/>
              </w:rPr>
              <w:t>85/100</w:t>
            </w:r>
          </w:p>
        </w:tc>
        <w:tc>
          <w:tcPr>
            <w:tcW w:type="dxa" w:w="3009"/>
          </w:tcPr>
          <w:p>
            <w:r>
              <w:rPr>
                <w:sz w:val="18"/>
              </w:rPr>
              <w:t>PASS</w:t>
            </w:r>
          </w:p>
        </w:tc>
      </w:tr>
      <w:tr>
        <w:tc>
          <w:tcPr>
            <w:tcW w:type="dxa" w:w="3009"/>
          </w:tcPr>
          <w:p>
            <w:r>
              <w:rPr>
                <w:sz w:val="18"/>
              </w:rPr>
              <w:t>Course Administration (session topics)</w:t>
            </w:r>
          </w:p>
        </w:tc>
        <w:tc>
          <w:tcPr>
            <w:tcW w:type="dxa" w:w="3009"/>
          </w:tcPr>
          <w:p>
            <w:r>
              <w:rPr>
                <w:sz w:val="18"/>
              </w:rPr>
              <w:t>85/100</w:t>
            </w:r>
          </w:p>
        </w:tc>
        <w:tc>
          <w:tcPr>
            <w:tcW w:type="dxa" w:w="3009"/>
          </w:tcPr>
          <w:p>
            <w:r>
              <w:rPr>
                <w:sz w:val="18"/>
              </w:rPr>
              <w:t>PASS</w:t>
            </w:r>
          </w:p>
        </w:tc>
      </w:tr>
      <w:tr>
        <w:tc>
          <w:tcPr>
            <w:tcW w:type="dxa" w:w="3009"/>
          </w:tcPr>
          <w:p>
            <w:r>
              <w:rPr>
                <w:sz w:val="18"/>
              </w:rPr>
              <w:t>Multi-Doc Synthesis (BERT vs GPT vs T5)</w:t>
            </w:r>
          </w:p>
        </w:tc>
        <w:tc>
          <w:tcPr>
            <w:tcW w:type="dxa" w:w="3009"/>
          </w:tcPr>
          <w:p>
            <w:r>
              <w:rPr>
                <w:sz w:val="18"/>
              </w:rPr>
              <w:t>75/100</w:t>
            </w:r>
          </w:p>
        </w:tc>
        <w:tc>
          <w:tcPr>
            <w:tcW w:type="dxa" w:w="3009"/>
          </w:tcPr>
          <w:p>
            <w:r>
              <w:rPr>
                <w:sz w:val="18"/>
              </w:rPr>
              <w:t>PASS</w:t>
            </w:r>
          </w:p>
        </w:tc>
      </w:tr>
      <w:tr>
        <w:tc>
          <w:tcPr>
            <w:tcW w:type="dxa" w:w="3009"/>
          </w:tcPr>
          <w:p>
            <w:r>
              <w:rPr>
                <w:sz w:val="18"/>
              </w:rPr>
              <w:t>Out-of-Scope (stock price refusal)</w:t>
            </w:r>
          </w:p>
        </w:tc>
        <w:tc>
          <w:tcPr>
            <w:tcW w:type="dxa" w:w="3009"/>
          </w:tcPr>
          <w:p>
            <w:r>
              <w:rPr>
                <w:sz w:val="18"/>
              </w:rPr>
              <w:t>95/100</w:t>
            </w:r>
          </w:p>
        </w:tc>
        <w:tc>
          <w:tcPr>
            <w:tcW w:type="dxa" w:w="3009"/>
          </w:tcPr>
          <w:p>
            <w:r>
              <w:rPr>
                <w:sz w:val="18"/>
              </w:rPr>
              <w:t>PASS</w:t>
            </w:r>
          </w:p>
        </w:tc>
      </w:tr>
    </w:tbl>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333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