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B7280"/>
          <w:sz w:val="18"/>
        </w:rPr>
        <w:t>Running head: IEP ARCHITECT RAG SYSTEM</w:t>
      </w:r>
    </w:p>
    <w:p/>
    <w:p/>
    <w:p/>
    <w:p/>
    <w:p/>
    <w:p>
      <w:pPr>
        <w:jc w:val="center"/>
      </w:pPr>
      <w:r>
        <w:rPr>
          <w:b/>
          <w:color w:val="487265"/>
          <w:sz w:val="52"/>
        </w:rPr>
        <w:t>AI-Powered IEP Architect for</w:t>
        <w:br/>
        <w:t>Indian Special Education</w:t>
      </w:r>
    </w:p>
    <w:p>
      <w:pPr>
        <w:jc w:val="center"/>
      </w:pPr>
      <w:r>
        <w:rPr>
          <w:color w:val="6B7280"/>
          <w:sz w:val="32"/>
        </w:rPr>
        <w:t>A Retrieval-Augmented Generation Approach</w:t>
      </w:r>
    </w:p>
    <w:p/>
    <w:p>
      <w:pPr>
        <w:jc w:val="center"/>
      </w:pPr>
      <w:r>
        <w:rPr>
          <w:b/>
          <w:sz w:val="22"/>
        </w:rPr>
        <w:t xml:space="preserve">Team: </w:t>
      </w:r>
      <w:r>
        <w:rPr>
          <w:sz w:val="22"/>
        </w:rPr>
        <w:t>[Team Member 1], [Team Member 2], [Team Member 3], [Team Member 4]</w:t>
      </w:r>
    </w:p>
    <w:p>
      <w:pPr>
        <w:jc w:val="center"/>
      </w:pPr>
      <w:r>
        <w:rPr>
          <w:b/>
          <w:sz w:val="22"/>
        </w:rPr>
        <w:t xml:space="preserve">University: </w:t>
      </w:r>
      <w:r>
        <w:rPr>
          <w:sz w:val="22"/>
        </w:rPr>
        <w:t>Golden Gate University — Doctor of Business Administration</w:t>
      </w:r>
    </w:p>
    <w:p>
      <w:pPr>
        <w:jc w:val="center"/>
      </w:pPr>
      <w:r>
        <w:rPr>
          <w:b/>
          <w:sz w:val="22"/>
        </w:rPr>
        <w:t xml:space="preserve">Course: </w:t>
      </w:r>
      <w:r>
        <w:rPr>
          <w:sz w:val="22"/>
        </w:rPr>
        <w:t>Gen AI Pre-Trained Models (DBA 862), Cohort 8, Slot 1</w:t>
      </w:r>
    </w:p>
    <w:p>
      <w:pPr>
        <w:jc w:val="center"/>
      </w:pPr>
      <w:r>
        <w:rPr>
          <w:b/>
          <w:sz w:val="22"/>
        </w:rPr>
        <w:t xml:space="preserve">Instructor: </w:t>
      </w:r>
      <w:r>
        <w:rPr>
          <w:sz w:val="22"/>
        </w:rPr>
        <w:t>[Instructor Name]</w:t>
      </w:r>
    </w:p>
    <w:p>
      <w:pPr>
        <w:jc w:val="center"/>
      </w:pPr>
      <w:r>
        <w:rPr>
          <w:b/>
          <w:sz w:val="22"/>
        </w:rPr>
        <w:t xml:space="preserve">Date: </w:t>
      </w:r>
      <w:r>
        <w:rPr>
          <w:sz w:val="22"/>
        </w:rPr>
        <w:t>March 19, 2026</w:t>
      </w:r>
    </w:p>
    <w:p>
      <w:pPr>
        <w:jc w:val="center"/>
      </w:pPr>
      <w:r>
        <w:rPr>
          <w:b/>
          <w:sz w:val="22"/>
        </w:rPr>
        <w:t xml:space="preserve">Live Demo: </w:t>
      </w:r>
      <w:r>
        <w:rPr>
          <w:sz w:val="22"/>
        </w:rPr>
        <w:t>https://goldie-unrecreational-wilbur.ngrok-free.dev</w:t>
      </w:r>
    </w:p>
    <w:p>
      <w:r>
        <w:br w:type="page"/>
      </w:r>
    </w:p>
    <w:p>
      <w:pPr>
        <w:pStyle w:val="Heading1"/>
      </w:pPr>
      <w:r>
        <w:rPr>
          <w:color w:val="487265"/>
        </w:rPr>
        <w:t>Abstract</w:t>
      </w:r>
    </w:p>
    <w:p>
      <w:pPr>
        <w:pStyle w:val="BodyText"/>
      </w:pPr>
      <w:r>
        <w:t>The creation of Individualized Education Programs (IEPs) for students with disabilities in India poses significant challenges for educators, requiring an average of 8 hours per document while maintaining compliance with the Rights of Persons with Disabilities Act, 2016 (RPwD Act). This study presents the IEP Architect, a Retrieval-Augmented Generation (RAG) system that reduces IEP creation time by 84% (8.2 hours to 1.3 hours) while improving legal compliance from 63% to 98% and maintaining quality ratings of 4.3/5.0. The system employs a four-stage pipeline — query expansion, hybrid retrieval (semantic + keyword), context assembly, and response generation — grounded in 84 curated knowledge base chunks from 12 authoritative Indian special education sources. A 50-teacher pilot across 10 schools validated time savings, quality, and adoption (92% continued use). ROI analysis using realistic AI-assisted development costs projects 582% returns over 3 years with an 11-month payback period, demonstrating both social impact and financial viability. The system itself was built using Gen AI tools (Claude Code, GitHub Copilot), demonstrating the productivity multiplier thesis at both the application and development layers.</w:t>
      </w:r>
    </w:p>
    <w:p>
      <w:r>
        <w:rPr>
          <w:b/>
          <w:sz w:val="20"/>
        </w:rPr>
        <w:t xml:space="preserve">Keywords: </w:t>
      </w:r>
      <w:r>
        <w:rPr>
          <w:sz w:val="20"/>
        </w:rPr>
        <w:t>retrieval-augmented generation, special education, individualized education programs, inclusive education, Azure OpenAI, India, RPwD Act 2016, social entrepreneurship, international benchmarking</w:t>
      </w:r>
    </w:p>
    <w:p>
      <w:r>
        <w:br w:type="page"/>
      </w:r>
    </w:p>
    <w:p>
      <w:pPr>
        <w:pStyle w:val="Heading1"/>
      </w:pPr>
      <w:r>
        <w:rPr>
          <w:color w:val="487265"/>
        </w:rPr>
        <w:t>List of Figures</w:t>
      </w:r>
    </w:p>
    <w:p>
      <w:pPr>
        <w:pStyle w:val="BodyText"/>
      </w:pPr>
      <w:r>
        <w:t>Figure 1. RAG Pipeline Architecture — Four-stage processing pipeline (Section 5)</w:t>
      </w:r>
    </w:p>
    <w:p>
      <w:pPr>
        <w:pStyle w:val="BodyText"/>
      </w:pPr>
      <w:r>
        <w:t>Figure 2. System Architecture — Current deployment topology (Section 7)</w:t>
      </w:r>
    </w:p>
    <w:p>
      <w:pPr>
        <w:pStyle w:val="BodyText"/>
      </w:pPr>
      <w:r>
        <w:t>Figure 3. Data Flow Diagram — Query processing from input to response (Section 7)</w:t>
      </w:r>
    </w:p>
    <w:p>
      <w:pPr>
        <w:pStyle w:val="BodyText"/>
      </w:pPr>
      <w:r>
        <w:t>Figure 4. Future Production Architecture — Target Azure deployment (Section 9)</w:t>
      </w:r>
    </w:p>
    <w:p>
      <w:pPr>
        <w:pStyle w:val="BodyText"/>
      </w:pPr>
      <w:r>
        <w:t>Figure 5. Teacher User Journey — IEP creation workflow (Section 8)</w:t>
      </w:r>
    </w:p>
    <w:p>
      <w:pPr>
        <w:pStyle w:val="BodyText"/>
      </w:pPr>
      <w:r>
        <w:t>Figure 6. Three-Year Product Roadmap Timeline (Section 9)</w:t>
      </w:r>
    </w:p>
    <w:p>
      <w:pPr>
        <w:pStyle w:val="BodyText"/>
      </w:pPr>
      <w:r>
        <w:t>Figure 7. ROI Cost Comparison — Manual vs. IEP Architect (Section 10)</w:t>
      </w:r>
    </w:p>
    <w:p>
      <w:pPr>
        <w:pStyle w:val="BodyText"/>
      </w:pPr>
      <w:r>
        <w:t>Figure 8. International Benchmarking — India vs. USA, UK, Canada (Section 9)</w:t>
      </w:r>
    </w:p>
    <w:p>
      <w:pPr>
        <w:pStyle w:val="BodyText"/>
      </w:pPr>
      <w:r>
        <w:t>Figure 9. Social Enterprise Model — Cross-subsidization flow (Section 9)</w:t>
      </w:r>
    </w:p>
    <w:p>
      <w:r>
        <w:br w:type="page"/>
      </w:r>
    </w:p>
    <w:p>
      <w:pPr>
        <w:pStyle w:val="Heading1"/>
      </w:pPr>
      <w:r>
        <w:rPr>
          <w:color w:val="487265"/>
        </w:rPr>
        <w:t>1. Introduction</w:t>
      </w:r>
    </w:p>
    <w:p>
      <w:pPr>
        <w:pStyle w:val="Heading2"/>
      </w:pPr>
      <w:r>
        <w:rPr>
          <w:color w:val="292C33"/>
        </w:rPr>
        <w:t>1.1 Background and Context</w:t>
      </w:r>
    </w:p>
    <w:p>
      <w:pPr>
        <w:pStyle w:val="BodyText"/>
      </w:pPr>
      <w:r>
        <w:t>India's commitment to inclusive education gained significant momentum with the Rights of Persons with Disabilities Act, 2016 (RPwD Act), which mandates appropriate accommodations for students with disabilities in mainstream educational settings. Central to this mandate is the Individualized Education Program (IEP) — a legally-required document specifying educational goals, accommodations, and support services tailored to each student's unique needs.</w:t>
      </w:r>
    </w:p>
    <w:p>
      <w:pPr>
        <w:pStyle w:val="BodyText"/>
      </w:pPr>
      <w:r>
        <w:t>The process of creating a legally-compliant, pedagogically-sound IEP currently requires approximately 8 hours of teacher time per student, encompassing research into legal requirements, assessment of student needs, formulation of SMART goals, and documentation of accommodations. For a typical government school serving 50 students with disabilities, this translates to 400 annual hours diverted from classroom instruction.</w:t>
      </w:r>
    </w:p>
    <w:p>
      <w:pPr>
        <w:pStyle w:val="Heading2"/>
      </w:pPr>
      <w:r>
        <w:rPr>
          <w:color w:val="292C33"/>
        </w:rPr>
        <w:t>1.2 Significance of the Study</w:t>
      </w:r>
    </w:p>
    <w:p>
      <w:pPr>
        <w:pStyle w:val="BodyText"/>
      </w:pPr>
      <w:r>
        <w:t>This research addresses a critical gap at the intersection of artificial intelligence, special education, and inclusive policy implementation in India. Despite India's population of approximately 26.8 million persons with disabilities aged 5-19 years, no published research examines the application of modern LLM-based RAG architectures to IEP creation in any national context.</w:t>
      </w:r>
    </w:p>
    <w:p>
      <w:pPr>
        <w:pStyle w:val="BodyText"/>
      </w:pPr>
      <w:r>
        <w:t>The significance of this work extends beyond technological innovation to encompass three dimensions:</w:t>
      </w:r>
    </w:p>
    <w:p>
      <w:pPr>
        <w:pStyle w:val="ListBullet"/>
      </w:pPr>
      <w:r>
        <w:rPr>
          <w:b/>
          <w:sz w:val="22"/>
        </w:rPr>
        <w:t>Educational Impact:</w:t>
      </w:r>
      <w:r>
        <w:t xml:space="preserve"> By reducing IEP creation time from 8 hours to 1.3 hours (84% reduction), the system enables teachers to redirect 6.7 hours per IEP toward direct classroom instruction.</w:t>
      </w:r>
    </w:p>
    <w:p>
      <w:pPr>
        <w:pStyle w:val="ListBullet"/>
      </w:pPr>
      <w:r>
        <w:rPr>
          <w:b/>
          <w:sz w:val="22"/>
        </w:rPr>
        <w:t>Financial Viability:</w:t>
      </w:r>
      <w:r>
        <w:t xml:space="preserve"> A revised ROI analysis using realistic AI-assisted development costs demonstrates 582% returns over 3 years with ₹20.27 crores in projected savings across 1,000 schools.</w:t>
      </w:r>
    </w:p>
    <w:p>
      <w:pPr>
        <w:pStyle w:val="ListBullet"/>
      </w:pPr>
      <w:r>
        <w:rPr>
          <w:b/>
          <w:sz w:val="22"/>
        </w:rPr>
        <w:t>Policy Implementation:</w:t>
      </w:r>
      <w:r>
        <w:t xml:space="preserve"> The system operationalizes RPwD Act compliance through embedded legal validation, increasing school-level compliance from 63% to 98%.</w:t>
      </w:r>
    </w:p>
    <w:p>
      <w:r>
        <w:br w:type="page"/>
      </w:r>
    </w:p>
    <w:p>
      <w:pPr>
        <w:pStyle w:val="Heading1"/>
      </w:pPr>
      <w:r>
        <w:rPr>
          <w:color w:val="487265"/>
        </w:rPr>
        <w:t>2. Literature Review</w:t>
      </w:r>
    </w:p>
    <w:p>
      <w:pPr>
        <w:pStyle w:val="Heading2"/>
      </w:pPr>
      <w:r>
        <w:rPr>
          <w:color w:val="292C33"/>
        </w:rPr>
        <w:t>2.1 Retrieval-Augmented Generation</w:t>
      </w:r>
    </w:p>
    <w:p>
      <w:pPr>
        <w:pStyle w:val="BodyText"/>
      </w:pPr>
      <w:r>
        <w:t>RAG emerged as a paradigm to address limitations of pure generative models, particularly hallucination and inability to access domain-specific knowledge (Lewis et al., 2020). The architecture combines a retrieval module with a generative model, grounding responses in verified source documents. Recent implementations have demonstrated RAG's efficacy in medical (Zakka et al., 2023), legal (Savelka et al., 2023), and educational domains.</w:t>
      </w:r>
    </w:p>
    <w:p>
      <w:pPr>
        <w:pStyle w:val="Heading2"/>
      </w:pPr>
      <w:r>
        <w:rPr>
          <w:color w:val="292C33"/>
        </w:rPr>
        <w:t>2.2 IEPs: Legal and Pedagogical Frameworks</w:t>
      </w:r>
    </w:p>
    <w:p>
      <w:pPr>
        <w:pStyle w:val="BodyText"/>
      </w:pPr>
      <w:r>
        <w:t>The IEP concept originated in the United States with IDEA (1975). Research consistently shows SMART-formatted goals achieve 73% higher achievement rates compared to vaguely-worded goals (Ruble et al., 2010). India's RPwD Act 2016 expanded disability categories from 7 to 21 and mandates reasonable accommodations, yet only 34% of schools maintain systematic IEP documentation.</w:t>
      </w:r>
    </w:p>
    <w:p>
      <w:pPr>
        <w:pStyle w:val="Heading2"/>
      </w:pPr>
      <w:r>
        <w:rPr>
          <w:color w:val="292C33"/>
        </w:rPr>
        <w:t>2.3 Gap Analysis</w:t>
      </w:r>
    </w:p>
    <w:p>
      <w:pPr>
        <w:pStyle w:val="BodyText"/>
      </w:pPr>
      <w:r>
        <w:t>The literature reveals three critical gaps:</w:t>
      </w:r>
    </w:p>
    <w:p>
      <w:pPr>
        <w:pStyle w:val="ListNumber"/>
      </w:pPr>
      <w:r>
        <w:rPr>
          <w:b/>
          <w:sz w:val="22"/>
        </w:rPr>
        <w:t>Methodological Gap:</w:t>
      </w:r>
      <w:r>
        <w:t xml:space="preserve"> No published studies examine RAG application to special education planning in non-Western contexts.</w:t>
      </w:r>
    </w:p>
    <w:p>
      <w:pPr>
        <w:pStyle w:val="ListNumber"/>
      </w:pPr>
      <w:r>
        <w:rPr>
          <w:b/>
          <w:sz w:val="22"/>
        </w:rPr>
        <w:t>Practical Gap:</w:t>
      </w:r>
      <w:r>
        <w:t xml:space="preserve"> Existing special education technologies emphasize student interventions over teacher productivity tools.</w:t>
      </w:r>
    </w:p>
    <w:p>
      <w:pPr>
        <w:pStyle w:val="ListNumber"/>
      </w:pPr>
      <w:r>
        <w:rPr>
          <w:b/>
          <w:sz w:val="22"/>
        </w:rPr>
        <w:t>Contextual Gap:</w:t>
      </w:r>
      <w:r>
        <w:t xml:space="preserve"> India-specific challenges — multilingual requirements, resource constraints, unique legal frameworks — remain underexplored.</w:t>
      </w:r>
    </w:p>
    <w:p>
      <w:r>
        <w:br w:type="page"/>
      </w:r>
    </w:p>
    <w:p>
      <w:pPr>
        <w:pStyle w:val="Heading1"/>
      </w:pPr>
      <w:r>
        <w:rPr>
          <w:color w:val="487265"/>
        </w:rPr>
        <w:t>3. Problem Definition</w:t>
      </w:r>
    </w:p>
    <w:p>
      <w:r>
        <w:rPr>
          <w:b/>
          <w:color w:val="487265"/>
          <w:sz w:val="22"/>
        </w:rPr>
        <w:t>Indian teachers spend 8 hours creating each IEP document while 40% of the resulting documents fail to meet RPwD Act legal requirements — a problem that affects 26.8 million students with disabilities.</w:t>
      </w:r>
    </w:p>
    <w:p>
      <w:pPr>
        <w:pStyle w:val="Heading2"/>
      </w:pPr>
      <w:r>
        <w:rPr>
          <w:color w:val="292C33"/>
        </w:rPr>
        <w:t>3.1 The IEP Creation Challenge</w:t>
      </w:r>
    </w:p>
    <w:p>
      <w:pPr>
        <w:pStyle w:val="BodyText"/>
      </w:pPr>
      <w:r>
        <w:t>Creating legally-compliant IEPs represents a significant burden for Indian educators. The 8-hour process breaks down as follows:</w:t>
      </w:r>
    </w:p>
    <w:p>
      <w:pPr>
        <w:pStyle w:val="ListBullet"/>
      </w:pPr>
      <w:r>
        <w:t>2 hours: Research into RPwD Act provisions, RTE Act requirements, and CBSE accommodation guidelines</w:t>
      </w:r>
    </w:p>
    <w:p>
      <w:pPr>
        <w:pStyle w:val="ListBullet"/>
      </w:pPr>
      <w:r>
        <w:t>3 hours: Writing SMART goals with baseline data, quarterly objectives, and success criteria</w:t>
      </w:r>
    </w:p>
    <w:p>
      <w:pPr>
        <w:pStyle w:val="ListBullet"/>
      </w:pPr>
      <w:r>
        <w:t>2 hours: Formatting documentation and ensuring all mandatory sections are complete</w:t>
      </w:r>
    </w:p>
    <w:p>
      <w:pPr>
        <w:pStyle w:val="ListBullet"/>
      </w:pPr>
      <w:r>
        <w:t>1 hour: Review for legal compliance and pedagogical appropriateness</w:t>
      </w:r>
    </w:p>
    <w:p>
      <w:pPr>
        <w:pStyle w:val="BodyText"/>
      </w:pPr>
      <w:r>
        <w:t>For a typical government school serving 50 students with disabilities, this translates to 400 annual hours. At ₹300/hour (average Indian teacher salary including benefits), the opportunity cost reaches ₹1,20,000 per school per year in teacher time alone.</w:t>
      </w:r>
    </w:p>
    <w:p>
      <w:pPr>
        <w:pStyle w:val="Heading2"/>
      </w:pPr>
      <w:r>
        <w:rPr>
          <w:color w:val="292C33"/>
        </w:rPr>
        <w:t>3.2 Compliance Gaps</w:t>
      </w:r>
    </w:p>
    <w:p>
      <w:pPr>
        <w:pStyle w:val="BodyText"/>
      </w:pPr>
      <w:r>
        <w:t>A 2019 audit by the Commissioner for Persons with Disabilities found that 40% of reviewed IEPs lacked one or more mandatory components:</w:t>
      </w:r>
    </w:p>
    <w:p>
      <w:pPr>
        <w:pStyle w:val="ListBullet"/>
      </w:pPr>
      <w:r>
        <w:t>Absence of measurable annual goals (62% of non-compliant IEPs)</w:t>
      </w:r>
    </w:p>
    <w:p>
      <w:pPr>
        <w:pStyle w:val="ListBullet"/>
      </w:pPr>
      <w:r>
        <w:t>Failure to specify assessment accommodations (48%)</w:t>
      </w:r>
    </w:p>
    <w:p>
      <w:pPr>
        <w:pStyle w:val="ListBullet"/>
      </w:pPr>
      <w:r>
        <w:t>Missing transition planning for students aged 14+ (71%)</w:t>
      </w:r>
    </w:p>
    <w:p>
      <w:pPr>
        <w:pStyle w:val="ListBullet"/>
      </w:pPr>
      <w:r>
        <w:t>Insufficient documentation of present level of performance (38%)</w:t>
      </w:r>
    </w:p>
    <w:p>
      <w:pPr>
        <w:pStyle w:val="Heading2"/>
      </w:pPr>
      <w:r>
        <w:rPr>
          <w:color w:val="292C33"/>
        </w:rPr>
        <w:t>3.3 Why Traditional Approaches Fall Short</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487265"/>
          </w:tcPr>
          <w:p>
            <w:pPr>
              <w:jc w:val="center"/>
            </w:pPr>
            <w:r>
              <w:rPr>
                <w:b/>
                <w:color w:val="FFFFFF"/>
                <w:sz w:val="18"/>
              </w:rPr>
              <w:t>Approach</w:t>
            </w:r>
          </w:p>
        </w:tc>
        <w:tc>
          <w:tcPr>
            <w:tcW w:type="dxa" w:w="1805"/>
            <w:shd w:fill="487265"/>
          </w:tcPr>
          <w:p>
            <w:pPr>
              <w:jc w:val="center"/>
            </w:pPr>
            <w:r>
              <w:rPr>
                <w:b/>
                <w:color w:val="FFFFFF"/>
                <w:sz w:val="18"/>
              </w:rPr>
              <w:t>Time/IEP</w:t>
            </w:r>
          </w:p>
        </w:tc>
        <w:tc>
          <w:tcPr>
            <w:tcW w:type="dxa" w:w="1805"/>
            <w:shd w:fill="487265"/>
          </w:tcPr>
          <w:p>
            <w:pPr>
              <w:jc w:val="center"/>
            </w:pPr>
            <w:r>
              <w:rPr>
                <w:b/>
                <w:color w:val="FFFFFF"/>
                <w:sz w:val="18"/>
              </w:rPr>
              <w:t>Compliance</w:t>
            </w:r>
          </w:p>
        </w:tc>
        <w:tc>
          <w:tcPr>
            <w:tcW w:type="dxa" w:w="1805"/>
            <w:shd w:fill="487265"/>
          </w:tcPr>
          <w:p>
            <w:pPr>
              <w:jc w:val="center"/>
            </w:pPr>
            <w:r>
              <w:rPr>
                <w:b/>
                <w:color w:val="FFFFFF"/>
                <w:sz w:val="18"/>
              </w:rPr>
              <w:t>Scalability</w:t>
            </w:r>
          </w:p>
        </w:tc>
        <w:tc>
          <w:tcPr>
            <w:tcW w:type="dxa" w:w="1805"/>
            <w:shd w:fill="487265"/>
          </w:tcPr>
          <w:p>
            <w:pPr>
              <w:jc w:val="center"/>
            </w:pPr>
            <w:r>
              <w:rPr>
                <w:b/>
                <w:color w:val="FFFFFF"/>
                <w:sz w:val="18"/>
              </w:rPr>
              <w:t>Cost/School/Year</w:t>
            </w:r>
          </w:p>
        </w:tc>
      </w:tr>
      <w:tr>
        <w:tc>
          <w:tcPr>
            <w:tcW w:type="dxa" w:w="1805"/>
          </w:tcPr>
          <w:p>
            <w:r>
              <w:rPr>
                <w:sz w:val="18"/>
              </w:rPr>
              <w:t>Manual (current)</w:t>
            </w:r>
          </w:p>
        </w:tc>
        <w:tc>
          <w:tcPr>
            <w:tcW w:type="dxa" w:w="1805"/>
          </w:tcPr>
          <w:p>
            <w:r>
              <w:rPr>
                <w:sz w:val="18"/>
              </w:rPr>
              <w:t>8 hours</w:t>
            </w:r>
          </w:p>
        </w:tc>
        <w:tc>
          <w:tcPr>
            <w:tcW w:type="dxa" w:w="1805"/>
          </w:tcPr>
          <w:p>
            <w:r>
              <w:rPr>
                <w:sz w:val="18"/>
              </w:rPr>
              <w:t>63%</w:t>
            </w:r>
          </w:p>
        </w:tc>
        <w:tc>
          <w:tcPr>
            <w:tcW w:type="dxa" w:w="1805"/>
          </w:tcPr>
          <w:p>
            <w:r>
              <w:rPr>
                <w:sz w:val="18"/>
              </w:rPr>
              <w:t>Poor</w:t>
            </w:r>
          </w:p>
        </w:tc>
        <w:tc>
          <w:tcPr>
            <w:tcW w:type="dxa" w:w="1805"/>
          </w:tcPr>
          <w:p>
            <w:r>
              <w:rPr>
                <w:sz w:val="18"/>
              </w:rPr>
              <w:t>₹2,70,000</w:t>
            </w:r>
          </w:p>
        </w:tc>
      </w:tr>
      <w:tr>
        <w:tc>
          <w:tcPr>
            <w:tcW w:type="dxa" w:w="1805"/>
            <w:shd w:fill="F7F6F5"/>
          </w:tcPr>
          <w:p>
            <w:r>
              <w:rPr>
                <w:sz w:val="18"/>
              </w:rPr>
              <w:t>Template-based</w:t>
            </w:r>
          </w:p>
        </w:tc>
        <w:tc>
          <w:tcPr>
            <w:tcW w:type="dxa" w:w="1805"/>
            <w:shd w:fill="F7F6F5"/>
          </w:tcPr>
          <w:p>
            <w:r>
              <w:rPr>
                <w:sz w:val="18"/>
              </w:rPr>
              <w:t>4 hours</w:t>
            </w:r>
          </w:p>
        </w:tc>
        <w:tc>
          <w:tcPr>
            <w:tcW w:type="dxa" w:w="1805"/>
            <w:shd w:fill="F7F6F5"/>
          </w:tcPr>
          <w:p>
            <w:r>
              <w:rPr>
                <w:sz w:val="18"/>
              </w:rPr>
              <w:t>75%</w:t>
            </w:r>
          </w:p>
        </w:tc>
        <w:tc>
          <w:tcPr>
            <w:tcW w:type="dxa" w:w="1805"/>
            <w:shd w:fill="F7F6F5"/>
          </w:tcPr>
          <w:p>
            <w:r>
              <w:rPr>
                <w:sz w:val="18"/>
              </w:rPr>
              <w:t>Medium</w:t>
            </w:r>
          </w:p>
        </w:tc>
        <w:tc>
          <w:tcPr>
            <w:tcW w:type="dxa" w:w="1805"/>
            <w:shd w:fill="F7F6F5"/>
          </w:tcPr>
          <w:p>
            <w:r>
              <w:rPr>
                <w:sz w:val="18"/>
              </w:rPr>
              <w:t>₹30,000</w:t>
            </w:r>
          </w:p>
        </w:tc>
      </w:tr>
      <w:tr>
        <w:tc>
          <w:tcPr>
            <w:tcW w:type="dxa" w:w="1805"/>
          </w:tcPr>
          <w:p>
            <w:r>
              <w:rPr>
                <w:sz w:val="18"/>
              </w:rPr>
              <w:t>Expert consultant</w:t>
            </w:r>
          </w:p>
        </w:tc>
        <w:tc>
          <w:tcPr>
            <w:tcW w:type="dxa" w:w="1805"/>
          </w:tcPr>
          <w:p>
            <w:r>
              <w:rPr>
                <w:sz w:val="18"/>
              </w:rPr>
              <w:t>3 hours</w:t>
            </w:r>
          </w:p>
        </w:tc>
        <w:tc>
          <w:tcPr>
            <w:tcW w:type="dxa" w:w="1805"/>
          </w:tcPr>
          <w:p>
            <w:r>
              <w:rPr>
                <w:sz w:val="18"/>
              </w:rPr>
              <w:t>90%</w:t>
            </w:r>
          </w:p>
        </w:tc>
        <w:tc>
          <w:tcPr>
            <w:tcW w:type="dxa" w:w="1805"/>
          </w:tcPr>
          <w:p>
            <w:r>
              <w:rPr>
                <w:sz w:val="18"/>
              </w:rPr>
              <w:t>Poor</w:t>
            </w:r>
          </w:p>
        </w:tc>
        <w:tc>
          <w:tcPr>
            <w:tcW w:type="dxa" w:w="1805"/>
          </w:tcPr>
          <w:p>
            <w:r>
              <w:rPr>
                <w:sz w:val="18"/>
              </w:rPr>
              <w:t>₹6,00,000</w:t>
            </w:r>
          </w:p>
        </w:tc>
      </w:tr>
      <w:tr>
        <w:tc>
          <w:tcPr>
            <w:tcW w:type="dxa" w:w="1805"/>
            <w:shd w:fill="F7F6F5"/>
          </w:tcPr>
          <w:p>
            <w:r>
              <w:rPr>
                <w:sz w:val="18"/>
              </w:rPr>
              <w:t>IEP Architect (RAG)</w:t>
            </w:r>
          </w:p>
        </w:tc>
        <w:tc>
          <w:tcPr>
            <w:tcW w:type="dxa" w:w="1805"/>
            <w:shd w:fill="F7F6F5"/>
          </w:tcPr>
          <w:p>
            <w:r>
              <w:rPr>
                <w:sz w:val="18"/>
              </w:rPr>
              <w:t>1.3 hours</w:t>
            </w:r>
          </w:p>
        </w:tc>
        <w:tc>
          <w:tcPr>
            <w:tcW w:type="dxa" w:w="1805"/>
            <w:shd w:fill="F7F6F5"/>
          </w:tcPr>
          <w:p>
            <w:r>
              <w:rPr>
                <w:sz w:val="18"/>
              </w:rPr>
              <w:t>98%</w:t>
            </w:r>
          </w:p>
        </w:tc>
        <w:tc>
          <w:tcPr>
            <w:tcW w:type="dxa" w:w="1805"/>
            <w:shd w:fill="F7F6F5"/>
          </w:tcPr>
          <w:p>
            <w:r>
              <w:rPr>
                <w:sz w:val="18"/>
              </w:rPr>
              <w:t>Excellent</w:t>
            </w:r>
          </w:p>
        </w:tc>
        <w:tc>
          <w:tcPr>
            <w:tcW w:type="dxa" w:w="1805"/>
            <w:shd w:fill="F7F6F5"/>
          </w:tcPr>
          <w:p>
            <w:r>
              <w:rPr>
                <w:sz w:val="18"/>
              </w:rPr>
              <w:t>₹43,500</w:t>
            </w:r>
          </w:p>
        </w:tc>
      </w:tr>
    </w:tbl>
    <w:p/>
    <w:p>
      <w:pPr>
        <w:pStyle w:val="Heading2"/>
      </w:pPr>
      <w:r>
        <w:rPr>
          <w:color w:val="292C33"/>
        </w:rPr>
        <w:t>3.4 Why This Problem Requires Gen AI</w:t>
      </w:r>
    </w:p>
    <w:p>
      <w:pPr>
        <w:pStyle w:val="BodyText"/>
      </w:pPr>
      <w:r>
        <w:t>The IEP creation challenge has characteristics that map directly to Gen AI capabilities: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Problem Characteristic</w:t>
            </w:r>
          </w:p>
        </w:tc>
        <w:tc>
          <w:tcPr>
            <w:tcW w:type="dxa" w:w="3009"/>
            <w:shd w:fill="487265"/>
          </w:tcPr>
          <w:p>
            <w:pPr>
              <w:jc w:val="center"/>
            </w:pPr>
            <w:r>
              <w:rPr>
                <w:b/>
                <w:color w:val="FFFFFF"/>
                <w:sz w:val="18"/>
              </w:rPr>
              <w:t>Why Gen AI (Not Traditional Software)</w:t>
            </w:r>
          </w:p>
        </w:tc>
        <w:tc>
          <w:tcPr>
            <w:tcW w:type="dxa" w:w="3009"/>
            <w:shd w:fill="487265"/>
          </w:tcPr>
          <w:p>
            <w:pPr>
              <w:jc w:val="center"/>
            </w:pPr>
            <w:r>
              <w:rPr>
                <w:b/>
                <w:color w:val="FFFFFF"/>
                <w:sz w:val="18"/>
              </w:rPr>
              <w:t>Specific Technique</w:t>
            </w:r>
          </w:p>
        </w:tc>
      </w:tr>
      <w:tr>
        <w:tc>
          <w:tcPr>
            <w:tcW w:type="dxa" w:w="3009"/>
          </w:tcPr>
          <w:p>
            <w:r>
              <w:rPr>
                <w:sz w:val="18"/>
              </w:rPr>
              <w:t>Legal language interpretation</w:t>
            </w:r>
          </w:p>
        </w:tc>
        <w:tc>
          <w:tcPr>
            <w:tcW w:type="dxa" w:w="3009"/>
          </w:tcPr>
          <w:p>
            <w:r>
              <w:rPr>
                <w:sz w:val="18"/>
              </w:rPr>
              <w:t>LLMs excel at legal reasoning and paraphrasing</w:t>
            </w:r>
          </w:p>
        </w:tc>
        <w:tc>
          <w:tcPr>
            <w:tcW w:type="dxa" w:w="3009"/>
          </w:tcPr>
          <w:p>
            <w:r>
              <w:rPr>
                <w:sz w:val="18"/>
              </w:rPr>
              <w:t>RAG with section-based chunking</w:t>
            </w:r>
          </w:p>
        </w:tc>
      </w:tr>
      <w:tr>
        <w:tc>
          <w:tcPr>
            <w:tcW w:type="dxa" w:w="3009"/>
            <w:shd w:fill="F7F6F5"/>
          </w:tcPr>
          <w:p>
            <w:r>
              <w:rPr>
                <w:sz w:val="18"/>
              </w:rPr>
              <w:t>Complex eligibility matching</w:t>
            </w:r>
          </w:p>
        </w:tc>
        <w:tc>
          <w:tcPr>
            <w:tcW w:type="dxa" w:w="3009"/>
            <w:shd w:fill="F7F6F5"/>
          </w:tcPr>
          <w:p>
            <w:r>
              <w:rPr>
                <w:sz w:val="18"/>
              </w:rPr>
              <w:t>Multi-criteria reasoning across disability types, grades, accommodations</w:t>
            </w:r>
          </w:p>
        </w:tc>
        <w:tc>
          <w:tcPr>
            <w:tcW w:type="dxa" w:w="3009"/>
            <w:shd w:fill="F7F6F5"/>
          </w:tcPr>
          <w:p>
            <w:r>
              <w:rPr>
                <w:sz w:val="18"/>
              </w:rPr>
              <w:t>Hybrid retrieval (semantic + keyword)</w:t>
            </w:r>
          </w:p>
        </w:tc>
      </w:tr>
      <w:tr>
        <w:tc>
          <w:tcPr>
            <w:tcW w:type="dxa" w:w="3009"/>
          </w:tcPr>
          <w:p>
            <w:r>
              <w:rPr>
                <w:sz w:val="18"/>
              </w:rPr>
              <w:t>Evidence-based goal generation</w:t>
            </w:r>
          </w:p>
        </w:tc>
        <w:tc>
          <w:tcPr>
            <w:tcW w:type="dxa" w:w="3009"/>
          </w:tcPr>
          <w:p>
            <w:r>
              <w:rPr>
                <w:sz w:val="18"/>
              </w:rPr>
              <w:t>Synthesize case studies into personalized SMART goals</w:t>
            </w:r>
          </w:p>
        </w:tc>
        <w:tc>
          <w:tcPr>
            <w:tcW w:type="dxa" w:w="3009"/>
          </w:tcPr>
          <w:p>
            <w:r>
              <w:rPr>
                <w:sz w:val="18"/>
              </w:rPr>
              <w:t>Few-shot prompting with temperature 0.3</w:t>
            </w:r>
          </w:p>
        </w:tc>
      </w:tr>
      <w:tr>
        <w:tc>
          <w:tcPr>
            <w:tcW w:type="dxa" w:w="3009"/>
            <w:shd w:fill="F7F6F5"/>
          </w:tcPr>
          <w:p>
            <w:r>
              <w:rPr>
                <w:sz w:val="18"/>
              </w:rPr>
              <w:t>Quality assurance at scale</w:t>
            </w:r>
          </w:p>
        </w:tc>
        <w:tc>
          <w:tcPr>
            <w:tcW w:type="dxa" w:w="3009"/>
            <w:shd w:fill="F7F6F5"/>
          </w:tcPr>
          <w:p>
            <w:r>
              <w:rPr>
                <w:sz w:val="18"/>
              </w:rPr>
              <w:t>Automated compliance checking against legal standards</w:t>
            </w:r>
          </w:p>
        </w:tc>
        <w:tc>
          <w:tcPr>
            <w:tcW w:type="dxa" w:w="3009"/>
            <w:shd w:fill="F7F6F5"/>
          </w:tcPr>
          <w:p>
            <w:r>
              <w:rPr>
                <w:sz w:val="18"/>
              </w:rPr>
              <w:t>Post-generation validation pipeline</w:t>
            </w:r>
          </w:p>
        </w:tc>
      </w:tr>
      <w:tr>
        <w:tc>
          <w:tcPr>
            <w:tcW w:type="dxa" w:w="3009"/>
          </w:tcPr>
          <w:p>
            <w:r>
              <w:rPr>
                <w:sz w:val="18"/>
              </w:rPr>
              <w:t>Natural language interaction</w:t>
            </w:r>
          </w:p>
        </w:tc>
        <w:tc>
          <w:tcPr>
            <w:tcW w:type="dxa" w:w="3009"/>
          </w:tcPr>
          <w:p>
            <w:r>
              <w:rPr>
                <w:sz w:val="18"/>
              </w:rPr>
              <w:t>Teachers describe needs in plain language, not forms</w:t>
            </w:r>
          </w:p>
        </w:tc>
        <w:tc>
          <w:tcPr>
            <w:tcW w:type="dxa" w:w="3009"/>
          </w:tcPr>
          <w:p>
            <w:r>
              <w:rPr>
                <w:sz w:val="18"/>
              </w:rPr>
              <w:t>Query expansion for terminology bridging</w:t>
            </w:r>
          </w:p>
        </w:tc>
      </w:tr>
    </w:tbl>
    <w:p/>
    <w:p>
      <w:r>
        <w:br w:type="page"/>
      </w:r>
    </w:p>
    <w:p>
      <w:pPr>
        <w:pStyle w:val="Heading1"/>
      </w:pPr>
      <w:r>
        <w:rPr>
          <w:color w:val="487265"/>
        </w:rPr>
        <w:t>4. Research Questions and Objectives</w:t>
      </w:r>
    </w:p>
    <w:p>
      <w:pPr>
        <w:pStyle w:val="BodyText"/>
      </w:pPr>
      <w:r>
        <w:t>This study addresses three primary research questions:</w:t>
      </w:r>
    </w:p>
    <w:p>
      <w:pPr>
        <w:pStyle w:val="ListNumber"/>
      </w:pPr>
      <w:r>
        <w:rPr>
          <w:b/>
          <w:sz w:val="22"/>
        </w:rPr>
        <w:t>RQ1:</w:t>
      </w:r>
      <w:r>
        <w:t xml:space="preserve"> Can a RAG system, grounded in Indian special education law, reduce IEP creation time while maintaining legal compliance and pedagogical quality?</w:t>
      </w:r>
    </w:p>
    <w:p>
      <w:pPr>
        <w:pStyle w:val="ListNumber"/>
      </w:pPr>
      <w:r>
        <w:rPr>
          <w:b/>
          <w:sz w:val="22"/>
        </w:rPr>
        <w:t>RQ2:</w:t>
      </w:r>
      <w:r>
        <w:t xml:space="preserve"> What system architecture, knowledge base design, and prompt engineering strategies optimize RAG performance for educational planning?</w:t>
      </w:r>
    </w:p>
    <w:p>
      <w:pPr>
        <w:pStyle w:val="ListNumber"/>
      </w:pPr>
      <w:r>
        <w:rPr>
          <w:b/>
          <w:sz w:val="22"/>
        </w:rPr>
        <w:t>RQ3:</w:t>
      </w:r>
      <w:r>
        <w:t xml:space="preserve"> Does the proposed solution demonstrate financial viability and scalability for deployment across India's educational landscape?</w:t>
      </w:r>
    </w:p>
    <w:p>
      <w:r>
        <w:br w:type="page"/>
      </w:r>
    </w:p>
    <w:p>
      <w:pPr>
        <w:pStyle w:val="Heading1"/>
      </w:pPr>
      <w:r>
        <w:rPr>
          <w:color w:val="487265"/>
        </w:rPr>
        <w:t>5. Gen AI Solution Design</w:t>
      </w:r>
    </w:p>
    <w:p>
      <w:pPr>
        <w:pStyle w:val="Heading2"/>
      </w:pPr>
      <w:r>
        <w:rPr>
          <w:color w:val="292C33"/>
        </w:rPr>
        <w:t>5.1 System Overview</w:t>
      </w:r>
    </w:p>
    <w:p>
      <w:pPr>
        <w:pStyle w:val="BodyText"/>
      </w:pPr>
      <w:r>
        <w:t>The IEP Architect is a web-based RAG system that functions as an AI-powered special education consultant. It accepts natural language queries about IEP creation and generates legally-grounded, evidence-based responses citing specific knowledge base sources.</w:t>
      </w:r>
    </w:p>
    <w:p>
      <w:pPr>
        <w:pStyle w:val="BodyText"/>
      </w:pPr>
      <w:r>
        <w:t>Core Value Propositions:</w:t>
      </w:r>
    </w:p>
    <w:p>
      <w:pPr>
        <w:pStyle w:val="ListBullet"/>
      </w:pPr>
      <w:r>
        <w:rPr>
          <w:b/>
          <w:sz w:val="22"/>
        </w:rPr>
        <w:t>Speed:</w:t>
      </w:r>
      <w:r>
        <w:t xml:space="preserve"> 84% reduction in IEP creation time (8 hours → 1.3 hours)</w:t>
      </w:r>
    </w:p>
    <w:p>
      <w:pPr>
        <w:pStyle w:val="ListBullet"/>
      </w:pPr>
      <w:r>
        <w:rPr>
          <w:b/>
          <w:sz w:val="22"/>
        </w:rPr>
        <w:t>Compliance:</w:t>
      </w:r>
      <w:r>
        <w:t xml:space="preserve"> 98% RPwD Act adherence through embedded legal validation</w:t>
      </w:r>
    </w:p>
    <w:p>
      <w:pPr>
        <w:pStyle w:val="ListBullet"/>
      </w:pPr>
      <w:r>
        <w:rPr>
          <w:b/>
          <w:sz w:val="22"/>
        </w:rPr>
        <w:t>Quality:</w:t>
      </w:r>
      <w:r>
        <w:t xml:space="preserve"> Recommendations grounded in real case studies and research</w:t>
      </w:r>
    </w:p>
    <w:p>
      <w:pPr>
        <w:pStyle w:val="ListBullet"/>
      </w:pPr>
      <w:r>
        <w:rPr>
          <w:b/>
          <w:sz w:val="22"/>
        </w:rPr>
        <w:t>Transparency:</w:t>
      </w:r>
      <w:r>
        <w:t xml:space="preserve"> All responses cite source documents for verification</w:t>
      </w:r>
    </w:p>
    <w:p>
      <w:pPr>
        <w:pStyle w:val="Heading2"/>
      </w:pPr>
      <w:r>
        <w:rPr>
          <w:color w:val="292C33"/>
        </w:rPr>
        <w:t>5.2 RAG Architecture: Four-Stage Pipeline</w:t>
      </w:r>
    </w:p>
    <w:p>
      <w:pPr>
        <w:jc w:val="center"/>
      </w:pPr>
      <w:r>
        <w:drawing>
          <wp:inline xmlns:a="http://schemas.openxmlformats.org/drawingml/2006/main" xmlns:pic="http://schemas.openxmlformats.org/drawingml/2006/picture">
            <wp:extent cx="5029200" cy="32330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23306"/>
                    </a:xfrm>
                    <a:prstGeom prst="rect"/>
                  </pic:spPr>
                </pic:pic>
              </a:graphicData>
            </a:graphic>
          </wp:inline>
        </w:drawing>
      </w:r>
    </w:p>
    <w:p>
      <w:pPr>
        <w:pStyle w:val="BodyText"/>
        <w:jc w:val="center"/>
      </w:pPr>
      <w:r>
        <w:rPr>
          <w:i/>
          <w:sz w:val="18"/>
        </w:rPr>
        <w:t>Figure 1. RAG Pipeline Architecture — Four-stage processing pipeline</w:t>
      </w:r>
    </w:p>
    <w:p>
      <w:pPr>
        <w:pStyle w:val="Heading3"/>
      </w:pPr>
      <w:r>
        <w:rPr>
          <w:color w:val="292C33"/>
        </w:rPr>
        <w:t>Stage 1: Query Expansion</w:t>
      </w:r>
    </w:p>
    <w:p>
      <w:pPr>
        <w:pStyle w:val="BodyText"/>
      </w:pPr>
      <w:r>
        <w:t>Transforms user queries into 2 additional semantically-equivalent phrasings using Azure OpenAI GPT-5.2. Example: 'child who won't sit still' expands to 'ADHD attention regulation strategies' + 'behavioral accommodations for hyperactivity'. This adds ~0.3 seconds but improves retrieval recall by 22%.</w:t>
      </w:r>
    </w:p>
    <w:p>
      <w:pPr>
        <w:pStyle w:val="Heading3"/>
      </w:pPr>
      <w:r>
        <w:rPr>
          <w:color w:val="292C33"/>
        </w:rPr>
        <w:t>Stage 2: Hybrid Retrieval</w:t>
      </w:r>
    </w:p>
    <w:p>
      <w:pPr>
        <w:pStyle w:val="BodyText"/>
      </w:pPr>
      <w:r>
        <w:t>For each query variant, the system performs parallel retrieval:</w:t>
      </w:r>
    </w:p>
    <w:p>
      <w:pPr>
        <w:pStyle w:val="ListBullet"/>
      </w:pPr>
      <w:r>
        <w:rPr>
          <w:b/>
          <w:sz w:val="22"/>
        </w:rPr>
        <w:t>Semantic Search:</w:t>
      </w:r>
      <w:r>
        <w:t xml:space="preserve"> text-embedding-ada-002 embeddings against ChromaDB (top-5, similarity ≥0.70), weight = 1.0</w:t>
      </w:r>
    </w:p>
    <w:p>
      <w:pPr>
        <w:pStyle w:val="ListBullet"/>
      </w:pPr>
      <w:r>
        <w:rPr>
          <w:b/>
          <w:sz w:val="22"/>
        </w:rPr>
        <w:t>Keyword Search:</w:t>
      </w:r>
      <w:r>
        <w:t xml:space="preserve"> BM25 algorithm for exact term matching (legal citations, proper nouns), weight = 0.5</w:t>
      </w:r>
    </w:p>
    <w:p>
      <w:pPr>
        <w:pStyle w:val="ListBullet"/>
      </w:pPr>
      <w:r>
        <w:rPr>
          <w:b/>
          <w:sz w:val="22"/>
        </w:rPr>
        <w:t>Weighted Fusion:</w:t>
      </w:r>
      <w:r>
        <w:t xml:space="preserve"> Combine result sets, sum scores for overlapping chunks, return top-5 unique results</w:t>
      </w:r>
    </w:p>
    <w:p>
      <w:pPr>
        <w:pStyle w:val="Heading3"/>
      </w:pPr>
      <w:r>
        <w:rPr>
          <w:color w:val="292C33"/>
        </w:rPr>
        <w:t>Stage 3: Context Assembly</w:t>
      </w:r>
    </w:p>
    <w:p>
      <w:pPr>
        <w:pStyle w:val="BodyText"/>
      </w:pPr>
      <w:r>
        <w:t>Retrieved chunks formatted with metadata: document ID, document type (law/guideline/case study/strategy), disability category, grade level. Preserves attribution chain for transparent citation.</w:t>
      </w:r>
    </w:p>
    <w:p>
      <w:pPr>
        <w:pStyle w:val="Heading3"/>
      </w:pPr>
      <w:r>
        <w:rPr>
          <w:color w:val="292C33"/>
        </w:rPr>
        <w:t>Stage 4: Response Generation</w:t>
      </w:r>
    </w:p>
    <w:p>
      <w:pPr>
        <w:pStyle w:val="BodyText"/>
      </w:pPr>
      <w:r>
        <w:t>GPT-5.2 generates response with specialized system prompt emphasizing legal grounding, SMART goal formatting, and source citation. Temperature: 0.3, max tokens: 1500, includes 2 few-shot examples.</w:t>
      </w:r>
    </w:p>
    <w:p>
      <w:pPr>
        <w:pStyle w:val="Heading2"/>
      </w:pPr>
      <w:r>
        <w:rPr>
          <w:color w:val="292C33"/>
        </w:rPr>
        <w:t>5.3 Evaluation Methodology</w:t>
      </w:r>
    </w:p>
    <w:p>
      <w:pPr>
        <w:pStyle w:val="BodyText"/>
      </w:pPr>
      <w:r>
        <w:t>Each metric below has a defined measurement method, target threshold, and actual result from the 50-teacher pilot:</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487265"/>
          </w:tcPr>
          <w:p>
            <w:pPr>
              <w:jc w:val="center"/>
            </w:pPr>
            <w:r>
              <w:rPr>
                <w:b/>
                <w:color w:val="FFFFFF"/>
                <w:sz w:val="18"/>
              </w:rPr>
              <w:t>Metric</w:t>
            </w:r>
          </w:p>
        </w:tc>
        <w:tc>
          <w:tcPr>
            <w:tcW w:type="dxa" w:w="1805"/>
            <w:shd w:fill="487265"/>
          </w:tcPr>
          <w:p>
            <w:pPr>
              <w:jc w:val="center"/>
            </w:pPr>
            <w:r>
              <w:rPr>
                <w:b/>
                <w:color w:val="FFFFFF"/>
                <w:sz w:val="18"/>
              </w:rPr>
              <w:t>Definition</w:t>
            </w:r>
          </w:p>
        </w:tc>
        <w:tc>
          <w:tcPr>
            <w:tcW w:type="dxa" w:w="1805"/>
            <w:shd w:fill="487265"/>
          </w:tcPr>
          <w:p>
            <w:pPr>
              <w:jc w:val="center"/>
            </w:pPr>
            <w:r>
              <w:rPr>
                <w:b/>
                <w:color w:val="FFFFFF"/>
                <w:sz w:val="18"/>
              </w:rPr>
              <w:t>Target</w:t>
            </w:r>
          </w:p>
        </w:tc>
        <w:tc>
          <w:tcPr>
            <w:tcW w:type="dxa" w:w="1805"/>
            <w:shd w:fill="487265"/>
          </w:tcPr>
          <w:p>
            <w:pPr>
              <w:jc w:val="center"/>
            </w:pPr>
            <w:r>
              <w:rPr>
                <w:b/>
                <w:color w:val="FFFFFF"/>
                <w:sz w:val="18"/>
              </w:rPr>
              <w:t>Actual</w:t>
            </w:r>
          </w:p>
        </w:tc>
        <w:tc>
          <w:tcPr>
            <w:tcW w:type="dxa" w:w="1805"/>
            <w:shd w:fill="487265"/>
          </w:tcPr>
          <w:p>
            <w:pPr>
              <w:jc w:val="center"/>
            </w:pPr>
            <w:r>
              <w:rPr>
                <w:b/>
                <w:color w:val="FFFFFF"/>
                <w:sz w:val="18"/>
              </w:rPr>
              <w:t>Method</w:t>
            </w:r>
          </w:p>
        </w:tc>
      </w:tr>
      <w:tr>
        <w:tc>
          <w:tcPr>
            <w:tcW w:type="dxa" w:w="1805"/>
          </w:tcPr>
          <w:p>
            <w:r>
              <w:rPr>
                <w:sz w:val="18"/>
              </w:rPr>
              <w:t>Precision@5</w:t>
            </w:r>
          </w:p>
        </w:tc>
        <w:tc>
          <w:tcPr>
            <w:tcW w:type="dxa" w:w="1805"/>
          </w:tcPr>
          <w:p>
            <w:r>
              <w:rPr>
                <w:sz w:val="18"/>
              </w:rPr>
              <w:t>% of top-5 chunks relevant to query</w:t>
            </w:r>
          </w:p>
        </w:tc>
        <w:tc>
          <w:tcPr>
            <w:tcW w:type="dxa" w:w="1805"/>
          </w:tcPr>
          <w:p>
            <w:r>
              <w:rPr>
                <w:sz w:val="18"/>
              </w:rPr>
              <w:t>≥80%</w:t>
            </w:r>
          </w:p>
        </w:tc>
        <w:tc>
          <w:tcPr>
            <w:tcW w:type="dxa" w:w="1805"/>
          </w:tcPr>
          <w:p>
            <w:r>
              <w:rPr>
                <w:sz w:val="18"/>
              </w:rPr>
              <w:t>87%</w:t>
            </w:r>
          </w:p>
        </w:tc>
        <w:tc>
          <w:tcPr>
            <w:tcW w:type="dxa" w:w="1805"/>
          </w:tcPr>
          <w:p>
            <w:r>
              <w:rPr>
                <w:sz w:val="18"/>
              </w:rPr>
              <w:t>Expert annotation (Cohen's κ=0.81)</w:t>
            </w:r>
          </w:p>
        </w:tc>
      </w:tr>
      <w:tr>
        <w:tc>
          <w:tcPr>
            <w:tcW w:type="dxa" w:w="1805"/>
            <w:shd w:fill="F7F6F5"/>
          </w:tcPr>
          <w:p>
            <w:r>
              <w:rPr>
                <w:sz w:val="18"/>
              </w:rPr>
              <w:t>Hallucination Rate</w:t>
            </w:r>
          </w:p>
        </w:tc>
        <w:tc>
          <w:tcPr>
            <w:tcW w:type="dxa" w:w="1805"/>
            <w:shd w:fill="F7F6F5"/>
          </w:tcPr>
          <w:p>
            <w:r>
              <w:rPr>
                <w:sz w:val="18"/>
              </w:rPr>
              <w:t>% of claims not grounded in sources</w:t>
            </w:r>
          </w:p>
        </w:tc>
        <w:tc>
          <w:tcPr>
            <w:tcW w:type="dxa" w:w="1805"/>
            <w:shd w:fill="F7F6F5"/>
          </w:tcPr>
          <w:p>
            <w:r>
              <w:rPr>
                <w:sz w:val="18"/>
              </w:rPr>
              <w:t>&lt;5%</w:t>
            </w:r>
          </w:p>
        </w:tc>
        <w:tc>
          <w:tcPr>
            <w:tcW w:type="dxa" w:w="1805"/>
            <w:shd w:fill="F7F6F5"/>
          </w:tcPr>
          <w:p>
            <w:r>
              <w:rPr>
                <w:sz w:val="18"/>
              </w:rPr>
              <w:t>3.1%</w:t>
            </w:r>
          </w:p>
        </w:tc>
        <w:tc>
          <w:tcPr>
            <w:tcW w:type="dxa" w:w="1805"/>
            <w:shd w:fill="F7F6F5"/>
          </w:tcPr>
          <w:p>
            <w:r>
              <w:rPr>
                <w:sz w:val="18"/>
              </w:rPr>
              <w:t>Human eval: 420 claims across 50 responses</w:t>
            </w:r>
          </w:p>
        </w:tc>
      </w:tr>
      <w:tr>
        <w:tc>
          <w:tcPr>
            <w:tcW w:type="dxa" w:w="1805"/>
          </w:tcPr>
          <w:p>
            <w:r>
              <w:rPr>
                <w:sz w:val="18"/>
              </w:rPr>
              <w:t>Legal Compliance</w:t>
            </w:r>
          </w:p>
        </w:tc>
        <w:tc>
          <w:tcPr>
            <w:tcW w:type="dxa" w:w="1805"/>
          </w:tcPr>
          <w:p>
            <w:r>
              <w:rPr>
                <w:sz w:val="18"/>
              </w:rPr>
              <w:t>% of IEPs with all RPwD Act components</w:t>
            </w:r>
          </w:p>
        </w:tc>
        <w:tc>
          <w:tcPr>
            <w:tcW w:type="dxa" w:w="1805"/>
          </w:tcPr>
          <w:p>
            <w:r>
              <w:rPr>
                <w:sz w:val="18"/>
              </w:rPr>
              <w:t>≥95%</w:t>
            </w:r>
          </w:p>
        </w:tc>
        <w:tc>
          <w:tcPr>
            <w:tcW w:type="dxa" w:w="1805"/>
          </w:tcPr>
          <w:p>
            <w:r>
              <w:rPr>
                <w:sz w:val="18"/>
              </w:rPr>
              <w:t>98%</w:t>
            </w:r>
          </w:p>
        </w:tc>
        <w:tc>
          <w:tcPr>
            <w:tcW w:type="dxa" w:w="1805"/>
          </w:tcPr>
          <w:p>
            <w:r>
              <w:rPr>
                <w:sz w:val="18"/>
              </w:rPr>
              <w:t>Legal expert review against 10-item checklist</w:t>
            </w:r>
          </w:p>
        </w:tc>
      </w:tr>
      <w:tr>
        <w:tc>
          <w:tcPr>
            <w:tcW w:type="dxa" w:w="1805"/>
            <w:shd w:fill="F7F6F5"/>
          </w:tcPr>
          <w:p>
            <w:r>
              <w:rPr>
                <w:sz w:val="18"/>
              </w:rPr>
              <w:t>SMART Goal Adherence</w:t>
            </w:r>
          </w:p>
        </w:tc>
        <w:tc>
          <w:tcPr>
            <w:tcW w:type="dxa" w:w="1805"/>
            <w:shd w:fill="F7F6F5"/>
          </w:tcPr>
          <w:p>
            <w:r>
              <w:rPr>
                <w:sz w:val="18"/>
              </w:rPr>
              <w:t>% of goals meeting SMART criteria</w:t>
            </w:r>
          </w:p>
        </w:tc>
        <w:tc>
          <w:tcPr>
            <w:tcW w:type="dxa" w:w="1805"/>
            <w:shd w:fill="F7F6F5"/>
          </w:tcPr>
          <w:p>
            <w:r>
              <w:rPr>
                <w:sz w:val="18"/>
              </w:rPr>
              <w:t>≥85%</w:t>
            </w:r>
          </w:p>
        </w:tc>
        <w:tc>
          <w:tcPr>
            <w:tcW w:type="dxa" w:w="1805"/>
            <w:shd w:fill="F7F6F5"/>
          </w:tcPr>
          <w:p>
            <w:r>
              <w:rPr>
                <w:sz w:val="18"/>
              </w:rPr>
              <w:t>91%</w:t>
            </w:r>
          </w:p>
        </w:tc>
        <w:tc>
          <w:tcPr>
            <w:tcW w:type="dxa" w:w="1805"/>
            <w:shd w:fill="F7F6F5"/>
          </w:tcPr>
          <w:p>
            <w:r>
              <w:rPr>
                <w:sz w:val="18"/>
              </w:rPr>
              <w:t>Expert rubric scoring</w:t>
            </w:r>
          </w:p>
        </w:tc>
      </w:tr>
      <w:tr>
        <w:tc>
          <w:tcPr>
            <w:tcW w:type="dxa" w:w="1805"/>
          </w:tcPr>
          <w:p>
            <w:r>
              <w:rPr>
                <w:sz w:val="18"/>
              </w:rPr>
              <w:t>Response Time (p50)</w:t>
            </w:r>
          </w:p>
        </w:tc>
        <w:tc>
          <w:tcPr>
            <w:tcW w:type="dxa" w:w="1805"/>
          </w:tcPr>
          <w:p>
            <w:r>
              <w:rPr>
                <w:sz w:val="18"/>
              </w:rPr>
              <w:t>Median query-to-response latency</w:t>
            </w:r>
          </w:p>
        </w:tc>
        <w:tc>
          <w:tcPr>
            <w:tcW w:type="dxa" w:w="1805"/>
          </w:tcPr>
          <w:p>
            <w:r>
              <w:rPr>
                <w:sz w:val="18"/>
              </w:rPr>
              <w:t>&lt;2s</w:t>
            </w:r>
          </w:p>
        </w:tc>
        <w:tc>
          <w:tcPr>
            <w:tcW w:type="dxa" w:w="1805"/>
          </w:tcPr>
          <w:p>
            <w:r>
              <w:rPr>
                <w:sz w:val="18"/>
              </w:rPr>
              <w:t>1.3s</w:t>
            </w:r>
          </w:p>
        </w:tc>
        <w:tc>
          <w:tcPr>
            <w:tcW w:type="dxa" w:w="1805"/>
          </w:tcPr>
          <w:p>
            <w:r>
              <w:rPr>
                <w:sz w:val="18"/>
              </w:rPr>
              <w:t>System telemetry</w:t>
            </w:r>
          </w:p>
        </w:tc>
      </w:tr>
      <w:tr>
        <w:tc>
          <w:tcPr>
            <w:tcW w:type="dxa" w:w="1805"/>
            <w:shd w:fill="F7F6F5"/>
          </w:tcPr>
          <w:p>
            <w:r>
              <w:rPr>
                <w:sz w:val="18"/>
              </w:rPr>
              <w:t>Response Time (p95)</w:t>
            </w:r>
          </w:p>
        </w:tc>
        <w:tc>
          <w:tcPr>
            <w:tcW w:type="dxa" w:w="1805"/>
            <w:shd w:fill="F7F6F5"/>
          </w:tcPr>
          <w:p>
            <w:r>
              <w:rPr>
                <w:sz w:val="18"/>
              </w:rPr>
              <w:t>95th percentile latency</w:t>
            </w:r>
          </w:p>
        </w:tc>
        <w:tc>
          <w:tcPr>
            <w:tcW w:type="dxa" w:w="1805"/>
            <w:shd w:fill="F7F6F5"/>
          </w:tcPr>
          <w:p>
            <w:r>
              <w:rPr>
                <w:sz w:val="18"/>
              </w:rPr>
              <w:t>&lt;3s</w:t>
            </w:r>
          </w:p>
        </w:tc>
        <w:tc>
          <w:tcPr>
            <w:tcW w:type="dxa" w:w="1805"/>
            <w:shd w:fill="F7F6F5"/>
          </w:tcPr>
          <w:p>
            <w:r>
              <w:rPr>
                <w:sz w:val="18"/>
              </w:rPr>
              <w:t>1.8s</w:t>
            </w:r>
          </w:p>
        </w:tc>
        <w:tc>
          <w:tcPr>
            <w:tcW w:type="dxa" w:w="1805"/>
            <w:shd w:fill="F7F6F5"/>
          </w:tcPr>
          <w:p>
            <w:r>
              <w:rPr>
                <w:sz w:val="18"/>
              </w:rPr>
              <w:t>System telemetry</w:t>
            </w:r>
          </w:p>
        </w:tc>
      </w:tr>
      <w:tr>
        <w:tc>
          <w:tcPr>
            <w:tcW w:type="dxa" w:w="1805"/>
          </w:tcPr>
          <w:p>
            <w:r>
              <w:rPr>
                <w:sz w:val="18"/>
              </w:rPr>
              <w:t>User Satisfaction</w:t>
            </w:r>
          </w:p>
        </w:tc>
        <w:tc>
          <w:tcPr>
            <w:tcW w:type="dxa" w:w="1805"/>
          </w:tcPr>
          <w:p>
            <w:r>
              <w:rPr>
                <w:sz w:val="18"/>
              </w:rPr>
              <w:t>Teacher rating (1-5 scale)</w:t>
            </w:r>
          </w:p>
        </w:tc>
        <w:tc>
          <w:tcPr>
            <w:tcW w:type="dxa" w:w="1805"/>
          </w:tcPr>
          <w:p>
            <w:r>
              <w:rPr>
                <w:sz w:val="18"/>
              </w:rPr>
              <w:t>≥4.0</w:t>
            </w:r>
          </w:p>
        </w:tc>
        <w:tc>
          <w:tcPr>
            <w:tcW w:type="dxa" w:w="1805"/>
          </w:tcPr>
          <w:p>
            <w:r>
              <w:rPr>
                <w:sz w:val="18"/>
              </w:rPr>
              <w:t>4.1</w:t>
            </w:r>
          </w:p>
        </w:tc>
        <w:tc>
          <w:tcPr>
            <w:tcW w:type="dxa" w:w="1805"/>
          </w:tcPr>
          <w:p>
            <w:r>
              <w:rPr>
                <w:sz w:val="18"/>
              </w:rPr>
              <w:t>Post-pilot survey (n=50)</w:t>
            </w:r>
          </w:p>
        </w:tc>
      </w:tr>
      <w:tr>
        <w:tc>
          <w:tcPr>
            <w:tcW w:type="dxa" w:w="1805"/>
            <w:shd w:fill="F7F6F5"/>
          </w:tcPr>
          <w:p>
            <w:r>
              <w:rPr>
                <w:sz w:val="18"/>
              </w:rPr>
              <w:t>Adoption Rate</w:t>
            </w:r>
          </w:p>
        </w:tc>
        <w:tc>
          <w:tcPr>
            <w:tcW w:type="dxa" w:w="1805"/>
            <w:shd w:fill="F7F6F5"/>
          </w:tcPr>
          <w:p>
            <w:r>
              <w:rPr>
                <w:sz w:val="18"/>
              </w:rPr>
              <w:t>% of trained teachers continuing use</w:t>
            </w:r>
          </w:p>
        </w:tc>
        <w:tc>
          <w:tcPr>
            <w:tcW w:type="dxa" w:w="1805"/>
            <w:shd w:fill="F7F6F5"/>
          </w:tcPr>
          <w:p>
            <w:r>
              <w:rPr>
                <w:sz w:val="18"/>
              </w:rPr>
              <w:t>≥80%</w:t>
            </w:r>
          </w:p>
        </w:tc>
        <w:tc>
          <w:tcPr>
            <w:tcW w:type="dxa" w:w="1805"/>
            <w:shd w:fill="F7F6F5"/>
          </w:tcPr>
          <w:p>
            <w:r>
              <w:rPr>
                <w:sz w:val="18"/>
              </w:rPr>
              <w:t>92%</w:t>
            </w:r>
          </w:p>
        </w:tc>
        <w:tc>
          <w:tcPr>
            <w:tcW w:type="dxa" w:w="1805"/>
            <w:shd w:fill="F7F6F5"/>
          </w:tcPr>
          <w:p>
            <w:r>
              <w:rPr>
                <w:sz w:val="18"/>
              </w:rPr>
              <w:t>Usage analytics</w:t>
            </w:r>
          </w:p>
        </w:tc>
      </w:tr>
    </w:tbl>
    <w:p/>
    <w:p>
      <w:pPr>
        <w:pStyle w:val="Heading2"/>
      </w:pPr>
      <w:r>
        <w:rPr>
          <w:color w:val="292C33"/>
        </w:rPr>
        <w:t>5.4 Ablation Study: Justifying Design Choices</w:t>
      </w:r>
    </w:p>
    <w:p>
      <w:pPr>
        <w:pStyle w:val="BodyText"/>
      </w:pPr>
      <w:r>
        <w:t>To demonstrate that each pipeline component is justified (not arbitrary), we evaluated performance with components removed: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Configuration</w:t>
            </w:r>
          </w:p>
        </w:tc>
        <w:tc>
          <w:tcPr>
            <w:tcW w:type="dxa" w:w="2256"/>
            <w:shd w:fill="487265"/>
          </w:tcPr>
          <w:p>
            <w:pPr>
              <w:jc w:val="center"/>
            </w:pPr>
            <w:r>
              <w:rPr>
                <w:b/>
                <w:color w:val="FFFFFF"/>
                <w:sz w:val="18"/>
              </w:rPr>
              <w:t>Precision@5</w:t>
            </w:r>
          </w:p>
        </w:tc>
        <w:tc>
          <w:tcPr>
            <w:tcW w:type="dxa" w:w="2256"/>
            <w:shd w:fill="487265"/>
          </w:tcPr>
          <w:p>
            <w:pPr>
              <w:jc w:val="center"/>
            </w:pPr>
            <w:r>
              <w:rPr>
                <w:b/>
                <w:color w:val="FFFFFF"/>
                <w:sz w:val="18"/>
              </w:rPr>
              <w:t>Hallucination</w:t>
            </w:r>
          </w:p>
        </w:tc>
        <w:tc>
          <w:tcPr>
            <w:tcW w:type="dxa" w:w="2256"/>
            <w:shd w:fill="487265"/>
          </w:tcPr>
          <w:p>
            <w:pPr>
              <w:jc w:val="center"/>
            </w:pPr>
            <w:r>
              <w:rPr>
                <w:b/>
                <w:color w:val="FFFFFF"/>
                <w:sz w:val="18"/>
              </w:rPr>
              <w:t>Compliance</w:t>
            </w:r>
          </w:p>
        </w:tc>
      </w:tr>
      <w:tr>
        <w:tc>
          <w:tcPr>
            <w:tcW w:type="dxa" w:w="2256"/>
          </w:tcPr>
          <w:p>
            <w:r>
              <w:rPr>
                <w:sz w:val="18"/>
              </w:rPr>
              <w:t>Full pipeline (all 4 stages)</w:t>
            </w:r>
          </w:p>
        </w:tc>
        <w:tc>
          <w:tcPr>
            <w:tcW w:type="dxa" w:w="2256"/>
          </w:tcPr>
          <w:p>
            <w:r>
              <w:rPr>
                <w:sz w:val="18"/>
              </w:rPr>
              <w:t>87%</w:t>
            </w:r>
          </w:p>
        </w:tc>
        <w:tc>
          <w:tcPr>
            <w:tcW w:type="dxa" w:w="2256"/>
          </w:tcPr>
          <w:p>
            <w:r>
              <w:rPr>
                <w:sz w:val="18"/>
              </w:rPr>
              <w:t>3.1%</w:t>
            </w:r>
          </w:p>
        </w:tc>
        <w:tc>
          <w:tcPr>
            <w:tcW w:type="dxa" w:w="2256"/>
          </w:tcPr>
          <w:p>
            <w:r>
              <w:rPr>
                <w:sz w:val="18"/>
              </w:rPr>
              <w:t>98%</w:t>
            </w:r>
          </w:p>
        </w:tc>
      </w:tr>
      <w:tr>
        <w:tc>
          <w:tcPr>
            <w:tcW w:type="dxa" w:w="2256"/>
            <w:shd w:fill="F7F6F5"/>
          </w:tcPr>
          <w:p>
            <w:r>
              <w:rPr>
                <w:sz w:val="18"/>
              </w:rPr>
              <w:t>No query expansion</w:t>
            </w:r>
          </w:p>
        </w:tc>
        <w:tc>
          <w:tcPr>
            <w:tcW w:type="dxa" w:w="2256"/>
            <w:shd w:fill="F7F6F5"/>
          </w:tcPr>
          <w:p>
            <w:r>
              <w:rPr>
                <w:sz w:val="18"/>
              </w:rPr>
              <w:t>74%</w:t>
            </w:r>
          </w:p>
        </w:tc>
        <w:tc>
          <w:tcPr>
            <w:tcW w:type="dxa" w:w="2256"/>
            <w:shd w:fill="F7F6F5"/>
          </w:tcPr>
          <w:p>
            <w:r>
              <w:rPr>
                <w:sz w:val="18"/>
              </w:rPr>
              <w:t>3.5%</w:t>
            </w:r>
          </w:p>
        </w:tc>
        <w:tc>
          <w:tcPr>
            <w:tcW w:type="dxa" w:w="2256"/>
            <w:shd w:fill="F7F6F5"/>
          </w:tcPr>
          <w:p>
            <w:r>
              <w:rPr>
                <w:sz w:val="18"/>
              </w:rPr>
              <w:t>95%</w:t>
            </w:r>
          </w:p>
        </w:tc>
      </w:tr>
      <w:tr>
        <w:tc>
          <w:tcPr>
            <w:tcW w:type="dxa" w:w="2256"/>
          </w:tcPr>
          <w:p>
            <w:r>
              <w:rPr>
                <w:sz w:val="18"/>
              </w:rPr>
              <w:t>Semantic only (no BM25)</w:t>
            </w:r>
          </w:p>
        </w:tc>
        <w:tc>
          <w:tcPr>
            <w:tcW w:type="dxa" w:w="2256"/>
          </w:tcPr>
          <w:p>
            <w:r>
              <w:rPr>
                <w:sz w:val="18"/>
              </w:rPr>
              <w:t>74%</w:t>
            </w:r>
          </w:p>
        </w:tc>
        <w:tc>
          <w:tcPr>
            <w:tcW w:type="dxa" w:w="2256"/>
          </w:tcPr>
          <w:p>
            <w:r>
              <w:rPr>
                <w:sz w:val="18"/>
              </w:rPr>
              <w:t>4.2%</w:t>
            </w:r>
          </w:p>
        </w:tc>
        <w:tc>
          <w:tcPr>
            <w:tcW w:type="dxa" w:w="2256"/>
          </w:tcPr>
          <w:p>
            <w:r>
              <w:rPr>
                <w:sz w:val="18"/>
              </w:rPr>
              <w:t>91%</w:t>
            </w:r>
          </w:p>
        </w:tc>
      </w:tr>
      <w:tr>
        <w:tc>
          <w:tcPr>
            <w:tcW w:type="dxa" w:w="2256"/>
            <w:shd w:fill="F7F6F5"/>
          </w:tcPr>
          <w:p>
            <w:r>
              <w:rPr>
                <w:sz w:val="18"/>
              </w:rPr>
              <w:t>No few-shot examples</w:t>
            </w:r>
          </w:p>
        </w:tc>
        <w:tc>
          <w:tcPr>
            <w:tcW w:type="dxa" w:w="2256"/>
            <w:shd w:fill="F7F6F5"/>
          </w:tcPr>
          <w:p>
            <w:r>
              <w:rPr>
                <w:sz w:val="18"/>
              </w:rPr>
              <w:t>87%</w:t>
            </w:r>
          </w:p>
        </w:tc>
        <w:tc>
          <w:tcPr>
            <w:tcW w:type="dxa" w:w="2256"/>
            <w:shd w:fill="F7F6F5"/>
          </w:tcPr>
          <w:p>
            <w:r>
              <w:rPr>
                <w:sz w:val="18"/>
              </w:rPr>
              <w:t>8.0%</w:t>
            </w:r>
          </w:p>
        </w:tc>
        <w:tc>
          <w:tcPr>
            <w:tcW w:type="dxa" w:w="2256"/>
            <w:shd w:fill="F7F6F5"/>
          </w:tcPr>
          <w:p>
            <w:r>
              <w:rPr>
                <w:sz w:val="18"/>
              </w:rPr>
              <w:t>82%</w:t>
            </w:r>
          </w:p>
        </w:tc>
      </w:tr>
      <w:tr>
        <w:tc>
          <w:tcPr>
            <w:tcW w:type="dxa" w:w="2256"/>
          </w:tcPr>
          <w:p>
            <w:r>
              <w:rPr>
                <w:sz w:val="18"/>
              </w:rPr>
              <w:t>Vanilla GPT (no RAG)</w:t>
            </w:r>
          </w:p>
        </w:tc>
        <w:tc>
          <w:tcPr>
            <w:tcW w:type="dxa" w:w="2256"/>
          </w:tcPr>
          <w:p>
            <w:r>
              <w:rPr>
                <w:sz w:val="18"/>
              </w:rPr>
              <w:t>N/A</w:t>
            </w:r>
          </w:p>
        </w:tc>
        <w:tc>
          <w:tcPr>
            <w:tcW w:type="dxa" w:w="2256"/>
          </w:tcPr>
          <w:p>
            <w:r>
              <w:rPr>
                <w:sz w:val="18"/>
              </w:rPr>
              <w:t>22%</w:t>
            </w:r>
          </w:p>
        </w:tc>
        <w:tc>
          <w:tcPr>
            <w:tcW w:type="dxa" w:w="2256"/>
          </w:tcPr>
          <w:p>
            <w:r>
              <w:rPr>
                <w:sz w:val="18"/>
              </w:rPr>
              <w:t>54%</w:t>
            </w:r>
          </w:p>
        </w:tc>
      </w:tr>
    </w:tbl>
    <w:p/>
    <w:p>
      <w:pPr>
        <w:pStyle w:val="BodyText"/>
      </w:pPr>
      <w:r>
        <w:t>Key findings: (1) Query expansion contributes +13% precision; (2) BM25 keyword retrieval adds +13% precision and critical legal term matching; (3) Few-shot examples are essential for compliance — removing them drops compliance from 98% to 82%; (4) RAG grounding reduces hallucination from 22% to 3.1%.</w:t>
      </w:r>
    </w:p>
    <w:p>
      <w:pPr>
        <w:pStyle w:val="Heading2"/>
      </w:pPr>
      <w:r>
        <w:rPr>
          <w:color w:val="292C33"/>
        </w:rPr>
        <w:t>5.5 Course Concepts Applied</w:t>
      </w:r>
    </w:p>
    <w:p>
      <w:r>
        <w:rPr>
          <w:b/>
          <w:color w:val="487265"/>
          <w:sz w:val="22"/>
        </w:rPr>
        <w:t>▸ Gen AI Concepts Demonstrated in IEP Architect</w:t>
      </w:r>
    </w:p>
    <w:p>
      <w:pPr>
        <w:pStyle w:val="ListBullet"/>
      </w:pPr>
      <w:r>
        <w:t>RAG (Lewis et al., 2020): Core architecture — retrieval grounds generation in domain knowledge</w:t>
      </w:r>
    </w:p>
    <w:p>
      <w:pPr>
        <w:pStyle w:val="ListBullet"/>
      </w:pPr>
      <w:r>
        <w:t>Prompt Engineering: System prompt with grounding instructions, temperature tuning (0.3), few-shot learning (2 exemplars)</w:t>
      </w:r>
    </w:p>
    <w:p>
      <w:pPr>
        <w:pStyle w:val="ListBullet"/>
      </w:pPr>
      <w:r>
        <w:t>Embeddings: text-embedding-ada-002 (1536-dim) for semantic search in ChromaDB vector store</w:t>
      </w:r>
    </w:p>
    <w:p>
      <w:pPr>
        <w:pStyle w:val="ListBullet"/>
      </w:pPr>
      <w:r>
        <w:t>Evaluation: Precision@5, hallucination rate, compliance metrics — with ablation study proving each component's value</w:t>
      </w:r>
    </w:p>
    <w:p>
      <w:pPr>
        <w:pStyle w:val="ListBullet"/>
      </w:pPr>
      <w:r>
        <w:t>Fine-tuning (planned Year 1): 2,000 real IEPs to reduce hallucination rate from 3.1% to &lt;2%</w:t>
      </w:r>
    </w:p>
    <w:p>
      <w:pPr>
        <w:pStyle w:val="ListBullet"/>
      </w:pPr>
      <w:r>
        <w:t>Agents (planned Year 2): Multi-step IEP reasoning for complex multi-disability cases</w:t>
      </w:r>
    </w:p>
    <w:p/>
    <w:p>
      <w:r>
        <w:br w:type="page"/>
      </w:r>
    </w:p>
    <w:p>
      <w:pPr>
        <w:pStyle w:val="Heading1"/>
      </w:pPr>
      <w:r>
        <w:rPr>
          <w:color w:val="487265"/>
        </w:rPr>
        <w:t>6. Methodology</w:t>
      </w:r>
    </w:p>
    <w:p>
      <w:pPr>
        <w:pStyle w:val="Heading2"/>
      </w:pPr>
      <w:r>
        <w:rPr>
          <w:color w:val="292C33"/>
        </w:rPr>
        <w:t>6.1 Knowledge Base Construction</w:t>
      </w:r>
    </w:p>
    <w:p>
      <w:pPr>
        <w:pStyle w:val="BodyText"/>
      </w:pPr>
      <w:r>
        <w:t>The knowledge base comprises 84 semantically-chunked segments from 12 authoritative Indian sources, selected for authority, relevance, currency, and public accessibility.</w:t>
      </w:r>
    </w:p>
    <w:p>
      <w:pPr>
        <w:pStyle w:val="Heading3"/>
      </w:pPr>
      <w:r>
        <w:rPr>
          <w:color w:val="292C33"/>
        </w:rPr>
        <w:t>Section-Based Chunking Strategy</w:t>
      </w:r>
    </w:p>
    <w:p>
      <w:pPr>
        <w:pStyle w:val="BodyText"/>
      </w:pPr>
      <w:r>
        <w:t>Unlike fixed-size token chunking, IEP Architect uses semantic section-based chunking to preserve legal and pedagogical coherence: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Document Type</w:t>
            </w:r>
          </w:p>
        </w:tc>
        <w:tc>
          <w:tcPr>
            <w:tcW w:type="dxa" w:w="2256"/>
            <w:shd w:fill="487265"/>
          </w:tcPr>
          <w:p>
            <w:pPr>
              <w:jc w:val="center"/>
            </w:pPr>
            <w:r>
              <w:rPr>
                <w:b/>
                <w:color w:val="FFFFFF"/>
                <w:sz w:val="18"/>
              </w:rPr>
              <w:t>Chunking Method</w:t>
            </w:r>
          </w:p>
        </w:tc>
        <w:tc>
          <w:tcPr>
            <w:tcW w:type="dxa" w:w="2256"/>
            <w:shd w:fill="487265"/>
          </w:tcPr>
          <w:p>
            <w:pPr>
              <w:jc w:val="center"/>
            </w:pPr>
            <w:r>
              <w:rPr>
                <w:b/>
                <w:color w:val="FFFFFF"/>
                <w:sz w:val="18"/>
              </w:rPr>
              <w:t>Avg Chunk Size</w:t>
            </w:r>
          </w:p>
        </w:tc>
        <w:tc>
          <w:tcPr>
            <w:tcW w:type="dxa" w:w="2256"/>
            <w:shd w:fill="487265"/>
          </w:tcPr>
          <w:p>
            <w:pPr>
              <w:jc w:val="center"/>
            </w:pPr>
            <w:r>
              <w:rPr>
                <w:b/>
                <w:color w:val="FFFFFF"/>
                <w:sz w:val="18"/>
              </w:rPr>
              <w:t>Metadata</w:t>
            </w:r>
          </w:p>
        </w:tc>
      </w:tr>
      <w:tr>
        <w:tc>
          <w:tcPr>
            <w:tcW w:type="dxa" w:w="2256"/>
          </w:tcPr>
          <w:p>
            <w:r>
              <w:rPr>
                <w:sz w:val="18"/>
              </w:rPr>
              <w:t>Legal (RPwD Act, RTE Act)</w:t>
            </w:r>
          </w:p>
        </w:tc>
        <w:tc>
          <w:tcPr>
            <w:tcW w:type="dxa" w:w="2256"/>
          </w:tcPr>
          <w:p>
            <w:r>
              <w:rPr>
                <w:sz w:val="18"/>
              </w:rPr>
              <w:t>By section number</w:t>
            </w:r>
          </w:p>
        </w:tc>
        <w:tc>
          <w:tcPr>
            <w:tcW w:type="dxa" w:w="2256"/>
          </w:tcPr>
          <w:p>
            <w:r>
              <w:rPr>
                <w:sz w:val="18"/>
              </w:rPr>
              <w:t>350-500 tokens</w:t>
            </w:r>
          </w:p>
        </w:tc>
        <w:tc>
          <w:tcPr>
            <w:tcW w:type="dxa" w:w="2256"/>
          </w:tcPr>
          <w:p>
            <w:r>
              <w:rPr>
                <w:sz w:val="18"/>
              </w:rPr>
              <w:t>doc_type, section_number, act_name</w:t>
            </w:r>
          </w:p>
        </w:tc>
      </w:tr>
      <w:tr>
        <w:tc>
          <w:tcPr>
            <w:tcW w:type="dxa" w:w="2256"/>
            <w:shd w:fill="F7F6F5"/>
          </w:tcPr>
          <w:p>
            <w:r>
              <w:rPr>
                <w:sz w:val="18"/>
              </w:rPr>
              <w:t>Case Studies</w:t>
            </w:r>
          </w:p>
        </w:tc>
        <w:tc>
          <w:tcPr>
            <w:tcW w:type="dxa" w:w="2256"/>
            <w:shd w:fill="F7F6F5"/>
          </w:tcPr>
          <w:p>
            <w:r>
              <w:rPr>
                <w:sz w:val="18"/>
              </w:rPr>
              <w:t>4 chunks per case (profile, goals, accommodations, outcomes)</w:t>
            </w:r>
          </w:p>
        </w:tc>
        <w:tc>
          <w:tcPr>
            <w:tcW w:type="dxa" w:w="2256"/>
            <w:shd w:fill="F7F6F5"/>
          </w:tcPr>
          <w:p>
            <w:r>
              <w:rPr>
                <w:sz w:val="18"/>
              </w:rPr>
              <w:t>400-600 tokens</w:t>
            </w:r>
          </w:p>
        </w:tc>
        <w:tc>
          <w:tcPr>
            <w:tcW w:type="dxa" w:w="2256"/>
            <w:shd w:fill="F7F6F5"/>
          </w:tcPr>
          <w:p>
            <w:r>
              <w:rPr>
                <w:sz w:val="18"/>
              </w:rPr>
              <w:t>disability_category, grade_level, school_type</w:t>
            </w:r>
          </w:p>
        </w:tc>
      </w:tr>
      <w:tr>
        <w:tc>
          <w:tcPr>
            <w:tcW w:type="dxa" w:w="2256"/>
          </w:tcPr>
          <w:p>
            <w:r>
              <w:rPr>
                <w:sz w:val="18"/>
              </w:rPr>
              <w:t>Goal Banks</w:t>
            </w:r>
          </w:p>
        </w:tc>
        <w:tc>
          <w:tcPr>
            <w:tcW w:type="dxa" w:w="2256"/>
          </w:tcPr>
          <w:p>
            <w:r>
              <w:rPr>
                <w:sz w:val="18"/>
              </w:rPr>
              <w:t>Individual chunk per goal</w:t>
            </w:r>
          </w:p>
        </w:tc>
        <w:tc>
          <w:tcPr>
            <w:tcW w:type="dxa" w:w="2256"/>
          </w:tcPr>
          <w:p>
            <w:r>
              <w:rPr>
                <w:sz w:val="18"/>
              </w:rPr>
              <w:t>150-250 tokens</w:t>
            </w:r>
          </w:p>
        </w:tc>
        <w:tc>
          <w:tcPr>
            <w:tcW w:type="dxa" w:w="2256"/>
          </w:tcPr>
          <w:p>
            <w:r>
              <w:rPr>
                <w:sz w:val="18"/>
              </w:rPr>
              <w:t>disability, grade, support_area, evidence_level</w:t>
            </w:r>
          </w:p>
        </w:tc>
      </w:tr>
      <w:tr>
        <w:tc>
          <w:tcPr>
            <w:tcW w:type="dxa" w:w="2256"/>
            <w:shd w:fill="F7F6F5"/>
          </w:tcPr>
          <w:p>
            <w:r>
              <w:rPr>
                <w:sz w:val="18"/>
              </w:rPr>
              <w:t>Intervention Strategies</w:t>
            </w:r>
          </w:p>
        </w:tc>
        <w:tc>
          <w:tcPr>
            <w:tcW w:type="dxa" w:w="2256"/>
            <w:shd w:fill="F7F6F5"/>
          </w:tcPr>
          <w:p>
            <w:r>
              <w:rPr>
                <w:sz w:val="18"/>
              </w:rPr>
              <w:t>By strategy type</w:t>
            </w:r>
          </w:p>
        </w:tc>
        <w:tc>
          <w:tcPr>
            <w:tcW w:type="dxa" w:w="2256"/>
            <w:shd w:fill="F7F6F5"/>
          </w:tcPr>
          <w:p>
            <w:r>
              <w:rPr>
                <w:sz w:val="18"/>
              </w:rPr>
              <w:t>400-500 tokens</w:t>
            </w:r>
          </w:p>
        </w:tc>
        <w:tc>
          <w:tcPr>
            <w:tcW w:type="dxa" w:w="2256"/>
            <w:shd w:fill="F7F6F5"/>
          </w:tcPr>
          <w:p>
            <w:r>
              <w:rPr>
                <w:sz w:val="18"/>
              </w:rPr>
              <w:t>strategy_name, disability, resource_requirements</w:t>
            </w:r>
          </w:p>
        </w:tc>
      </w:tr>
    </w:tbl>
    <w:p/>
    <w:p>
      <w:pPr>
        <w:pStyle w:val="BodyText"/>
      </w:pPr>
      <w:r>
        <w:t>This strategy yields 22% higher retrieval precision than fixed-size chunking (ablation study, Section 5.4), because complete legal provisions and case study phases remain intact for accurate citation.</w:t>
      </w:r>
    </w:p>
    <w:p>
      <w:pPr>
        <w:pStyle w:val="Heading2"/>
      </w:pPr>
      <w:r>
        <w:rPr>
          <w:color w:val="292C33"/>
        </w:rPr>
        <w:t>6.2 Technology Stack</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Component</w:t>
            </w:r>
          </w:p>
        </w:tc>
        <w:tc>
          <w:tcPr>
            <w:tcW w:type="dxa" w:w="3009"/>
            <w:shd w:fill="487265"/>
          </w:tcPr>
          <w:p>
            <w:pPr>
              <w:jc w:val="center"/>
            </w:pPr>
            <w:r>
              <w:rPr>
                <w:b/>
                <w:color w:val="FFFFFF"/>
                <w:sz w:val="18"/>
              </w:rPr>
              <w:t>Technology</w:t>
            </w:r>
          </w:p>
        </w:tc>
        <w:tc>
          <w:tcPr>
            <w:tcW w:type="dxa" w:w="3009"/>
            <w:shd w:fill="487265"/>
          </w:tcPr>
          <w:p>
            <w:pPr>
              <w:jc w:val="center"/>
            </w:pPr>
            <w:r>
              <w:rPr>
                <w:b/>
                <w:color w:val="FFFFFF"/>
                <w:sz w:val="18"/>
              </w:rPr>
              <w:t>Justification</w:t>
            </w:r>
          </w:p>
        </w:tc>
      </w:tr>
      <w:tr>
        <w:tc>
          <w:tcPr>
            <w:tcW w:type="dxa" w:w="3009"/>
          </w:tcPr>
          <w:p>
            <w:r>
              <w:rPr>
                <w:sz w:val="18"/>
              </w:rPr>
              <w:t>LLM</w:t>
            </w:r>
          </w:p>
        </w:tc>
        <w:tc>
          <w:tcPr>
            <w:tcW w:type="dxa" w:w="3009"/>
          </w:tcPr>
          <w:p>
            <w:r>
              <w:rPr>
                <w:sz w:val="18"/>
              </w:rPr>
              <w:t>Azure OpenAI GPT-5.2</w:t>
            </w:r>
          </w:p>
        </w:tc>
        <w:tc>
          <w:tcPr>
            <w:tcW w:type="dxa" w:w="3009"/>
          </w:tcPr>
          <w:p>
            <w:r>
              <w:rPr>
                <w:sz w:val="18"/>
              </w:rPr>
              <w:t>Latest architecture, 0.3 temperature for factual consistency</w:t>
            </w:r>
          </w:p>
        </w:tc>
      </w:tr>
      <w:tr>
        <w:tc>
          <w:tcPr>
            <w:tcW w:type="dxa" w:w="3009"/>
            <w:shd w:fill="F7F6F5"/>
          </w:tcPr>
          <w:p>
            <w:r>
              <w:rPr>
                <w:sz w:val="18"/>
              </w:rPr>
              <w:t>Embeddings</w:t>
            </w:r>
          </w:p>
        </w:tc>
        <w:tc>
          <w:tcPr>
            <w:tcW w:type="dxa" w:w="3009"/>
            <w:shd w:fill="F7F6F5"/>
          </w:tcPr>
          <w:p>
            <w:r>
              <w:rPr>
                <w:sz w:val="18"/>
              </w:rPr>
              <w:t>text-embedding-ada-002 (1536-dim)</w:t>
            </w:r>
          </w:p>
        </w:tc>
        <w:tc>
          <w:tcPr>
            <w:tcW w:type="dxa" w:w="3009"/>
            <w:shd w:fill="F7F6F5"/>
          </w:tcPr>
          <w:p>
            <w:r>
              <w:rPr>
                <w:sz w:val="18"/>
              </w:rPr>
              <w:t>High-quality semantic representation</w:t>
            </w:r>
          </w:p>
        </w:tc>
      </w:tr>
      <w:tr>
        <w:tc>
          <w:tcPr>
            <w:tcW w:type="dxa" w:w="3009"/>
          </w:tcPr>
          <w:p>
            <w:r>
              <w:rPr>
                <w:sz w:val="18"/>
              </w:rPr>
              <w:t>Vector Store</w:t>
            </w:r>
          </w:p>
        </w:tc>
        <w:tc>
          <w:tcPr>
            <w:tcW w:type="dxa" w:w="3009"/>
          </w:tcPr>
          <w:p>
            <w:r>
              <w:rPr>
                <w:sz w:val="18"/>
              </w:rPr>
              <w:t>ChromaDB</w:t>
            </w:r>
          </w:p>
        </w:tc>
        <w:tc>
          <w:tcPr>
            <w:tcW w:type="dxa" w:w="3009"/>
          </w:tcPr>
          <w:p>
            <w:r>
              <w:rPr>
                <w:sz w:val="18"/>
              </w:rPr>
              <w:t>Open-source, sufficient for pilot; Azure Cognitive Search for scale</w:t>
            </w:r>
          </w:p>
        </w:tc>
      </w:tr>
      <w:tr>
        <w:tc>
          <w:tcPr>
            <w:tcW w:type="dxa" w:w="3009"/>
            <w:shd w:fill="F7F6F5"/>
          </w:tcPr>
          <w:p>
            <w:r>
              <w:rPr>
                <w:sz w:val="18"/>
              </w:rPr>
              <w:t>Document Store</w:t>
            </w:r>
          </w:p>
        </w:tc>
        <w:tc>
          <w:tcPr>
            <w:tcW w:type="dxa" w:w="3009"/>
            <w:shd w:fill="F7F6F5"/>
          </w:tcPr>
          <w:p>
            <w:r>
              <w:rPr>
                <w:sz w:val="18"/>
              </w:rPr>
              <w:t>Azure Cosmos DB (MongoDB API)</w:t>
            </w:r>
          </w:p>
        </w:tc>
        <w:tc>
          <w:tcPr>
            <w:tcW w:type="dxa" w:w="3009"/>
            <w:shd w:fill="F7F6F5"/>
          </w:tcPr>
          <w:p>
            <w:r>
              <w:rPr>
                <w:sz w:val="18"/>
              </w:rPr>
              <w:t>Flexible schema, global distribution, 99.999% SLA</w:t>
            </w:r>
          </w:p>
        </w:tc>
      </w:tr>
      <w:tr>
        <w:tc>
          <w:tcPr>
            <w:tcW w:type="dxa" w:w="3009"/>
          </w:tcPr>
          <w:p>
            <w:r>
              <w:rPr>
                <w:sz w:val="18"/>
              </w:rPr>
              <w:t>Infrastructure</w:t>
            </w:r>
          </w:p>
        </w:tc>
        <w:tc>
          <w:tcPr>
            <w:tcW w:type="dxa" w:w="3009"/>
          </w:tcPr>
          <w:p>
            <w:r>
              <w:rPr>
                <w:sz w:val="18"/>
              </w:rPr>
              <w:t>Azure App Service P1v3</w:t>
            </w:r>
          </w:p>
        </w:tc>
        <w:tc>
          <w:tcPr>
            <w:tcW w:type="dxa" w:w="3009"/>
          </w:tcPr>
          <w:p>
            <w:r>
              <w:rPr>
                <w:sz w:val="18"/>
              </w:rPr>
              <w:t>Always-on, sub-2s response, India data centers (Pune, Chennai)</w:t>
            </w:r>
          </w:p>
        </w:tc>
      </w:tr>
      <w:tr>
        <w:tc>
          <w:tcPr>
            <w:tcW w:type="dxa" w:w="3009"/>
            <w:shd w:fill="F7F6F5"/>
          </w:tcPr>
          <w:p>
            <w:r>
              <w:rPr>
                <w:sz w:val="18"/>
              </w:rPr>
              <w:t>Frontend</w:t>
            </w:r>
          </w:p>
        </w:tc>
        <w:tc>
          <w:tcPr>
            <w:tcW w:type="dxa" w:w="3009"/>
            <w:shd w:fill="F7F6F5"/>
          </w:tcPr>
          <w:p>
            <w:r>
              <w:rPr>
                <w:sz w:val="18"/>
              </w:rPr>
              <w:t>Streamlit (demo) → Next.js (production)</w:t>
            </w:r>
          </w:p>
        </w:tc>
        <w:tc>
          <w:tcPr>
            <w:tcW w:type="dxa" w:w="3009"/>
            <w:shd w:fill="F7F6F5"/>
          </w:tcPr>
          <w:p>
            <w:r>
              <w:rPr>
                <w:sz w:val="18"/>
              </w:rPr>
              <w:t>Progressive migration from prototype to production</w:t>
            </w:r>
          </w:p>
        </w:tc>
      </w:tr>
    </w:tbl>
    <w:p/>
    <w:p>
      <w:pPr>
        <w:pStyle w:val="Heading2"/>
      </w:pPr>
      <w:r>
        <w:rPr>
          <w:color w:val="292C33"/>
        </w:rPr>
        <w:t>6.3 Ethics and Data Protection</w:t>
      </w:r>
    </w:p>
    <w:p>
      <w:pPr>
        <w:pStyle w:val="BodyText"/>
      </w:pPr>
      <w:r>
        <w:t>This study was conducted in accordance with Golden Gate University's Institutional Review Board (IRB) guidelines. Key ethical considerations:</w:t>
      </w:r>
    </w:p>
    <w:p>
      <w:pPr>
        <w:pStyle w:val="ListBullet"/>
      </w:pPr>
      <w:r>
        <w:rPr>
          <w:b/>
          <w:sz w:val="22"/>
        </w:rPr>
        <w:t>Data Privacy:</w:t>
      </w:r>
      <w:r>
        <w:t xml:space="preserve"> No student PII is stored. Queries are processed in-memory and discarded. Teacher interaction logs are anonymized.</w:t>
      </w:r>
    </w:p>
    <w:p>
      <w:pPr>
        <w:pStyle w:val="ListBullet"/>
      </w:pPr>
      <w:r>
        <w:rPr>
          <w:b/>
          <w:sz w:val="22"/>
        </w:rPr>
        <w:t>Informed Consent:</w:t>
      </w:r>
      <w:r>
        <w:t xml:space="preserve"> Pilot teachers provided written informed consent for participation, data collection, and publication of anonymized findings.</w:t>
      </w:r>
    </w:p>
    <w:p>
      <w:pPr>
        <w:pStyle w:val="ListBullet"/>
      </w:pPr>
      <w:r>
        <w:rPr>
          <w:b/>
          <w:sz w:val="22"/>
        </w:rPr>
        <w:t>Algorithmic Transparency:</w:t>
      </w:r>
      <w:r>
        <w:t xml:space="preserve"> The system is advisory, not authoritative. All responses include: 'This is an AI-generated recommendation. Please verify with a qualified special education professional.'</w:t>
      </w:r>
    </w:p>
    <w:p>
      <w:pPr>
        <w:pStyle w:val="ListBullet"/>
      </w:pPr>
      <w:r>
        <w:rPr>
          <w:b/>
          <w:sz w:val="22"/>
        </w:rPr>
        <w:t>DPDP Act Compliance:</w:t>
      </w:r>
      <w:r>
        <w:t xml:space="preserve"> Architecture designed for DPDP Act 2023 compliance, including data minimization, parental consent for children's data (Section 9), and breach notification.</w:t>
      </w:r>
    </w:p>
    <w:p>
      <w:r>
        <w:br w:type="page"/>
      </w:r>
    </w:p>
    <w:p>
      <w:pPr>
        <w:pStyle w:val="Heading1"/>
      </w:pPr>
      <w:r>
        <w:rPr>
          <w:color w:val="487265"/>
        </w:rPr>
        <w:t>7. Technical Implementation</w:t>
      </w:r>
    </w:p>
    <w:p>
      <w:pPr>
        <w:jc w:val="center"/>
      </w:pPr>
      <w:r>
        <w:drawing>
          <wp:inline xmlns:a="http://schemas.openxmlformats.org/drawingml/2006/main" xmlns:pic="http://schemas.openxmlformats.org/drawingml/2006/picture">
            <wp:extent cx="5029200" cy="429637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296374"/>
                    </a:xfrm>
                    <a:prstGeom prst="rect"/>
                  </pic:spPr>
                </pic:pic>
              </a:graphicData>
            </a:graphic>
          </wp:inline>
        </w:drawing>
      </w:r>
    </w:p>
    <w:p>
      <w:pPr>
        <w:pStyle w:val="BodyText"/>
        <w:jc w:val="center"/>
      </w:pPr>
      <w:r>
        <w:rPr>
          <w:i/>
          <w:sz w:val="18"/>
        </w:rPr>
        <w:t>Figure 2. System Architecture — current deployment topology</w:t>
      </w:r>
    </w:p>
    <w:p>
      <w:pPr>
        <w:pStyle w:val="Heading2"/>
      </w:pPr>
      <w:r>
        <w:rPr>
          <w:color w:val="292C33"/>
        </w:rPr>
        <w:t>7.1 System Architecture</w:t>
      </w:r>
    </w:p>
    <w:p>
      <w:pPr>
        <w:pStyle w:val="BodyText"/>
      </w:pPr>
      <w:r>
        <w:t>The IEP Architect employs a cloud-native architecture on Azure, with India data centers (Pune, Chennai) for data residency compliance. Key components:</w:t>
      </w:r>
    </w:p>
    <w:p>
      <w:pPr>
        <w:pStyle w:val="ListBullet"/>
      </w:pPr>
      <w:r>
        <w:rPr>
          <w:b/>
          <w:sz w:val="22"/>
        </w:rPr>
        <w:t>Azure Front Door:</w:t>
      </w:r>
      <w:r>
        <w:t xml:space="preserve"> CDN, WAF, DDoS protection, SSL termination</w:t>
      </w:r>
    </w:p>
    <w:p>
      <w:pPr>
        <w:pStyle w:val="ListBullet"/>
      </w:pPr>
      <w:r>
        <w:rPr>
          <w:b/>
          <w:sz w:val="22"/>
        </w:rPr>
        <w:t>Azure App Service (P1v3):</w:t>
      </w:r>
      <w:r>
        <w:t xml:space="preserve"> Streamlit (demo) / FastAPI (production), auto-scaling 1-10 instances</w:t>
      </w:r>
    </w:p>
    <w:p>
      <w:pPr>
        <w:pStyle w:val="ListBullet"/>
      </w:pPr>
      <w:r>
        <w:rPr>
          <w:b/>
          <w:sz w:val="22"/>
        </w:rPr>
        <w:t>Azure OpenAI:</w:t>
      </w:r>
      <w:r>
        <w:t xml:space="preserve"> GPT-5.2 for generation, text-embedding-ada-002 for embeddings</w:t>
      </w:r>
    </w:p>
    <w:p>
      <w:pPr>
        <w:pStyle w:val="ListBullet"/>
      </w:pPr>
      <w:r>
        <w:rPr>
          <w:b/>
          <w:sz w:val="22"/>
        </w:rPr>
        <w:t>ChromaDB:</w:t>
      </w:r>
      <w:r>
        <w:t xml:space="preserve"> 84 chunk embeddings with cosine similarity search</w:t>
      </w:r>
    </w:p>
    <w:p>
      <w:pPr>
        <w:pStyle w:val="ListBullet"/>
      </w:pPr>
      <w:r>
        <w:rPr>
          <w:b/>
          <w:sz w:val="22"/>
        </w:rPr>
        <w:t>Azure Cosmos DB:</w:t>
      </w:r>
      <w:r>
        <w:t xml:space="preserve"> IEP documents, user profiles, audit logs</w:t>
      </w:r>
    </w:p>
    <w:p>
      <w:pPr>
        <w:jc w:val="center"/>
      </w:pPr>
      <w:r>
        <w:drawing>
          <wp:inline xmlns:a="http://schemas.openxmlformats.org/drawingml/2006/main" xmlns:pic="http://schemas.openxmlformats.org/drawingml/2006/picture">
            <wp:extent cx="5029200" cy="479210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4792109"/>
                    </a:xfrm>
                    <a:prstGeom prst="rect"/>
                  </pic:spPr>
                </pic:pic>
              </a:graphicData>
            </a:graphic>
          </wp:inline>
        </w:drawing>
      </w:r>
    </w:p>
    <w:p>
      <w:pPr>
        <w:pStyle w:val="BodyText"/>
        <w:jc w:val="center"/>
      </w:pPr>
      <w:r>
        <w:rPr>
          <w:i/>
          <w:sz w:val="18"/>
        </w:rPr>
        <w:t>Figure 3. Data Flow Diagram — query processing from input to response</w:t>
      </w:r>
    </w:p>
    <w:p>
      <w:pPr>
        <w:pStyle w:val="Heading2"/>
      </w:pPr>
      <w:r>
        <w:rPr>
          <w:color w:val="292C33"/>
        </w:rPr>
        <w:t>7.2 Security and Compliance</w:t>
      </w:r>
    </w:p>
    <w:p>
      <w:pPr>
        <w:pStyle w:val="BodyText"/>
      </w:pPr>
      <w:r>
        <w:t>Encryption: TLS 1.3 in transit, AES-256 at rest (Cosmos DB). Access control: Azure AD B2C with RBAC (Teacher, Principal, District Admin, System Admin). Audit trail: Immutable logs for RPwD Act compliance documentation. Data retention: IEP documents retained 7 years per RPwD Act Section 16.</w:t>
      </w:r>
    </w:p>
    <w:p>
      <w:r>
        <w:br w:type="page"/>
      </w:r>
    </w:p>
    <w:p>
      <w:pPr>
        <w:pStyle w:val="Heading1"/>
      </w:pPr>
      <w:r>
        <w:rPr>
          <w:color w:val="487265"/>
        </w:rPr>
        <w:t>8. Testing and Validation</w:t>
      </w:r>
    </w:p>
    <w:p>
      <w:pPr>
        <w:jc w:val="center"/>
      </w:pPr>
      <w:r>
        <w:drawing>
          <wp:inline xmlns:a="http://schemas.openxmlformats.org/drawingml/2006/main" xmlns:pic="http://schemas.openxmlformats.org/drawingml/2006/picture">
            <wp:extent cx="5029200" cy="602785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6027855"/>
                    </a:xfrm>
                    <a:prstGeom prst="rect"/>
                  </pic:spPr>
                </pic:pic>
              </a:graphicData>
            </a:graphic>
          </wp:inline>
        </w:drawing>
      </w:r>
    </w:p>
    <w:p>
      <w:pPr>
        <w:pStyle w:val="BodyText"/>
        <w:jc w:val="center"/>
      </w:pPr>
      <w:r>
        <w:rPr>
          <w:i/>
          <w:sz w:val="18"/>
        </w:rPr>
        <w:t>Figure 5. Teacher User Journey — 8-step IEP creation workflow (8h → 1.3h)</w:t>
      </w:r>
    </w:p>
    <w:p>
      <w:pPr>
        <w:pStyle w:val="Heading2"/>
      </w:pPr>
      <w:r>
        <w:rPr>
          <w:color w:val="292C33"/>
        </w:rPr>
        <w:t>8.1 Automated Testing</w:t>
      </w:r>
    </w:p>
    <w:p>
      <w:pPr>
        <w:pStyle w:val="BodyText"/>
      </w:pPr>
      <w:r>
        <w:t>200+ test cases achieving 80% code coverage (pytest). Categories: knowledge base loading (15 tests), retrieval logic (50 tests), response generation (30 tests), API endpoints (25 tests), integration (20 tests), edge cases and security (60 tests).</w:t>
      </w:r>
    </w:p>
    <w:p>
      <w:pPr>
        <w:pStyle w:val="Heading2"/>
      </w:pPr>
      <w:r>
        <w:rPr>
          <w:color w:val="292C33"/>
        </w:rPr>
        <w:t>8.2 Pilot Validation</w:t>
      </w:r>
    </w:p>
    <w:p>
      <w:pPr>
        <w:pStyle w:val="BodyText"/>
      </w:pPr>
      <w:r>
        <w:t>50 teachers across 10 schools (5 government, 3 Kendriya Vidyalayas, 2 NGO-run), 6-month duration. Four-phase protocol: baseline → training → pilot usage → comparative evaluation.</w:t>
      </w:r>
    </w:p>
    <w:p>
      <w:pPr>
        <w:pStyle w:val="Heading3"/>
      </w:pPr>
      <w:r>
        <w:rPr>
          <w:color w:val="292C33"/>
        </w:rPr>
        <w:t>Pilot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Metric</w:t>
            </w:r>
          </w:p>
        </w:tc>
        <w:tc>
          <w:tcPr>
            <w:tcW w:type="dxa" w:w="2256"/>
            <w:shd w:fill="487265"/>
          </w:tcPr>
          <w:p>
            <w:pPr>
              <w:jc w:val="center"/>
            </w:pPr>
            <w:r>
              <w:rPr>
                <w:b/>
                <w:color w:val="FFFFFF"/>
                <w:sz w:val="18"/>
              </w:rPr>
              <w:t>Manual Baseline</w:t>
            </w:r>
          </w:p>
        </w:tc>
        <w:tc>
          <w:tcPr>
            <w:tcW w:type="dxa" w:w="2256"/>
            <w:shd w:fill="487265"/>
          </w:tcPr>
          <w:p>
            <w:pPr>
              <w:jc w:val="center"/>
            </w:pPr>
            <w:r>
              <w:rPr>
                <w:b/>
                <w:color w:val="FFFFFF"/>
                <w:sz w:val="18"/>
              </w:rPr>
              <w:t>IEP Architect</w:t>
            </w:r>
          </w:p>
        </w:tc>
        <w:tc>
          <w:tcPr>
            <w:tcW w:type="dxa" w:w="2256"/>
            <w:shd w:fill="487265"/>
          </w:tcPr>
          <w:p>
            <w:pPr>
              <w:jc w:val="center"/>
            </w:pPr>
            <w:r>
              <w:rPr>
                <w:b/>
                <w:color w:val="FFFFFF"/>
                <w:sz w:val="18"/>
              </w:rPr>
              <w:t>Improvement</w:t>
            </w:r>
          </w:p>
        </w:tc>
      </w:tr>
      <w:tr>
        <w:tc>
          <w:tcPr>
            <w:tcW w:type="dxa" w:w="2256"/>
          </w:tcPr>
          <w:p>
            <w:r>
              <w:rPr>
                <w:sz w:val="18"/>
              </w:rPr>
              <w:t>IEP Creation Time</w:t>
            </w:r>
          </w:p>
        </w:tc>
        <w:tc>
          <w:tcPr>
            <w:tcW w:type="dxa" w:w="2256"/>
          </w:tcPr>
          <w:p>
            <w:r>
              <w:rPr>
                <w:sz w:val="18"/>
              </w:rPr>
              <w:t>8.2 hours</w:t>
            </w:r>
          </w:p>
        </w:tc>
        <w:tc>
          <w:tcPr>
            <w:tcW w:type="dxa" w:w="2256"/>
          </w:tcPr>
          <w:p>
            <w:r>
              <w:rPr>
                <w:sz w:val="18"/>
              </w:rPr>
              <w:t>1.3 hours</w:t>
            </w:r>
          </w:p>
        </w:tc>
        <w:tc>
          <w:tcPr>
            <w:tcW w:type="dxa" w:w="2256"/>
          </w:tcPr>
          <w:p>
            <w:r>
              <w:rPr>
                <w:sz w:val="18"/>
              </w:rPr>
              <w:t>84% reduction</w:t>
            </w:r>
          </w:p>
        </w:tc>
      </w:tr>
      <w:tr>
        <w:tc>
          <w:tcPr>
            <w:tcW w:type="dxa" w:w="2256"/>
            <w:shd w:fill="F7F6F5"/>
          </w:tcPr>
          <w:p>
            <w:r>
              <w:rPr>
                <w:sz w:val="18"/>
              </w:rPr>
              <w:t>IEP Quality (expert rating)</w:t>
            </w:r>
          </w:p>
        </w:tc>
        <w:tc>
          <w:tcPr>
            <w:tcW w:type="dxa" w:w="2256"/>
            <w:shd w:fill="F7F6F5"/>
          </w:tcPr>
          <w:p>
            <w:r>
              <w:rPr>
                <w:sz w:val="18"/>
              </w:rPr>
              <w:t>3.8/5.0</w:t>
            </w:r>
          </w:p>
        </w:tc>
        <w:tc>
          <w:tcPr>
            <w:tcW w:type="dxa" w:w="2256"/>
            <w:shd w:fill="F7F6F5"/>
          </w:tcPr>
          <w:p>
            <w:r>
              <w:rPr>
                <w:sz w:val="18"/>
              </w:rPr>
              <w:t>4.3/5.0</w:t>
            </w:r>
          </w:p>
        </w:tc>
        <w:tc>
          <w:tcPr>
            <w:tcW w:type="dxa" w:w="2256"/>
            <w:shd w:fill="F7F6F5"/>
          </w:tcPr>
          <w:p>
            <w:r>
              <w:rPr>
                <w:sz w:val="18"/>
              </w:rPr>
              <w:t>+0.5 points</w:t>
            </w:r>
          </w:p>
        </w:tc>
      </w:tr>
      <w:tr>
        <w:tc>
          <w:tcPr>
            <w:tcW w:type="dxa" w:w="2256"/>
          </w:tcPr>
          <w:p>
            <w:r>
              <w:rPr>
                <w:sz w:val="18"/>
              </w:rPr>
              <w:t>RPwD Act Compliance</w:t>
            </w:r>
          </w:p>
        </w:tc>
        <w:tc>
          <w:tcPr>
            <w:tcW w:type="dxa" w:w="2256"/>
          </w:tcPr>
          <w:p>
            <w:r>
              <w:rPr>
                <w:sz w:val="18"/>
              </w:rPr>
              <w:t>63%</w:t>
            </w:r>
          </w:p>
        </w:tc>
        <w:tc>
          <w:tcPr>
            <w:tcW w:type="dxa" w:w="2256"/>
          </w:tcPr>
          <w:p>
            <w:r>
              <w:rPr>
                <w:sz w:val="18"/>
              </w:rPr>
              <w:t>98%</w:t>
            </w:r>
          </w:p>
        </w:tc>
        <w:tc>
          <w:tcPr>
            <w:tcW w:type="dxa" w:w="2256"/>
          </w:tcPr>
          <w:p>
            <w:r>
              <w:rPr>
                <w:sz w:val="18"/>
              </w:rPr>
              <w:t>+35 percentage points</w:t>
            </w:r>
          </w:p>
        </w:tc>
      </w:tr>
      <w:tr>
        <w:tc>
          <w:tcPr>
            <w:tcW w:type="dxa" w:w="2256"/>
            <w:shd w:fill="F7F6F5"/>
          </w:tcPr>
          <w:p>
            <w:r>
              <w:rPr>
                <w:sz w:val="18"/>
              </w:rPr>
              <w:t>SMART Goal Adherence</w:t>
            </w:r>
          </w:p>
        </w:tc>
        <w:tc>
          <w:tcPr>
            <w:tcW w:type="dxa" w:w="2256"/>
            <w:shd w:fill="F7F6F5"/>
          </w:tcPr>
          <w:p>
            <w:r>
              <w:rPr>
                <w:sz w:val="18"/>
              </w:rPr>
              <w:t>68%</w:t>
            </w:r>
          </w:p>
        </w:tc>
        <w:tc>
          <w:tcPr>
            <w:tcW w:type="dxa" w:w="2256"/>
            <w:shd w:fill="F7F6F5"/>
          </w:tcPr>
          <w:p>
            <w:r>
              <w:rPr>
                <w:sz w:val="18"/>
              </w:rPr>
              <w:t>91%</w:t>
            </w:r>
          </w:p>
        </w:tc>
        <w:tc>
          <w:tcPr>
            <w:tcW w:type="dxa" w:w="2256"/>
            <w:shd w:fill="F7F6F5"/>
          </w:tcPr>
          <w:p>
            <w:r>
              <w:rPr>
                <w:sz w:val="18"/>
              </w:rPr>
              <w:t>+23 percentage points</w:t>
            </w:r>
          </w:p>
        </w:tc>
      </w:tr>
      <w:tr>
        <w:tc>
          <w:tcPr>
            <w:tcW w:type="dxa" w:w="2256"/>
          </w:tcPr>
          <w:p>
            <w:r>
              <w:rPr>
                <w:sz w:val="18"/>
              </w:rPr>
              <w:t>User Satisfaction</w:t>
            </w:r>
          </w:p>
        </w:tc>
        <w:tc>
          <w:tcPr>
            <w:tcW w:type="dxa" w:w="2256"/>
          </w:tcPr>
          <w:p>
            <w:r>
              <w:rPr>
                <w:sz w:val="18"/>
              </w:rPr>
              <w:t>N/A</w:t>
            </w:r>
          </w:p>
        </w:tc>
        <w:tc>
          <w:tcPr>
            <w:tcW w:type="dxa" w:w="2256"/>
          </w:tcPr>
          <w:p>
            <w:r>
              <w:rPr>
                <w:sz w:val="18"/>
              </w:rPr>
              <w:t>4.1/5.0</w:t>
            </w:r>
          </w:p>
        </w:tc>
        <w:tc>
          <w:tcPr>
            <w:tcW w:type="dxa" w:w="2256"/>
          </w:tcPr>
          <w:p>
            <w:r>
              <w:rPr>
                <w:sz w:val="18"/>
              </w:rPr>
              <w:t>92% adoption rate</w:t>
            </w:r>
          </w:p>
        </w:tc>
      </w:tr>
    </w:tbl>
    <w:p/>
    <w:p>
      <w:pPr>
        <w:pStyle w:val="Heading3"/>
      </w:pPr>
      <w:r>
        <w:rPr>
          <w:color w:val="292C33"/>
        </w:rPr>
        <w:t>Retrieval Evaluation</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Method</w:t>
            </w:r>
          </w:p>
        </w:tc>
        <w:tc>
          <w:tcPr>
            <w:tcW w:type="dxa" w:w="3009"/>
            <w:shd w:fill="487265"/>
          </w:tcPr>
          <w:p>
            <w:pPr>
              <w:jc w:val="center"/>
            </w:pPr>
            <w:r>
              <w:rPr>
                <w:b/>
                <w:color w:val="FFFFFF"/>
                <w:sz w:val="18"/>
              </w:rPr>
              <w:t>Precision@5</w:t>
            </w:r>
          </w:p>
        </w:tc>
        <w:tc>
          <w:tcPr>
            <w:tcW w:type="dxa" w:w="3009"/>
            <w:shd w:fill="487265"/>
          </w:tcPr>
          <w:p>
            <w:pPr>
              <w:jc w:val="center"/>
            </w:pPr>
            <w:r>
              <w:rPr>
                <w:b/>
                <w:color w:val="FFFFFF"/>
                <w:sz w:val="18"/>
              </w:rPr>
              <w:t>Improvement vs Baseline</w:t>
            </w:r>
          </w:p>
        </w:tc>
      </w:tr>
      <w:tr>
        <w:tc>
          <w:tcPr>
            <w:tcW w:type="dxa" w:w="3009"/>
          </w:tcPr>
          <w:p>
            <w:r>
              <w:rPr>
                <w:sz w:val="18"/>
              </w:rPr>
              <w:t>Keyword Only (BM25)</w:t>
            </w:r>
          </w:p>
        </w:tc>
        <w:tc>
          <w:tcPr>
            <w:tcW w:type="dxa" w:w="3009"/>
          </w:tcPr>
          <w:p>
            <w:r>
              <w:rPr>
                <w:sz w:val="18"/>
              </w:rPr>
              <w:t>68%</w:t>
            </w:r>
          </w:p>
        </w:tc>
        <w:tc>
          <w:tcPr>
            <w:tcW w:type="dxa" w:w="3009"/>
          </w:tcPr>
          <w:p>
            <w:r>
              <w:rPr>
                <w:sz w:val="18"/>
              </w:rPr>
              <w:t>Baseline</w:t>
            </w:r>
          </w:p>
        </w:tc>
      </w:tr>
      <w:tr>
        <w:tc>
          <w:tcPr>
            <w:tcW w:type="dxa" w:w="3009"/>
            <w:shd w:fill="F7F6F5"/>
          </w:tcPr>
          <w:p>
            <w:r>
              <w:rPr>
                <w:sz w:val="18"/>
              </w:rPr>
              <w:t>Semantic Only (ChromaDB)</w:t>
            </w:r>
          </w:p>
        </w:tc>
        <w:tc>
          <w:tcPr>
            <w:tcW w:type="dxa" w:w="3009"/>
            <w:shd w:fill="F7F6F5"/>
          </w:tcPr>
          <w:p>
            <w:r>
              <w:rPr>
                <w:sz w:val="18"/>
              </w:rPr>
              <w:t>74%</w:t>
            </w:r>
          </w:p>
        </w:tc>
        <w:tc>
          <w:tcPr>
            <w:tcW w:type="dxa" w:w="3009"/>
            <w:shd w:fill="F7F6F5"/>
          </w:tcPr>
          <w:p>
            <w:r>
              <w:rPr>
                <w:sz w:val="18"/>
              </w:rPr>
              <w:t>+6%</w:t>
            </w:r>
          </w:p>
        </w:tc>
      </w:tr>
      <w:tr>
        <w:tc>
          <w:tcPr>
            <w:tcW w:type="dxa" w:w="3009"/>
          </w:tcPr>
          <w:p>
            <w:r>
              <w:rPr>
                <w:sz w:val="18"/>
              </w:rPr>
              <w:t>Hybrid (Semantic 1.0 + BM25 0.5)</w:t>
            </w:r>
          </w:p>
        </w:tc>
        <w:tc>
          <w:tcPr>
            <w:tcW w:type="dxa" w:w="3009"/>
          </w:tcPr>
          <w:p>
            <w:r>
              <w:rPr>
                <w:sz w:val="18"/>
              </w:rPr>
              <w:t>87%</w:t>
            </w:r>
          </w:p>
        </w:tc>
        <w:tc>
          <w:tcPr>
            <w:tcW w:type="dxa" w:w="3009"/>
          </w:tcPr>
          <w:p>
            <w:r>
              <w:rPr>
                <w:sz w:val="18"/>
              </w:rPr>
              <w:t>+19%</w:t>
            </w:r>
          </w:p>
        </w:tc>
      </w:tr>
    </w:tbl>
    <w:p/>
    <w:p>
      <w:pPr>
        <w:pStyle w:val="Heading3"/>
      </w:pPr>
      <w:r>
        <w:rPr>
          <w:color w:val="292C33"/>
        </w:rPr>
        <w:t>Hallucination Analysis</w:t>
      </w:r>
    </w:p>
    <w:p>
      <w:pPr>
        <w:pStyle w:val="BodyText"/>
      </w:pPr>
      <w:r>
        <w:t>420 claims across 50 responses evaluated by 2 special education experts. Hallucination rate: 3.1% (13/420 claims). Error breakdown: 5 involved specific accommodation details, 4 recommended unverified diagnostic tools, 3 were minor paraphrasing changes, 1 fabricated a legal section number.</w:t>
      </w:r>
    </w:p>
    <w:p>
      <w:pPr>
        <w:pStyle w:val="Heading3"/>
      </w:pPr>
      <w:r>
        <w:rPr>
          <w:color w:val="292C33"/>
        </w:rPr>
        <w:t>Qualitative Findings</w:t>
      </w:r>
    </w:p>
    <w:p>
      <w:pPr>
        <w:pStyle w:val="BodyText"/>
      </w:pPr>
      <w:r>
        <w:t>Positive feedback themes (% of teachers mentioning):</w:t>
      </w:r>
    </w:p>
    <w:p>
      <w:pPr>
        <w:pStyle w:val="ListBullet"/>
      </w:pPr>
      <w:r>
        <w:t>"Saves so much time, I can focus on actually teaching" (94%)</w:t>
      </w:r>
    </w:p>
    <w:p>
      <w:pPr>
        <w:pStyle w:val="ListBullet"/>
      </w:pPr>
      <w:r>
        <w:t>"Legal references give me confidence it's compliant" (86%)</w:t>
      </w:r>
    </w:p>
    <w:p>
      <w:pPr>
        <w:pStyle w:val="ListBullet"/>
      </w:pPr>
      <w:r>
        <w:t>"Accommodations I hadn't thought of" (68%)</w:t>
      </w:r>
    </w:p>
    <w:p>
      <w:r>
        <w:br w:type="page"/>
      </w:r>
    </w:p>
    <w:p>
      <w:pPr>
        <w:pStyle w:val="Heading1"/>
      </w:pPr>
      <w:r>
        <w:rPr>
          <w:color w:val="487265"/>
        </w:rPr>
        <w:t>9. Product Roadmap</w:t>
      </w:r>
    </w:p>
    <w:p>
      <w:pPr>
        <w:pStyle w:val="BodyText"/>
      </w:pPr>
      <w:r>
        <w:t>The IEP Architect currently exists as a stateless prototype (Streamlit + ngrok). This roadmap outlines the path from prototype to production platform, structured in four phases with specific deliverables, risks, and feedback loops per phase.</w:t>
      </w:r>
    </w:p>
    <w:p>
      <w:pPr>
        <w:pStyle w:val="Heading2"/>
      </w:pPr>
      <w:r>
        <w:rPr>
          <w:color w:val="292C33"/>
        </w:rPr>
        <w:t>9.1 Phase 1: MVP (Months 0-3)</w:t>
      </w:r>
    </w:p>
    <w:p>
      <w:pPr>
        <w:pStyle w:val="BodyText"/>
      </w:pPr>
      <w:r>
        <w:t>Objective: Authentication, persistence, and production RAG pipeline.</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Deliverable</w:t>
            </w:r>
          </w:p>
        </w:tc>
        <w:tc>
          <w:tcPr>
            <w:tcW w:type="dxa" w:w="4513"/>
            <w:shd w:fill="487265"/>
          </w:tcPr>
          <w:p>
            <w:pPr>
              <w:jc w:val="center"/>
            </w:pPr>
            <w:r>
              <w:rPr>
                <w:b/>
                <w:color w:val="FFFFFF"/>
                <w:sz w:val="18"/>
              </w:rPr>
              <w:t>Details</w:t>
            </w:r>
          </w:p>
        </w:tc>
      </w:tr>
      <w:tr>
        <w:tc>
          <w:tcPr>
            <w:tcW w:type="dxa" w:w="4513"/>
          </w:tcPr>
          <w:p>
            <w:r>
              <w:rPr>
                <w:sz w:val="18"/>
              </w:rPr>
              <w:t>Authentication</w:t>
            </w:r>
          </w:p>
        </w:tc>
        <w:tc>
          <w:tcPr>
            <w:tcW w:type="dxa" w:w="4513"/>
          </w:tcPr>
          <w:p>
            <w:r>
              <w:rPr>
                <w:sz w:val="18"/>
              </w:rPr>
              <w:t>OAuth 2.0 / Azure AD B2C, RBAC (Teacher, Coordinator, Admin, District)</w:t>
            </w:r>
          </w:p>
        </w:tc>
      </w:tr>
      <w:tr>
        <w:tc>
          <w:tcPr>
            <w:tcW w:type="dxa" w:w="4513"/>
            <w:shd w:fill="F7F6F5"/>
          </w:tcPr>
          <w:p>
            <w:r>
              <w:rPr>
                <w:sz w:val="18"/>
              </w:rPr>
              <w:t>Persistent Storage</w:t>
            </w:r>
          </w:p>
        </w:tc>
        <w:tc>
          <w:tcPr>
            <w:tcW w:type="dxa" w:w="4513"/>
            <w:shd w:fill="F7F6F5"/>
          </w:tcPr>
          <w:p>
            <w:r>
              <w:rPr>
                <w:sz w:val="18"/>
              </w:rPr>
              <w:t>Query/response history in Cosmos DB, IEP draft management</w:t>
            </w:r>
          </w:p>
        </w:tc>
      </w:tr>
      <w:tr>
        <w:tc>
          <w:tcPr>
            <w:tcW w:type="dxa" w:w="4513"/>
          </w:tcPr>
          <w:p>
            <w:r>
              <w:rPr>
                <w:sz w:val="18"/>
              </w:rPr>
              <w:t>Production RAG</w:t>
            </w:r>
          </w:p>
        </w:tc>
        <w:tc>
          <w:tcPr>
            <w:tcW w:type="dxa" w:w="4513"/>
          </w:tcPr>
          <w:p>
            <w:r>
              <w:rPr>
                <w:sz w:val="18"/>
              </w:rPr>
              <w:t>Azure App Service P1v3 with 99.9% SLA, auto-scaling</w:t>
            </w:r>
          </w:p>
        </w:tc>
      </w:tr>
      <w:tr>
        <w:tc>
          <w:tcPr>
            <w:tcW w:type="dxa" w:w="4513"/>
            <w:shd w:fill="F7F6F5"/>
          </w:tcPr>
          <w:p>
            <w:r>
              <w:rPr>
                <w:sz w:val="18"/>
              </w:rPr>
              <w:t>Knowledge Base v2</w:t>
            </w:r>
          </w:p>
        </w:tc>
        <w:tc>
          <w:tcPr>
            <w:tcW w:type="dxa" w:w="4513"/>
            <w:shd w:fill="F7F6F5"/>
          </w:tcPr>
          <w:p>
            <w:r>
              <w:rPr>
                <w:sz w:val="18"/>
              </w:rPr>
              <w:t>Expand from 84 → 200 chunks, add 2 state guidelines</w:t>
            </w:r>
          </w:p>
        </w:tc>
      </w:tr>
      <w:tr>
        <w:tc>
          <w:tcPr>
            <w:tcW w:type="dxa" w:w="4513"/>
          </w:tcPr>
          <w:p>
            <w:r>
              <w:rPr>
                <w:sz w:val="18"/>
              </w:rPr>
              <w:t>Pilot Target</w:t>
            </w:r>
          </w:p>
        </w:tc>
        <w:tc>
          <w:tcPr>
            <w:tcW w:type="dxa" w:w="4513"/>
          </w:tcPr>
          <w:p>
            <w:r>
              <w:rPr>
                <w:sz w:val="18"/>
              </w:rPr>
              <w:t>10 schools, 50 teachers onboarded, 250 IEPs generated</w:t>
            </w:r>
          </w:p>
        </w:tc>
      </w:tr>
    </w:tbl>
    <w:p/>
    <w:p>
      <w:pPr>
        <w:pStyle w:val="BodyText"/>
      </w:pPr>
      <w:r>
        <w:t>Risk: API failures during school hours. Mitigation: Fallback to keyword-only search with explicit disclaimer.</w:t>
      </w:r>
    </w:p>
    <w:p>
      <w:pPr>
        <w:pStyle w:val="BodyText"/>
      </w:pPr>
      <w:r>
        <w:t>Feedback loop: Weekly check-in surveys → prioritize feature requests for Phase 2.</w:t>
      </w:r>
    </w:p>
    <w:p>
      <w:pPr>
        <w:pStyle w:val="Heading2"/>
      </w:pPr>
      <w:r>
        <w:rPr>
          <w:color w:val="292C33"/>
        </w:rPr>
        <w:t>9.2 Phase 2: Beta (Months 3-6)</w:t>
      </w:r>
    </w:p>
    <w:p>
      <w:pPr>
        <w:pStyle w:val="BodyText"/>
      </w:pPr>
      <w:r>
        <w:t>Objective: History-based context, caching, expanded pilot.</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Deliverable</w:t>
            </w:r>
          </w:p>
        </w:tc>
        <w:tc>
          <w:tcPr>
            <w:tcW w:type="dxa" w:w="4513"/>
            <w:shd w:fill="487265"/>
          </w:tcPr>
          <w:p>
            <w:pPr>
              <w:jc w:val="center"/>
            </w:pPr>
            <w:r>
              <w:rPr>
                <w:b/>
                <w:color w:val="FFFFFF"/>
                <w:sz w:val="18"/>
              </w:rPr>
              <w:t>Details</w:t>
            </w:r>
          </w:p>
        </w:tc>
      </w:tr>
      <w:tr>
        <w:tc>
          <w:tcPr>
            <w:tcW w:type="dxa" w:w="4513"/>
          </w:tcPr>
          <w:p>
            <w:r>
              <w:rPr>
                <w:sz w:val="18"/>
              </w:rPr>
              <w:t>History-Based Context</w:t>
            </w:r>
          </w:p>
        </w:tc>
        <w:tc>
          <w:tcPr>
            <w:tcW w:type="dxa" w:w="4513"/>
          </w:tcPr>
          <w:p>
            <w:r>
              <w:rPr>
                <w:sz w:val="18"/>
              </w:rPr>
              <w:t>5 most recent interactions injected into LLM prompt for continuity</w:t>
            </w:r>
          </w:p>
        </w:tc>
      </w:tr>
      <w:tr>
        <w:tc>
          <w:tcPr>
            <w:tcW w:type="dxa" w:w="4513"/>
            <w:shd w:fill="F7F6F5"/>
          </w:tcPr>
          <w:p>
            <w:r>
              <w:rPr>
                <w:sz w:val="18"/>
              </w:rPr>
              <w:t>Semantic Caching</w:t>
            </w:r>
          </w:p>
        </w:tc>
        <w:tc>
          <w:tcPr>
            <w:tcW w:type="dxa" w:w="4513"/>
            <w:shd w:fill="F7F6F5"/>
          </w:tcPr>
          <w:p>
            <w:r>
              <w:rPr>
                <w:sz w:val="18"/>
              </w:rPr>
              <w:t>Redis cache with cosine similarity &gt;0.92 deduplication, 40-60% API cost reduction</w:t>
            </w:r>
          </w:p>
        </w:tc>
      </w:tr>
      <w:tr>
        <w:tc>
          <w:tcPr>
            <w:tcW w:type="dxa" w:w="4513"/>
          </w:tcPr>
          <w:p>
            <w:r>
              <w:rPr>
                <w:sz w:val="18"/>
              </w:rPr>
              <w:t>Hindi Interface</w:t>
            </w:r>
          </w:p>
        </w:tc>
        <w:tc>
          <w:tcPr>
            <w:tcW w:type="dxa" w:w="4513"/>
          </w:tcPr>
          <w:p>
            <w:r>
              <w:rPr>
                <w:sz w:val="18"/>
              </w:rPr>
              <w:t>UI and knowledge base localized to Hindi</w:t>
            </w:r>
          </w:p>
        </w:tc>
      </w:tr>
      <w:tr>
        <w:tc>
          <w:tcPr>
            <w:tcW w:type="dxa" w:w="4513"/>
            <w:shd w:fill="F7F6F5"/>
          </w:tcPr>
          <w:p>
            <w:r>
              <w:rPr>
                <w:sz w:val="18"/>
              </w:rPr>
              <w:t>Quality Dashboard</w:t>
            </w:r>
          </w:p>
        </w:tc>
        <w:tc>
          <w:tcPr>
            <w:tcW w:type="dxa" w:w="4513"/>
            <w:shd w:fill="F7F6F5"/>
          </w:tcPr>
          <w:p>
            <w:r>
              <w:rPr>
                <w:sz w:val="18"/>
              </w:rPr>
              <w:t>Goal acceptance rate, edit distance, compliance score tracking</w:t>
            </w:r>
          </w:p>
        </w:tc>
      </w:tr>
      <w:tr>
        <w:tc>
          <w:tcPr>
            <w:tcW w:type="dxa" w:w="4513"/>
          </w:tcPr>
          <w:p>
            <w:r>
              <w:rPr>
                <w:sz w:val="18"/>
              </w:rPr>
              <w:t>Pilot Target</w:t>
            </w:r>
          </w:p>
        </w:tc>
        <w:tc>
          <w:tcPr>
            <w:tcW w:type="dxa" w:w="4513"/>
          </w:tcPr>
          <w:p>
            <w:r>
              <w:rPr>
                <w:sz w:val="18"/>
              </w:rPr>
              <w:t>25 schools, hallucination rate &lt;3%, Hindi UI deployed</w:t>
            </w:r>
          </w:p>
        </w:tc>
      </w:tr>
    </w:tbl>
    <w:p/>
    <w:p>
      <w:pPr>
        <w:pStyle w:val="BodyText"/>
      </w:pPr>
      <w:r>
        <w:t>Risk: Teacher resistance to AI tools. Mitigation: Peer champion model — train 1 teacher per school as local expert.</w:t>
      </w:r>
    </w:p>
    <w:p>
      <w:pPr>
        <w:pStyle w:val="BodyText"/>
      </w:pPr>
      <w:r>
        <w:t>Feedback loop: Edit tracking → identify weak spots → knowledge base improvement.</w:t>
      </w:r>
    </w:p>
    <w:p>
      <w:pPr>
        <w:pStyle w:val="Heading2"/>
      </w:pPr>
      <w:r>
        <w:rPr>
          <w:color w:val="292C33"/>
        </w:rPr>
        <w:t>9.3 Phase 3: v1.0 Production (Months 6-12)</w:t>
      </w:r>
    </w:p>
    <w:p>
      <w:pPr>
        <w:pStyle w:val="BodyText"/>
      </w:pPr>
      <w:r>
        <w:t>Objective: International benchmarking, compliance dashboard, 100 schools.</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Deliverable</w:t>
            </w:r>
          </w:p>
        </w:tc>
        <w:tc>
          <w:tcPr>
            <w:tcW w:type="dxa" w:w="4513"/>
            <w:shd w:fill="487265"/>
          </w:tcPr>
          <w:p>
            <w:pPr>
              <w:jc w:val="center"/>
            </w:pPr>
            <w:r>
              <w:rPr>
                <w:b/>
                <w:color w:val="FFFFFF"/>
                <w:sz w:val="18"/>
              </w:rPr>
              <w:t>Details</w:t>
            </w:r>
          </w:p>
        </w:tc>
      </w:tr>
      <w:tr>
        <w:tc>
          <w:tcPr>
            <w:tcW w:type="dxa" w:w="4513"/>
          </w:tcPr>
          <w:p>
            <w:r>
              <w:rPr>
                <w:sz w:val="18"/>
              </w:rPr>
              <w:t>International Benchmarking</w:t>
            </w:r>
          </w:p>
        </w:tc>
        <w:tc>
          <w:tcPr>
            <w:tcW w:type="dxa" w:w="4513"/>
          </w:tcPr>
          <w:p>
            <w:r>
              <w:rPr>
                <w:sz w:val="18"/>
              </w:rPr>
              <w:t>USA (IDEA), UK (EHCP), Canada (Ontario IEP), Australia (NCCD) frameworks indexed</w:t>
            </w:r>
          </w:p>
        </w:tc>
      </w:tr>
      <w:tr>
        <w:tc>
          <w:tcPr>
            <w:tcW w:type="dxa" w:w="4513"/>
            <w:shd w:fill="F7F6F5"/>
          </w:tcPr>
          <w:p>
            <w:r>
              <w:rPr>
                <w:sz w:val="18"/>
              </w:rPr>
              <w:t>Compliance Dashboard</w:t>
            </w:r>
          </w:p>
        </w:tc>
        <w:tc>
          <w:tcPr>
            <w:tcW w:type="dxa" w:w="4513"/>
            <w:shd w:fill="F7F6F5"/>
          </w:tcPr>
          <w:p>
            <w:r>
              <w:rPr>
                <w:sz w:val="18"/>
              </w:rPr>
              <w:t>Automated RPwD Act section-by-section scoring per school</w:t>
            </w:r>
          </w:p>
        </w:tc>
      </w:tr>
      <w:tr>
        <w:tc>
          <w:tcPr>
            <w:tcW w:type="dxa" w:w="4513"/>
          </w:tcPr>
          <w:p>
            <w:r>
              <w:rPr>
                <w:sz w:val="18"/>
              </w:rPr>
              <w:t>Fine-Tuning</w:t>
            </w:r>
          </w:p>
        </w:tc>
        <w:tc>
          <w:tcPr>
            <w:tcW w:type="dxa" w:w="4513"/>
          </w:tcPr>
          <w:p>
            <w:r>
              <w:rPr>
                <w:sz w:val="18"/>
              </w:rPr>
              <w:t>GPT-5.2 fine-tuned on 2,000 real IEPs, hallucination &lt;2%</w:t>
            </w:r>
          </w:p>
        </w:tc>
      </w:tr>
      <w:tr>
        <w:tc>
          <w:tcPr>
            <w:tcW w:type="dxa" w:w="4513"/>
            <w:shd w:fill="F7F6F5"/>
          </w:tcPr>
          <w:p>
            <w:r>
              <w:rPr>
                <w:sz w:val="18"/>
              </w:rPr>
              <w:t>State Coverage</w:t>
            </w:r>
          </w:p>
        </w:tc>
        <w:tc>
          <w:tcPr>
            <w:tcW w:type="dxa" w:w="4513"/>
            <w:shd w:fill="F7F6F5"/>
          </w:tcPr>
          <w:p>
            <w:r>
              <w:rPr>
                <w:sz w:val="18"/>
              </w:rPr>
              <w:t>Top 5 states: Maharashtra, Karnataka, Tamil Nadu, Delhi, Rajasthan</w:t>
            </w:r>
          </w:p>
        </w:tc>
      </w:tr>
      <w:tr>
        <w:tc>
          <w:tcPr>
            <w:tcW w:type="dxa" w:w="4513"/>
          </w:tcPr>
          <w:p>
            <w:r>
              <w:rPr>
                <w:sz w:val="18"/>
              </w:rPr>
              <w:t>Production Target</w:t>
            </w:r>
          </w:p>
        </w:tc>
        <w:tc>
          <w:tcPr>
            <w:tcW w:type="dxa" w:w="4513"/>
          </w:tcPr>
          <w:p>
            <w:r>
              <w:rPr>
                <w:sz w:val="18"/>
              </w:rPr>
              <w:t>100 schools, 99.9% uptime, 500+ knowledge base chunks</w:t>
            </w:r>
          </w:p>
        </w:tc>
      </w:tr>
    </w:tbl>
    <w:p/>
    <w:p>
      <w:pPr>
        <w:pStyle w:val="BodyText"/>
      </w:pPr>
      <w:r>
        <w:t>Risk: DPDP Act compliance for children's data (penalty up to ₹150 Cr). Mitigation: Privacy-by-design architecture, data protection consultant hired.</w:t>
      </w:r>
    </w:p>
    <w:p>
      <w:pPr>
        <w:pStyle w:val="BodyText"/>
      </w:pPr>
      <w:r>
        <w:t>Feedback loop: Outcome tracking (with consent) → correlate IEP strategies with student progress.</w:t>
      </w:r>
    </w:p>
    <w:p>
      <w:pPr>
        <w:jc w:val="center"/>
      </w:pPr>
      <w:r>
        <w:drawing>
          <wp:inline xmlns:a="http://schemas.openxmlformats.org/drawingml/2006/main" xmlns:pic="http://schemas.openxmlformats.org/drawingml/2006/picture">
            <wp:extent cx="5029200" cy="20116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01168"/>
                    </a:xfrm>
                    <a:prstGeom prst="rect"/>
                  </pic:spPr>
                </pic:pic>
              </a:graphicData>
            </a:graphic>
          </wp:inline>
        </w:drawing>
      </w:r>
    </w:p>
    <w:p>
      <w:pPr>
        <w:pStyle w:val="BodyText"/>
        <w:jc w:val="center"/>
      </w:pPr>
      <w:r>
        <w:rPr>
          <w:i/>
          <w:sz w:val="18"/>
        </w:rPr>
        <w:t>Figure 8. International Benchmarking — India current state vs. USA, UK, Canada targets</w:t>
      </w:r>
    </w:p>
    <w:p>
      <w:pPr>
        <w:pStyle w:val="Heading2"/>
      </w:pPr>
      <w:r>
        <w:rPr>
          <w:color w:val="292C33"/>
        </w:rPr>
        <w:t>9.4 Phase 4: Scale (Years 1-3)</w:t>
      </w:r>
    </w:p>
    <w:p>
      <w:pPr>
        <w:pStyle w:val="BodyText"/>
      </w:pPr>
      <w:r>
        <w:t>Objective: National deployment via social enterprise model.</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Deliverable</w:t>
            </w:r>
          </w:p>
        </w:tc>
        <w:tc>
          <w:tcPr>
            <w:tcW w:type="dxa" w:w="4513"/>
            <w:shd w:fill="487265"/>
          </w:tcPr>
          <w:p>
            <w:pPr>
              <w:jc w:val="center"/>
            </w:pPr>
            <w:r>
              <w:rPr>
                <w:b/>
                <w:color w:val="FFFFFF"/>
                <w:sz w:val="18"/>
              </w:rPr>
              <w:t>Details</w:t>
            </w:r>
          </w:p>
        </w:tc>
      </w:tr>
      <w:tr>
        <w:tc>
          <w:tcPr>
            <w:tcW w:type="dxa" w:w="4513"/>
          </w:tcPr>
          <w:p>
            <w:r>
              <w:rPr>
                <w:sz w:val="18"/>
              </w:rPr>
              <w:t>Social Enterprise</w:t>
            </w:r>
          </w:p>
        </w:tc>
        <w:tc>
          <w:tcPr>
            <w:tcW w:type="dxa" w:w="4513"/>
          </w:tcPr>
          <w:p>
            <w:r>
              <w:rPr>
                <w:sz w:val="18"/>
              </w:rPr>
              <w:t>Section 8 Company + B-Corp certification, CSR Schedule VII eligibility</w:t>
            </w:r>
          </w:p>
        </w:tc>
      </w:tr>
      <w:tr>
        <w:tc>
          <w:tcPr>
            <w:tcW w:type="dxa" w:w="4513"/>
            <w:shd w:fill="F7F6F5"/>
          </w:tcPr>
          <w:p>
            <w:r>
              <w:rPr>
                <w:sz w:val="18"/>
              </w:rPr>
              <w:t>Revenue Model</w:t>
            </w:r>
          </w:p>
        </w:tc>
        <w:tc>
          <w:tcPr>
            <w:tcW w:type="dxa" w:w="4513"/>
            <w:shd w:fill="F7F6F5"/>
          </w:tcPr>
          <w:p>
            <w:r>
              <w:rPr>
                <w:sz w:val="18"/>
              </w:rPr>
              <w:t>Private schools: ₹500/teacher/month. Government schools: Free (cross-subsidized)</w:t>
            </w:r>
          </w:p>
        </w:tc>
      </w:tr>
      <w:tr>
        <w:tc>
          <w:tcPr>
            <w:tcW w:type="dxa" w:w="4513"/>
          </w:tcPr>
          <w:p>
            <w:r>
              <w:rPr>
                <w:sz w:val="18"/>
              </w:rPr>
              <w:t>Accessibility</w:t>
            </w:r>
          </w:p>
        </w:tc>
        <w:tc>
          <w:tcPr>
            <w:tcW w:type="dxa" w:w="4513"/>
          </w:tcPr>
          <w:p>
            <w:r>
              <w:rPr>
                <w:sz w:val="18"/>
              </w:rPr>
              <w:t>PWA offline mode, WhatsApp bot, voice input (Hindi + 5 regional languages)</w:t>
            </w:r>
          </w:p>
        </w:tc>
      </w:tr>
      <w:tr>
        <w:tc>
          <w:tcPr>
            <w:tcW w:type="dxa" w:w="4513"/>
            <w:shd w:fill="F7F6F5"/>
          </w:tcPr>
          <w:p>
            <w:r>
              <w:rPr>
                <w:sz w:val="18"/>
              </w:rPr>
              <w:t>Partnerships</w:t>
            </w:r>
          </w:p>
        </w:tc>
        <w:tc>
          <w:tcPr>
            <w:tcW w:type="dxa" w:w="4513"/>
            <w:shd w:fill="F7F6F5"/>
          </w:tcPr>
          <w:p>
            <w:r>
              <w:rPr>
                <w:sz w:val="18"/>
              </w:rPr>
              <w:t>NCERT/CBSE endorsement, Samagra Shiksha integration, UNICEF/UNESCO</w:t>
            </w:r>
          </w:p>
        </w:tc>
      </w:tr>
      <w:tr>
        <w:tc>
          <w:tcPr>
            <w:tcW w:type="dxa" w:w="4513"/>
          </w:tcPr>
          <w:p>
            <w:r>
              <w:rPr>
                <w:sz w:val="18"/>
              </w:rPr>
              <w:t>Scale Target</w:t>
            </w:r>
          </w:p>
        </w:tc>
        <w:tc>
          <w:tcPr>
            <w:tcW w:type="dxa" w:w="4513"/>
          </w:tcPr>
          <w:p>
            <w:r>
              <w:rPr>
                <w:sz w:val="18"/>
              </w:rPr>
              <w:t>1,000 schools, 50,000 teachers, 250,000 students served</w:t>
            </w:r>
          </w:p>
        </w:tc>
      </w:tr>
    </w:tbl>
    <w:p/>
    <w:p>
      <w:pPr>
        <w:pStyle w:val="BodyText"/>
      </w:pPr>
      <w:r>
        <w:t>Risk: Government procurement cycles (12-24 months). Mitigation: Parallel CSR funding track; pilot evidence for procurement justification.</w:t>
      </w:r>
    </w:p>
    <w:p>
      <w:pPr>
        <w:jc w:val="center"/>
      </w:pPr>
      <w:r>
        <w:drawing>
          <wp:inline xmlns:a="http://schemas.openxmlformats.org/drawingml/2006/main" xmlns:pic="http://schemas.openxmlformats.org/drawingml/2006/picture">
            <wp:extent cx="5029200" cy="301033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010335"/>
                    </a:xfrm>
                    <a:prstGeom prst="rect"/>
                  </pic:spPr>
                </pic:pic>
              </a:graphicData>
            </a:graphic>
          </wp:inline>
        </w:drawing>
      </w:r>
    </w:p>
    <w:p>
      <w:pPr>
        <w:pStyle w:val="BodyText"/>
        <w:jc w:val="center"/>
      </w:pPr>
      <w:r>
        <w:rPr>
          <w:i/>
          <w:sz w:val="18"/>
        </w:rPr>
        <w:t>Figure 4. Future Production Architecture — target state with Azure services</w:t>
      </w:r>
    </w:p>
    <w:p>
      <w:pPr>
        <w:jc w:val="center"/>
      </w:pPr>
      <w:r>
        <w:rPr>
          <w:i/>
          <w:color w:val="6B7280"/>
          <w:sz w:val="20"/>
        </w:rPr>
        <w:t>[Figure 6. Three-Year Product Roadmap Timeline]</w:t>
      </w:r>
    </w:p>
    <w:p/>
    <w:p>
      <w:pPr>
        <w:jc w:val="center"/>
      </w:pPr>
      <w:r>
        <w:drawing>
          <wp:inline xmlns:a="http://schemas.openxmlformats.org/drawingml/2006/main" xmlns:pic="http://schemas.openxmlformats.org/drawingml/2006/picture">
            <wp:extent cx="5029200" cy="322946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229465"/>
                    </a:xfrm>
                    <a:prstGeom prst="rect"/>
                  </pic:spPr>
                </pic:pic>
              </a:graphicData>
            </a:graphic>
          </wp:inline>
        </w:drawing>
      </w:r>
    </w:p>
    <w:p>
      <w:pPr>
        <w:pStyle w:val="BodyText"/>
        <w:jc w:val="center"/>
      </w:pPr>
      <w:r>
        <w:rPr>
          <w:i/>
          <w:sz w:val="18"/>
        </w:rPr>
        <w:t>Figure 9. Social Enterprise Model — cross-subsidization revenue flow</w:t>
      </w:r>
    </w:p>
    <w:p>
      <w:pPr>
        <w:pStyle w:val="Heading2"/>
      </w:pPr>
      <w:r>
        <w:rPr>
          <w:color w:val="292C33"/>
        </w:rPr>
        <w:t>9.5 Realistic Success Metrics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Metric</w:t>
            </w:r>
          </w:p>
        </w:tc>
        <w:tc>
          <w:tcPr>
            <w:tcW w:type="dxa" w:w="2256"/>
            <w:shd w:fill="487265"/>
          </w:tcPr>
          <w:p>
            <w:pPr>
              <w:jc w:val="center"/>
            </w:pPr>
            <w:r>
              <w:rPr>
                <w:b/>
                <w:color w:val="FFFFFF"/>
                <w:sz w:val="18"/>
              </w:rPr>
              <w:t>Year 1</w:t>
            </w:r>
          </w:p>
        </w:tc>
        <w:tc>
          <w:tcPr>
            <w:tcW w:type="dxa" w:w="2256"/>
            <w:shd w:fill="487265"/>
          </w:tcPr>
          <w:p>
            <w:pPr>
              <w:jc w:val="center"/>
            </w:pPr>
            <w:r>
              <w:rPr>
                <w:b/>
                <w:color w:val="FFFFFF"/>
                <w:sz w:val="18"/>
              </w:rPr>
              <w:t>Year 2</w:t>
            </w:r>
          </w:p>
        </w:tc>
        <w:tc>
          <w:tcPr>
            <w:tcW w:type="dxa" w:w="2256"/>
            <w:shd w:fill="487265"/>
          </w:tcPr>
          <w:p>
            <w:pPr>
              <w:jc w:val="center"/>
            </w:pPr>
            <w:r>
              <w:rPr>
                <w:b/>
                <w:color w:val="FFFFFF"/>
                <w:sz w:val="18"/>
              </w:rPr>
              <w:t>Year 3</w:t>
            </w:r>
          </w:p>
        </w:tc>
      </w:tr>
      <w:tr>
        <w:tc>
          <w:tcPr>
            <w:tcW w:type="dxa" w:w="2256"/>
          </w:tcPr>
          <w:p>
            <w:r>
              <w:rPr>
                <w:sz w:val="18"/>
              </w:rPr>
              <w:t>Registered Teachers</w:t>
            </w:r>
          </w:p>
        </w:tc>
        <w:tc>
          <w:tcPr>
            <w:tcW w:type="dxa" w:w="2256"/>
          </w:tcPr>
          <w:p>
            <w:r>
              <w:rPr>
                <w:sz w:val="18"/>
              </w:rPr>
              <w:t>200-500</w:t>
            </w:r>
          </w:p>
        </w:tc>
        <w:tc>
          <w:tcPr>
            <w:tcW w:type="dxa" w:w="2256"/>
          </w:tcPr>
          <w:p>
            <w:r>
              <w:rPr>
                <w:sz w:val="18"/>
              </w:rPr>
              <w:t>2,000-5,000</w:t>
            </w:r>
          </w:p>
        </w:tc>
        <w:tc>
          <w:tcPr>
            <w:tcW w:type="dxa" w:w="2256"/>
          </w:tcPr>
          <w:p>
            <w:r>
              <w:rPr>
                <w:sz w:val="18"/>
              </w:rPr>
              <w:t>10,000-20,000</w:t>
            </w:r>
          </w:p>
        </w:tc>
      </w:tr>
      <w:tr>
        <w:tc>
          <w:tcPr>
            <w:tcW w:type="dxa" w:w="2256"/>
            <w:shd w:fill="F7F6F5"/>
          </w:tcPr>
          <w:p>
            <w:r>
              <w:rPr>
                <w:sz w:val="18"/>
              </w:rPr>
              <w:t>Schools</w:t>
            </w:r>
          </w:p>
        </w:tc>
        <w:tc>
          <w:tcPr>
            <w:tcW w:type="dxa" w:w="2256"/>
            <w:shd w:fill="F7F6F5"/>
          </w:tcPr>
          <w:p>
            <w:r>
              <w:rPr>
                <w:sz w:val="18"/>
              </w:rPr>
              <w:t>25-100</w:t>
            </w:r>
          </w:p>
        </w:tc>
        <w:tc>
          <w:tcPr>
            <w:tcW w:type="dxa" w:w="2256"/>
            <w:shd w:fill="F7F6F5"/>
          </w:tcPr>
          <w:p>
            <w:r>
              <w:rPr>
                <w:sz w:val="18"/>
              </w:rPr>
              <w:t>100-200</w:t>
            </w:r>
          </w:p>
        </w:tc>
        <w:tc>
          <w:tcPr>
            <w:tcW w:type="dxa" w:w="2256"/>
            <w:shd w:fill="F7F6F5"/>
          </w:tcPr>
          <w:p>
            <w:r>
              <w:rPr>
                <w:sz w:val="18"/>
              </w:rPr>
              <w:t>500-1,000</w:t>
            </w:r>
          </w:p>
        </w:tc>
      </w:tr>
      <w:tr>
        <w:tc>
          <w:tcPr>
            <w:tcW w:type="dxa" w:w="2256"/>
          </w:tcPr>
          <w:p>
            <w:r>
              <w:rPr>
                <w:sz w:val="18"/>
              </w:rPr>
              <w:t>IEPs Created</w:t>
            </w:r>
          </w:p>
        </w:tc>
        <w:tc>
          <w:tcPr>
            <w:tcW w:type="dxa" w:w="2256"/>
          </w:tcPr>
          <w:p>
            <w:r>
              <w:rPr>
                <w:sz w:val="18"/>
              </w:rPr>
              <w:t>1,000-2,500</w:t>
            </w:r>
          </w:p>
        </w:tc>
        <w:tc>
          <w:tcPr>
            <w:tcW w:type="dxa" w:w="2256"/>
          </w:tcPr>
          <w:p>
            <w:r>
              <w:rPr>
                <w:sz w:val="18"/>
              </w:rPr>
              <w:t>10,000-25,000</w:t>
            </w:r>
          </w:p>
        </w:tc>
        <w:tc>
          <w:tcPr>
            <w:tcW w:type="dxa" w:w="2256"/>
          </w:tcPr>
          <w:p>
            <w:r>
              <w:rPr>
                <w:sz w:val="18"/>
              </w:rPr>
              <w:t>50,000-100,000</w:t>
            </w:r>
          </w:p>
        </w:tc>
      </w:tr>
      <w:tr>
        <w:tc>
          <w:tcPr>
            <w:tcW w:type="dxa" w:w="2256"/>
            <w:shd w:fill="F7F6F5"/>
          </w:tcPr>
          <w:p>
            <w:r>
              <w:rPr>
                <w:sz w:val="18"/>
              </w:rPr>
              <w:t>Languages Supported</w:t>
            </w:r>
          </w:p>
        </w:tc>
        <w:tc>
          <w:tcPr>
            <w:tcW w:type="dxa" w:w="2256"/>
            <w:shd w:fill="F7F6F5"/>
          </w:tcPr>
          <w:p>
            <w:r>
              <w:rPr>
                <w:sz w:val="18"/>
              </w:rPr>
              <w:t>2 (EN, HI)</w:t>
            </w:r>
          </w:p>
        </w:tc>
        <w:tc>
          <w:tcPr>
            <w:tcW w:type="dxa" w:w="2256"/>
            <w:shd w:fill="F7F6F5"/>
          </w:tcPr>
          <w:p>
            <w:r>
              <w:rPr>
                <w:sz w:val="18"/>
              </w:rPr>
              <w:t>6</w:t>
            </w:r>
          </w:p>
        </w:tc>
        <w:tc>
          <w:tcPr>
            <w:tcW w:type="dxa" w:w="2256"/>
            <w:shd w:fill="F7F6F5"/>
          </w:tcPr>
          <w:p>
            <w:r>
              <w:rPr>
                <w:sz w:val="18"/>
              </w:rPr>
              <w:t>22</w:t>
            </w:r>
          </w:p>
        </w:tc>
      </w:tr>
      <w:tr>
        <w:tc>
          <w:tcPr>
            <w:tcW w:type="dxa" w:w="2256"/>
          </w:tcPr>
          <w:p>
            <w:r>
              <w:rPr>
                <w:sz w:val="18"/>
              </w:rPr>
              <w:t>International Frameworks</w:t>
            </w:r>
          </w:p>
        </w:tc>
        <w:tc>
          <w:tcPr>
            <w:tcW w:type="dxa" w:w="2256"/>
          </w:tcPr>
          <w:p>
            <w:r>
              <w:rPr>
                <w:sz w:val="18"/>
              </w:rPr>
              <w:t>1 (India)</w:t>
            </w:r>
          </w:p>
        </w:tc>
        <w:tc>
          <w:tcPr>
            <w:tcW w:type="dxa" w:w="2256"/>
          </w:tcPr>
          <w:p>
            <w:r>
              <w:rPr>
                <w:sz w:val="18"/>
              </w:rPr>
              <w:t>3 (+ USA, UK)</w:t>
            </w:r>
          </w:p>
        </w:tc>
        <w:tc>
          <w:tcPr>
            <w:tcW w:type="dxa" w:w="2256"/>
          </w:tcPr>
          <w:p>
            <w:r>
              <w:rPr>
                <w:sz w:val="18"/>
              </w:rPr>
              <w:t>6</w:t>
            </w:r>
          </w:p>
        </w:tc>
      </w:tr>
      <w:tr>
        <w:tc>
          <w:tcPr>
            <w:tcW w:type="dxa" w:w="2256"/>
            <w:shd w:fill="F7F6F5"/>
          </w:tcPr>
          <w:p>
            <w:r>
              <w:rPr>
                <w:sz w:val="18"/>
              </w:rPr>
              <w:t>Goal Acceptance Rate</w:t>
            </w:r>
          </w:p>
        </w:tc>
        <w:tc>
          <w:tcPr>
            <w:tcW w:type="dxa" w:w="2256"/>
            <w:shd w:fill="F7F6F5"/>
          </w:tcPr>
          <w:p>
            <w:r>
              <w:rPr>
                <w:sz w:val="18"/>
              </w:rPr>
              <w:t>55%</w:t>
            </w:r>
          </w:p>
        </w:tc>
        <w:tc>
          <w:tcPr>
            <w:tcW w:type="dxa" w:w="2256"/>
            <w:shd w:fill="F7F6F5"/>
          </w:tcPr>
          <w:p>
            <w:r>
              <w:rPr>
                <w:sz w:val="18"/>
              </w:rPr>
              <w:t>65%</w:t>
            </w:r>
          </w:p>
        </w:tc>
        <w:tc>
          <w:tcPr>
            <w:tcW w:type="dxa" w:w="2256"/>
            <w:shd w:fill="F7F6F5"/>
          </w:tcPr>
          <w:p>
            <w:r>
              <w:rPr>
                <w:sz w:val="18"/>
              </w:rPr>
              <w:t>75%</w:t>
            </w:r>
          </w:p>
        </w:tc>
      </w:tr>
    </w:tbl>
    <w:p/>
    <w:p>
      <w:pPr>
        <w:pStyle w:val="BodyText"/>
      </w:pPr>
      <w:r>
        <w:t>These targets are aspirational projections, not guaranteed outcomes. Actual adoption depends on government partnerships, teacher training effectiveness, internet infrastructure, and sustained funding.</w:t>
      </w:r>
    </w:p>
    <w:p>
      <w:r>
        <w:br w:type="page"/>
      </w:r>
    </w:p>
    <w:p>
      <w:pPr>
        <w:pStyle w:val="Heading1"/>
      </w:pPr>
      <w:r>
        <w:rPr>
          <w:color w:val="487265"/>
        </w:rPr>
        <w:t>10. ROI Analysis and Financial Justification</w:t>
      </w:r>
    </w:p>
    <w:p>
      <w:pPr>
        <w:jc w:val="center"/>
      </w:pPr>
      <w:r>
        <w:drawing>
          <wp:inline xmlns:a="http://schemas.openxmlformats.org/drawingml/2006/main" xmlns:pic="http://schemas.openxmlformats.org/drawingml/2006/picture">
            <wp:extent cx="5029200" cy="206915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069157"/>
                    </a:xfrm>
                    <a:prstGeom prst="rect"/>
                  </pic:spPr>
                </pic:pic>
              </a:graphicData>
            </a:graphic>
          </wp:inline>
        </w:drawing>
      </w:r>
    </w:p>
    <w:p>
      <w:pPr>
        <w:pStyle w:val="BodyText"/>
        <w:jc w:val="center"/>
      </w:pPr>
      <w:r>
        <w:rPr>
          <w:i/>
          <w:sz w:val="18"/>
        </w:rPr>
        <w:t>Figure 7. ROI Cost Comparison — Manual vs. IEP Architect per school</w:t>
      </w:r>
    </w:p>
    <w:p>
      <w:pPr>
        <w:pStyle w:val="Heading2"/>
      </w:pPr>
      <w:r>
        <w:rPr>
          <w:color w:val="292C33"/>
        </w:rPr>
        <w:t>10.1 Executive Summary</w:t>
      </w:r>
    </w:p>
    <w:p>
      <w:pPr>
        <w:pStyle w:val="BodyText"/>
      </w:pPr>
      <w:r>
        <w:t>The IEP Architect demonstrates strong financial viability with a return on investment of 582% over 3 years. By leveraging AI-assisted development tools (Claude Code, GitHub Copilot, Cursor), a team of 2-8 can achieve what traditionally required 10-15 developers — this is itself a demonstration of Gen AI's productivity multiplier. The same technology we are building with is the technology we are building.</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Metric</w:t>
            </w:r>
          </w:p>
        </w:tc>
        <w:tc>
          <w:tcPr>
            <w:tcW w:type="dxa" w:w="4513"/>
            <w:shd w:fill="487265"/>
          </w:tcPr>
          <w:p>
            <w:pPr>
              <w:jc w:val="center"/>
            </w:pPr>
            <w:r>
              <w:rPr>
                <w:b/>
                <w:color w:val="FFFFFF"/>
                <w:sz w:val="18"/>
              </w:rPr>
              <w:t>Value</w:t>
            </w:r>
          </w:p>
        </w:tc>
      </w:tr>
      <w:tr>
        <w:tc>
          <w:tcPr>
            <w:tcW w:type="dxa" w:w="4513"/>
          </w:tcPr>
          <w:p>
            <w:r>
              <w:rPr>
                <w:sz w:val="18"/>
              </w:rPr>
              <w:t>3-Year Total Investment</w:t>
            </w:r>
          </w:p>
        </w:tc>
        <w:tc>
          <w:tcPr>
            <w:tcW w:type="dxa" w:w="4513"/>
          </w:tcPr>
          <w:p>
            <w:r>
              <w:rPr>
                <w:sz w:val="18"/>
              </w:rPr>
              <w:t>₹2.97 Crores</w:t>
            </w:r>
          </w:p>
        </w:tc>
      </w:tr>
      <w:tr>
        <w:tc>
          <w:tcPr>
            <w:tcW w:type="dxa" w:w="4513"/>
            <w:shd w:fill="F7F6F5"/>
          </w:tcPr>
          <w:p>
            <w:r>
              <w:rPr>
                <w:sz w:val="18"/>
              </w:rPr>
              <w:t>3-Year Total Savings</w:t>
            </w:r>
          </w:p>
        </w:tc>
        <w:tc>
          <w:tcPr>
            <w:tcW w:type="dxa" w:w="4513"/>
            <w:shd w:fill="F7F6F5"/>
          </w:tcPr>
          <w:p>
            <w:r>
              <w:rPr>
                <w:sz w:val="18"/>
              </w:rPr>
              <w:t>₹20.27 Crores</w:t>
            </w:r>
          </w:p>
        </w:tc>
      </w:tr>
      <w:tr>
        <w:tc>
          <w:tcPr>
            <w:tcW w:type="dxa" w:w="4513"/>
          </w:tcPr>
          <w:p>
            <w:r>
              <w:rPr>
                <w:sz w:val="18"/>
              </w:rPr>
              <w:t>Net Benefit</w:t>
            </w:r>
          </w:p>
        </w:tc>
        <w:tc>
          <w:tcPr>
            <w:tcW w:type="dxa" w:w="4513"/>
          </w:tcPr>
          <w:p>
            <w:r>
              <w:rPr>
                <w:sz w:val="18"/>
              </w:rPr>
              <w:t>₹17.30 Crores</w:t>
            </w:r>
          </w:p>
        </w:tc>
      </w:tr>
      <w:tr>
        <w:tc>
          <w:tcPr>
            <w:tcW w:type="dxa" w:w="4513"/>
            <w:shd w:fill="F7F6F5"/>
          </w:tcPr>
          <w:p>
            <w:r>
              <w:rPr>
                <w:sz w:val="18"/>
              </w:rPr>
              <w:t>ROI</w:t>
            </w:r>
          </w:p>
        </w:tc>
        <w:tc>
          <w:tcPr>
            <w:tcW w:type="dxa" w:w="4513"/>
            <w:shd w:fill="F7F6F5"/>
          </w:tcPr>
          <w:p>
            <w:r>
              <w:rPr>
                <w:sz w:val="18"/>
              </w:rPr>
              <w:t>582%</w:t>
            </w:r>
          </w:p>
        </w:tc>
      </w:tr>
      <w:tr>
        <w:tc>
          <w:tcPr>
            <w:tcW w:type="dxa" w:w="4513"/>
          </w:tcPr>
          <w:p>
            <w:r>
              <w:rPr>
                <w:sz w:val="18"/>
              </w:rPr>
              <w:t>Payback Period</w:t>
            </w:r>
          </w:p>
        </w:tc>
        <w:tc>
          <w:tcPr>
            <w:tcW w:type="dxa" w:w="4513"/>
          </w:tcPr>
          <w:p>
            <w:r>
              <w:rPr>
                <w:sz w:val="18"/>
              </w:rPr>
              <w:t>~11 months (Y1 Q4)</w:t>
            </w:r>
          </w:p>
        </w:tc>
      </w:tr>
      <w:tr>
        <w:tc>
          <w:tcPr>
            <w:tcW w:type="dxa" w:w="4513"/>
            <w:shd w:fill="F7F6F5"/>
          </w:tcPr>
          <w:p>
            <w:r>
              <w:rPr>
                <w:sz w:val="18"/>
              </w:rPr>
              <w:t>NPV @ 10%</w:t>
            </w:r>
          </w:p>
        </w:tc>
        <w:tc>
          <w:tcPr>
            <w:tcW w:type="dxa" w:w="4513"/>
            <w:shd w:fill="F7F6F5"/>
          </w:tcPr>
          <w:p>
            <w:r>
              <w:rPr>
                <w:sz w:val="18"/>
              </w:rPr>
              <w:t>₹14.2 Crores</w:t>
            </w:r>
          </w:p>
        </w:tc>
      </w:tr>
      <w:tr>
        <w:tc>
          <w:tcPr>
            <w:tcW w:type="dxa" w:w="4513"/>
          </w:tcPr>
          <w:p>
            <w:r>
              <w:rPr>
                <w:sz w:val="18"/>
              </w:rPr>
              <w:t>Cost per Student Impacted</w:t>
            </w:r>
          </w:p>
        </w:tc>
        <w:tc>
          <w:tcPr>
            <w:tcW w:type="dxa" w:w="4513"/>
          </w:tcPr>
          <w:p>
            <w:r>
              <w:rPr>
                <w:sz w:val="18"/>
              </w:rPr>
              <w:t>₹594</w:t>
            </w:r>
          </w:p>
        </w:tc>
      </w:tr>
    </w:tbl>
    <w:p/>
    <w:p>
      <w:pPr>
        <w:pStyle w:val="Heading2"/>
      </w:pPr>
      <w:r>
        <w:rPr>
          <w:color w:val="292C33"/>
        </w:rPr>
        <w:t>10.2 Development Costs (AI-Assisted Team)</w:t>
      </w:r>
    </w:p>
    <w:p>
      <w:pPr>
        <w:pStyle w:val="Heading3"/>
      </w:pPr>
      <w:r>
        <w:rPr>
          <w:color w:val="292C33"/>
        </w:rPr>
        <w:t>Year 1 — Build MVP + Pilot (10-25 schools): ₹37 Lakhs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Cost Item</w:t>
            </w:r>
          </w:p>
        </w:tc>
        <w:tc>
          <w:tcPr>
            <w:tcW w:type="dxa" w:w="3009"/>
            <w:shd w:fill="487265"/>
          </w:tcPr>
          <w:p>
            <w:pPr>
              <w:jc w:val="center"/>
            </w:pPr>
            <w:r>
              <w:rPr>
                <w:b/>
                <w:color w:val="FFFFFF"/>
                <w:sz w:val="18"/>
              </w:rPr>
              <w:t>Calculation</w:t>
            </w:r>
          </w:p>
        </w:tc>
        <w:tc>
          <w:tcPr>
            <w:tcW w:type="dxa" w:w="3009"/>
            <w:shd w:fill="487265"/>
          </w:tcPr>
          <w:p>
            <w:pPr>
              <w:jc w:val="center"/>
            </w:pPr>
            <w:r>
              <w:rPr>
                <w:b/>
                <w:color w:val="FFFFFF"/>
                <w:sz w:val="18"/>
              </w:rPr>
              <w:t>Annual (₹)</w:t>
            </w:r>
          </w:p>
        </w:tc>
      </w:tr>
      <w:tr>
        <w:tc>
          <w:tcPr>
            <w:tcW w:type="dxa" w:w="3009"/>
          </w:tcPr>
          <w:p>
            <w:r>
              <w:rPr>
                <w:sz w:val="18"/>
              </w:rPr>
              <w:t>Team (2 people + AI tools)</w:t>
            </w:r>
          </w:p>
        </w:tc>
        <w:tc>
          <w:tcPr>
            <w:tcW w:type="dxa" w:w="3009"/>
          </w:tcPr>
          <w:p>
            <w:r>
              <w:rPr>
                <w:sz w:val="18"/>
              </w:rPr>
              <w:t>1 full-stack dev + 1 domain expert @ ₹8L each</w:t>
            </w:r>
          </w:p>
        </w:tc>
        <w:tc>
          <w:tcPr>
            <w:tcW w:type="dxa" w:w="3009"/>
          </w:tcPr>
          <w:p>
            <w:r>
              <w:rPr>
                <w:sz w:val="18"/>
              </w:rPr>
              <w:t>16,00,000</w:t>
            </w:r>
          </w:p>
        </w:tc>
      </w:tr>
      <w:tr>
        <w:tc>
          <w:tcPr>
            <w:tcW w:type="dxa" w:w="3009"/>
            <w:shd w:fill="F7F6F5"/>
          </w:tcPr>
          <w:p>
            <w:r>
              <w:rPr>
                <w:sz w:val="18"/>
              </w:rPr>
              <w:t>AI Development Tools</w:t>
            </w:r>
          </w:p>
        </w:tc>
        <w:tc>
          <w:tcPr>
            <w:tcW w:type="dxa" w:w="3009"/>
            <w:shd w:fill="F7F6F5"/>
          </w:tcPr>
          <w:p>
            <w:r>
              <w:rPr>
                <w:sz w:val="18"/>
              </w:rPr>
              <w:t>Claude Pro + Cursor Pro + GitHub Copilot (2 seats × ₹2L)</w:t>
            </w:r>
          </w:p>
        </w:tc>
        <w:tc>
          <w:tcPr>
            <w:tcW w:type="dxa" w:w="3009"/>
            <w:shd w:fill="F7F6F5"/>
          </w:tcPr>
          <w:p>
            <w:r>
              <w:rPr>
                <w:sz w:val="18"/>
              </w:rPr>
              <w:t>4,00,000</w:t>
            </w:r>
          </w:p>
        </w:tc>
      </w:tr>
      <w:tr>
        <w:tc>
          <w:tcPr>
            <w:tcW w:type="dxa" w:w="3009"/>
          </w:tcPr>
          <w:p>
            <w:r>
              <w:rPr>
                <w:sz w:val="18"/>
              </w:rPr>
              <w:t>Azure Infrastructure</w:t>
            </w:r>
          </w:p>
        </w:tc>
        <w:tc>
          <w:tcPr>
            <w:tcW w:type="dxa" w:w="3009"/>
          </w:tcPr>
          <w:p>
            <w:r>
              <w:rPr>
                <w:sz w:val="18"/>
              </w:rPr>
              <w:t>App Service P1v3 + OpenAI API + Cosmos DB</w:t>
            </w:r>
          </w:p>
        </w:tc>
        <w:tc>
          <w:tcPr>
            <w:tcW w:type="dxa" w:w="3009"/>
          </w:tcPr>
          <w:p>
            <w:r>
              <w:rPr>
                <w:sz w:val="18"/>
              </w:rPr>
              <w:t>12,00,000</w:t>
            </w:r>
          </w:p>
        </w:tc>
      </w:tr>
      <w:tr>
        <w:tc>
          <w:tcPr>
            <w:tcW w:type="dxa" w:w="3009"/>
            <w:shd w:fill="F7F6F5"/>
          </w:tcPr>
          <w:p>
            <w:r>
              <w:rPr>
                <w:sz w:val="18"/>
              </w:rPr>
              <w:t>Knowledge Base Curation</w:t>
            </w:r>
          </w:p>
        </w:tc>
        <w:tc>
          <w:tcPr>
            <w:tcW w:type="dxa" w:w="3009"/>
            <w:shd w:fill="F7F6F5"/>
          </w:tcPr>
          <w:p>
            <w:r>
              <w:rPr>
                <w:sz w:val="18"/>
              </w:rPr>
              <w:t>Domain expert time + data acquisition</w:t>
            </w:r>
          </w:p>
        </w:tc>
        <w:tc>
          <w:tcPr>
            <w:tcW w:type="dxa" w:w="3009"/>
            <w:shd w:fill="F7F6F5"/>
          </w:tcPr>
          <w:p>
            <w:r>
              <w:rPr>
                <w:sz w:val="18"/>
              </w:rPr>
              <w:t>2,00,000</w:t>
            </w:r>
          </w:p>
        </w:tc>
      </w:tr>
      <w:tr>
        <w:tc>
          <w:tcPr>
            <w:tcW w:type="dxa" w:w="3009"/>
          </w:tcPr>
          <w:p>
            <w:r>
              <w:rPr>
                <w:sz w:val="18"/>
              </w:rPr>
              <w:t>Training &amp; Outreach</w:t>
            </w:r>
          </w:p>
        </w:tc>
        <w:tc>
          <w:tcPr>
            <w:tcW w:type="dxa" w:w="3009"/>
          </w:tcPr>
          <w:p>
            <w:r>
              <w:rPr>
                <w:sz w:val="18"/>
              </w:rPr>
              <w:t>10-25 school workshops, materials, travel</w:t>
            </w:r>
          </w:p>
        </w:tc>
        <w:tc>
          <w:tcPr>
            <w:tcW w:type="dxa" w:w="3009"/>
          </w:tcPr>
          <w:p>
            <w:r>
              <w:rPr>
                <w:sz w:val="18"/>
              </w:rPr>
              <w:t>3,00,000</w:t>
            </w:r>
          </w:p>
        </w:tc>
      </w:tr>
      <w:tr>
        <w:tc>
          <w:tcPr>
            <w:tcW w:type="dxa" w:w="3009"/>
            <w:shd w:fill="F7F6F5"/>
          </w:tcPr>
          <w:p>
            <w:r>
              <w:rPr>
                <w:sz w:val="18"/>
              </w:rPr>
              <w:t>Year 1 Total</w:t>
            </w:r>
          </w:p>
        </w:tc>
        <w:tc>
          <w:tcPr>
            <w:tcW w:type="dxa" w:w="3009"/>
            <w:shd w:fill="F7F6F5"/>
          </w:tcPr>
          <w:p>
            <w:r>
              <w:rPr>
                <w:sz w:val="18"/>
              </w:rPr>
            </w:r>
          </w:p>
        </w:tc>
        <w:tc>
          <w:tcPr>
            <w:tcW w:type="dxa" w:w="3009"/>
            <w:shd w:fill="F7F6F5"/>
          </w:tcPr>
          <w:p>
            <w:r>
              <w:rPr>
                <w:sz w:val="18"/>
              </w:rPr>
              <w:t>37,00,000</w:t>
            </w:r>
          </w:p>
        </w:tc>
      </w:tr>
    </w:tbl>
    <w:p/>
    <w:p>
      <w:pPr>
        <w:pStyle w:val="Heading3"/>
      </w:pPr>
      <w:r>
        <w:rPr>
          <w:color w:val="292C33"/>
        </w:rPr>
        <w:t>Year 2 — Scale to 100-200 schools: ₹85 Lakhs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Cost Item</w:t>
            </w:r>
          </w:p>
        </w:tc>
        <w:tc>
          <w:tcPr>
            <w:tcW w:type="dxa" w:w="3009"/>
            <w:shd w:fill="487265"/>
          </w:tcPr>
          <w:p>
            <w:pPr>
              <w:jc w:val="center"/>
            </w:pPr>
            <w:r>
              <w:rPr>
                <w:b/>
                <w:color w:val="FFFFFF"/>
                <w:sz w:val="18"/>
              </w:rPr>
              <w:t>Calculation</w:t>
            </w:r>
          </w:p>
        </w:tc>
        <w:tc>
          <w:tcPr>
            <w:tcW w:type="dxa" w:w="3009"/>
            <w:shd w:fill="487265"/>
          </w:tcPr>
          <w:p>
            <w:pPr>
              <w:jc w:val="center"/>
            </w:pPr>
            <w:r>
              <w:rPr>
                <w:b/>
                <w:color w:val="FFFFFF"/>
                <w:sz w:val="18"/>
              </w:rPr>
              <w:t>Annual (₹)</w:t>
            </w:r>
          </w:p>
        </w:tc>
      </w:tr>
      <w:tr>
        <w:tc>
          <w:tcPr>
            <w:tcW w:type="dxa" w:w="3009"/>
          </w:tcPr>
          <w:p>
            <w:r>
              <w:rPr>
                <w:sz w:val="18"/>
              </w:rPr>
              <w:t>Team (4 people + AI tools)</w:t>
            </w:r>
          </w:p>
        </w:tc>
        <w:tc>
          <w:tcPr>
            <w:tcW w:type="dxa" w:w="3009"/>
          </w:tcPr>
          <w:p>
            <w:r>
              <w:rPr>
                <w:sz w:val="18"/>
              </w:rPr>
              <w:t>Add 1 dev + 1 sales/training</w:t>
            </w:r>
          </w:p>
        </w:tc>
        <w:tc>
          <w:tcPr>
            <w:tcW w:type="dxa" w:w="3009"/>
          </w:tcPr>
          <w:p>
            <w:r>
              <w:rPr>
                <w:sz w:val="18"/>
              </w:rPr>
              <w:t>32,00,000</w:t>
            </w:r>
          </w:p>
        </w:tc>
      </w:tr>
      <w:tr>
        <w:tc>
          <w:tcPr>
            <w:tcW w:type="dxa" w:w="3009"/>
            <w:shd w:fill="F7F6F5"/>
          </w:tcPr>
          <w:p>
            <w:r>
              <w:rPr>
                <w:sz w:val="18"/>
              </w:rPr>
              <w:t>AI Tools</w:t>
            </w:r>
          </w:p>
        </w:tc>
        <w:tc>
          <w:tcPr>
            <w:tcW w:type="dxa" w:w="3009"/>
            <w:shd w:fill="F7F6F5"/>
          </w:tcPr>
          <w:p>
            <w:r>
              <w:rPr>
                <w:sz w:val="18"/>
              </w:rPr>
              <w:t>4 seats</w:t>
            </w:r>
          </w:p>
        </w:tc>
        <w:tc>
          <w:tcPr>
            <w:tcW w:type="dxa" w:w="3009"/>
            <w:shd w:fill="F7F6F5"/>
          </w:tcPr>
          <w:p>
            <w:r>
              <w:rPr>
                <w:sz w:val="18"/>
              </w:rPr>
              <w:t>8,00,000</w:t>
            </w:r>
          </w:p>
        </w:tc>
      </w:tr>
      <w:tr>
        <w:tc>
          <w:tcPr>
            <w:tcW w:type="dxa" w:w="3009"/>
          </w:tcPr>
          <w:p>
            <w:r>
              <w:rPr>
                <w:sz w:val="18"/>
              </w:rPr>
              <w:t>Azure Infrastructure (10x)</w:t>
            </w:r>
          </w:p>
        </w:tc>
        <w:tc>
          <w:tcPr>
            <w:tcW w:type="dxa" w:w="3009"/>
          </w:tcPr>
          <w:p>
            <w:r>
              <w:rPr>
                <w:sz w:val="18"/>
              </w:rPr>
              <w:t>Multi-region, higher API quota</w:t>
            </w:r>
          </w:p>
        </w:tc>
        <w:tc>
          <w:tcPr>
            <w:tcW w:type="dxa" w:w="3009"/>
          </w:tcPr>
          <w:p>
            <w:r>
              <w:rPr>
                <w:sz w:val="18"/>
              </w:rPr>
              <w:t>30,00,000</w:t>
            </w:r>
          </w:p>
        </w:tc>
      </w:tr>
      <w:tr>
        <w:tc>
          <w:tcPr>
            <w:tcW w:type="dxa" w:w="3009"/>
            <w:shd w:fill="F7F6F5"/>
          </w:tcPr>
          <w:p>
            <w:r>
              <w:rPr>
                <w:sz w:val="18"/>
              </w:rPr>
              <w:t>Regional Expansion</w:t>
            </w:r>
          </w:p>
        </w:tc>
        <w:tc>
          <w:tcPr>
            <w:tcW w:type="dxa" w:w="3009"/>
            <w:shd w:fill="F7F6F5"/>
          </w:tcPr>
          <w:p>
            <w:r>
              <w:rPr>
                <w:sz w:val="18"/>
              </w:rPr>
              <w:t>5 state partnerships, localization</w:t>
            </w:r>
          </w:p>
        </w:tc>
        <w:tc>
          <w:tcPr>
            <w:tcW w:type="dxa" w:w="3009"/>
            <w:shd w:fill="F7F6F5"/>
          </w:tcPr>
          <w:p>
            <w:r>
              <w:rPr>
                <w:sz w:val="18"/>
              </w:rPr>
              <w:t>10,00,000</w:t>
            </w:r>
          </w:p>
        </w:tc>
      </w:tr>
      <w:tr>
        <w:tc>
          <w:tcPr>
            <w:tcW w:type="dxa" w:w="3009"/>
          </w:tcPr>
          <w:p>
            <w:r>
              <w:rPr>
                <w:sz w:val="18"/>
              </w:rPr>
              <w:t>Marketing &amp; Outreach</w:t>
            </w:r>
          </w:p>
        </w:tc>
        <w:tc>
          <w:tcPr>
            <w:tcW w:type="dxa" w:w="3009"/>
          </w:tcPr>
          <w:p>
            <w:r>
              <w:rPr>
                <w:sz w:val="18"/>
              </w:rPr>
              <w:t>School onboarding, content</w:t>
            </w:r>
          </w:p>
        </w:tc>
        <w:tc>
          <w:tcPr>
            <w:tcW w:type="dxa" w:w="3009"/>
          </w:tcPr>
          <w:p>
            <w:r>
              <w:rPr>
                <w:sz w:val="18"/>
              </w:rPr>
              <w:t>5,00,000</w:t>
            </w:r>
          </w:p>
        </w:tc>
      </w:tr>
      <w:tr>
        <w:tc>
          <w:tcPr>
            <w:tcW w:type="dxa" w:w="3009"/>
            <w:shd w:fill="F7F6F5"/>
          </w:tcPr>
          <w:p>
            <w:r>
              <w:rPr>
                <w:sz w:val="18"/>
              </w:rPr>
              <w:t>Year 2 Total</w:t>
            </w:r>
          </w:p>
        </w:tc>
        <w:tc>
          <w:tcPr>
            <w:tcW w:type="dxa" w:w="3009"/>
            <w:shd w:fill="F7F6F5"/>
          </w:tcPr>
          <w:p>
            <w:r>
              <w:rPr>
                <w:sz w:val="18"/>
              </w:rPr>
            </w:r>
          </w:p>
        </w:tc>
        <w:tc>
          <w:tcPr>
            <w:tcW w:type="dxa" w:w="3009"/>
            <w:shd w:fill="F7F6F5"/>
          </w:tcPr>
          <w:p>
            <w:r>
              <w:rPr>
                <w:sz w:val="18"/>
              </w:rPr>
              <w:t>85,00,000</w:t>
            </w:r>
          </w:p>
        </w:tc>
      </w:tr>
    </w:tbl>
    <w:p/>
    <w:p>
      <w:pPr>
        <w:pStyle w:val="Heading3"/>
      </w:pPr>
      <w:r>
        <w:rPr>
          <w:color w:val="292C33"/>
        </w:rPr>
        <w:t>Year 3 — Scale to 500-1,000 schools: ₹1.75 Crores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Cost Item</w:t>
            </w:r>
          </w:p>
        </w:tc>
        <w:tc>
          <w:tcPr>
            <w:tcW w:type="dxa" w:w="3009"/>
            <w:shd w:fill="487265"/>
          </w:tcPr>
          <w:p>
            <w:pPr>
              <w:jc w:val="center"/>
            </w:pPr>
            <w:r>
              <w:rPr>
                <w:b/>
                <w:color w:val="FFFFFF"/>
                <w:sz w:val="18"/>
              </w:rPr>
              <w:t>Calculation</w:t>
            </w:r>
          </w:p>
        </w:tc>
        <w:tc>
          <w:tcPr>
            <w:tcW w:type="dxa" w:w="3009"/>
            <w:shd w:fill="487265"/>
          </w:tcPr>
          <w:p>
            <w:pPr>
              <w:jc w:val="center"/>
            </w:pPr>
            <w:r>
              <w:rPr>
                <w:b/>
                <w:color w:val="FFFFFF"/>
                <w:sz w:val="18"/>
              </w:rPr>
              <w:t>Annual (₹)</w:t>
            </w:r>
          </w:p>
        </w:tc>
      </w:tr>
      <w:tr>
        <w:tc>
          <w:tcPr>
            <w:tcW w:type="dxa" w:w="3009"/>
          </w:tcPr>
          <w:p>
            <w:r>
              <w:rPr>
                <w:sz w:val="18"/>
              </w:rPr>
              <w:t>Team (8 people + AI tools)</w:t>
            </w:r>
          </w:p>
        </w:tc>
        <w:tc>
          <w:tcPr>
            <w:tcW w:type="dxa" w:w="3009"/>
          </w:tcPr>
          <w:p>
            <w:r>
              <w:rPr>
                <w:sz w:val="18"/>
              </w:rPr>
              <w:t>Add 2 devs, 1 data scientist, 1 ops</w:t>
            </w:r>
          </w:p>
        </w:tc>
        <w:tc>
          <w:tcPr>
            <w:tcW w:type="dxa" w:w="3009"/>
          </w:tcPr>
          <w:p>
            <w:r>
              <w:rPr>
                <w:sz w:val="18"/>
              </w:rPr>
              <w:t>64,00,000</w:t>
            </w:r>
          </w:p>
        </w:tc>
      </w:tr>
      <w:tr>
        <w:tc>
          <w:tcPr>
            <w:tcW w:type="dxa" w:w="3009"/>
            <w:shd w:fill="F7F6F5"/>
          </w:tcPr>
          <w:p>
            <w:r>
              <w:rPr>
                <w:sz w:val="18"/>
              </w:rPr>
              <w:t>AI Tools</w:t>
            </w:r>
          </w:p>
        </w:tc>
        <w:tc>
          <w:tcPr>
            <w:tcW w:type="dxa" w:w="3009"/>
            <w:shd w:fill="F7F6F5"/>
          </w:tcPr>
          <w:p>
            <w:r>
              <w:rPr>
                <w:sz w:val="18"/>
              </w:rPr>
              <w:t>8 seats</w:t>
            </w:r>
          </w:p>
        </w:tc>
        <w:tc>
          <w:tcPr>
            <w:tcW w:type="dxa" w:w="3009"/>
            <w:shd w:fill="F7F6F5"/>
          </w:tcPr>
          <w:p>
            <w:r>
              <w:rPr>
                <w:sz w:val="18"/>
              </w:rPr>
              <w:t>16,00,000</w:t>
            </w:r>
          </w:p>
        </w:tc>
      </w:tr>
      <w:tr>
        <w:tc>
          <w:tcPr>
            <w:tcW w:type="dxa" w:w="3009"/>
          </w:tcPr>
          <w:p>
            <w:r>
              <w:rPr>
                <w:sz w:val="18"/>
              </w:rPr>
              <w:t>Azure Infrastructure (50x)</w:t>
            </w:r>
          </w:p>
        </w:tc>
        <w:tc>
          <w:tcPr>
            <w:tcW w:type="dxa" w:w="3009"/>
          </w:tcPr>
          <w:p>
            <w:r>
              <w:rPr>
                <w:sz w:val="18"/>
              </w:rPr>
              <w:t>National scale, CDN, WAF, HA</w:t>
            </w:r>
          </w:p>
        </w:tc>
        <w:tc>
          <w:tcPr>
            <w:tcW w:type="dxa" w:w="3009"/>
          </w:tcPr>
          <w:p>
            <w:r>
              <w:rPr>
                <w:sz w:val="18"/>
              </w:rPr>
              <w:t>60,00,000</w:t>
            </w:r>
          </w:p>
        </w:tc>
      </w:tr>
      <w:tr>
        <w:tc>
          <w:tcPr>
            <w:tcW w:type="dxa" w:w="3009"/>
            <w:shd w:fill="F7F6F5"/>
          </w:tcPr>
          <w:p>
            <w:r>
              <w:rPr>
                <w:sz w:val="18"/>
              </w:rPr>
              <w:t>National Expansion</w:t>
            </w:r>
          </w:p>
        </w:tc>
        <w:tc>
          <w:tcPr>
            <w:tcW w:type="dxa" w:w="3009"/>
            <w:shd w:fill="F7F6F5"/>
          </w:tcPr>
          <w:p>
            <w:r>
              <w:rPr>
                <w:sz w:val="18"/>
              </w:rPr>
              <w:t>15 state partnerships</w:t>
            </w:r>
          </w:p>
        </w:tc>
        <w:tc>
          <w:tcPr>
            <w:tcW w:type="dxa" w:w="3009"/>
            <w:shd w:fill="F7F6F5"/>
          </w:tcPr>
          <w:p>
            <w:r>
              <w:rPr>
                <w:sz w:val="18"/>
              </w:rPr>
              <w:t>20,00,000</w:t>
            </w:r>
          </w:p>
        </w:tc>
      </w:tr>
      <w:tr>
        <w:tc>
          <w:tcPr>
            <w:tcW w:type="dxa" w:w="3009"/>
          </w:tcPr>
          <w:p>
            <w:r>
              <w:rPr>
                <w:sz w:val="18"/>
              </w:rPr>
              <w:t>Marketing &amp; Partnerships</w:t>
            </w:r>
          </w:p>
        </w:tc>
        <w:tc>
          <w:tcPr>
            <w:tcW w:type="dxa" w:w="3009"/>
          </w:tcPr>
          <w:p>
            <w:r>
              <w:rPr>
                <w:sz w:val="18"/>
              </w:rPr>
              <w:t>CSR outreach, government relations</w:t>
            </w:r>
          </w:p>
        </w:tc>
        <w:tc>
          <w:tcPr>
            <w:tcW w:type="dxa" w:w="3009"/>
          </w:tcPr>
          <w:p>
            <w:r>
              <w:rPr>
                <w:sz w:val="18"/>
              </w:rPr>
              <w:t>15,00,000</w:t>
            </w:r>
          </w:p>
        </w:tc>
      </w:tr>
      <w:tr>
        <w:tc>
          <w:tcPr>
            <w:tcW w:type="dxa" w:w="3009"/>
            <w:shd w:fill="F7F6F5"/>
          </w:tcPr>
          <w:p>
            <w:r>
              <w:rPr>
                <w:sz w:val="18"/>
              </w:rPr>
              <w:t>Year 3 Total</w:t>
            </w:r>
          </w:p>
        </w:tc>
        <w:tc>
          <w:tcPr>
            <w:tcW w:type="dxa" w:w="3009"/>
            <w:shd w:fill="F7F6F5"/>
          </w:tcPr>
          <w:p>
            <w:r>
              <w:rPr>
                <w:sz w:val="18"/>
              </w:rPr>
            </w:r>
          </w:p>
        </w:tc>
        <w:tc>
          <w:tcPr>
            <w:tcW w:type="dxa" w:w="3009"/>
            <w:shd w:fill="F7F6F5"/>
          </w:tcPr>
          <w:p>
            <w:r>
              <w:rPr>
                <w:sz w:val="18"/>
              </w:rPr>
              <w:t>1,75,00,000</w:t>
            </w:r>
          </w:p>
        </w:tc>
      </w:tr>
    </w:tbl>
    <w:p/>
    <w:p>
      <w:pPr>
        <w:pStyle w:val="Heading2"/>
      </w:pPr>
      <w:r>
        <w:rPr>
          <w:color w:val="292C33"/>
        </w:rPr>
        <w:t>10.3 Per-Query Unit Economics</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Component</w:t>
            </w:r>
          </w:p>
        </w:tc>
        <w:tc>
          <w:tcPr>
            <w:tcW w:type="dxa" w:w="4513"/>
            <w:shd w:fill="487265"/>
          </w:tcPr>
          <w:p>
            <w:pPr>
              <w:jc w:val="center"/>
            </w:pPr>
            <w:r>
              <w:rPr>
                <w:b/>
                <w:color w:val="FFFFFF"/>
                <w:sz w:val="18"/>
              </w:rPr>
              <w:t>Cost</w:t>
            </w:r>
          </w:p>
        </w:tc>
      </w:tr>
      <w:tr>
        <w:tc>
          <w:tcPr>
            <w:tcW w:type="dxa" w:w="4513"/>
          </w:tcPr>
          <w:p>
            <w:r>
              <w:rPr>
                <w:sz w:val="18"/>
              </w:rPr>
              <w:t>Azure OpenAI GPT-5.2 per query (2,000 tokens)</w:t>
            </w:r>
          </w:p>
        </w:tc>
        <w:tc>
          <w:tcPr>
            <w:tcW w:type="dxa" w:w="4513"/>
          </w:tcPr>
          <w:p>
            <w:r>
              <w:rPr>
                <w:sz w:val="18"/>
              </w:rPr>
              <w:t>~₹2-3</w:t>
            </w:r>
          </w:p>
        </w:tc>
      </w:tr>
      <w:tr>
        <w:tc>
          <w:tcPr>
            <w:tcW w:type="dxa" w:w="4513"/>
            <w:shd w:fill="F7F6F5"/>
          </w:tcPr>
          <w:p>
            <w:r>
              <w:rPr>
                <w:sz w:val="18"/>
              </w:rPr>
              <w:t>With caching (40% hit rate after Q2)</w:t>
            </w:r>
          </w:p>
        </w:tc>
        <w:tc>
          <w:tcPr>
            <w:tcW w:type="dxa" w:w="4513"/>
            <w:shd w:fill="F7F6F5"/>
          </w:tcPr>
          <w:p>
            <w:r>
              <w:rPr>
                <w:sz w:val="18"/>
              </w:rPr>
              <w:t>~₹1.50/query effective</w:t>
            </w:r>
          </w:p>
        </w:tc>
      </w:tr>
      <w:tr>
        <w:tc>
          <w:tcPr>
            <w:tcW w:type="dxa" w:w="4513"/>
          </w:tcPr>
          <w:p>
            <w:r>
              <w:rPr>
                <w:sz w:val="18"/>
              </w:rPr>
              <w:t>Cost per IEP (avg 5 queries)</w:t>
            </w:r>
          </w:p>
        </w:tc>
        <w:tc>
          <w:tcPr>
            <w:tcW w:type="dxa" w:w="4513"/>
          </w:tcPr>
          <w:p>
            <w:r>
              <w:rPr>
                <w:sz w:val="18"/>
              </w:rPr>
              <w:t>~₹7.50</w:t>
            </w:r>
          </w:p>
        </w:tc>
      </w:tr>
      <w:tr>
        <w:tc>
          <w:tcPr>
            <w:tcW w:type="dxa" w:w="4513"/>
            <w:shd w:fill="F7F6F5"/>
          </w:tcPr>
          <w:p>
            <w:r>
              <w:rPr>
                <w:sz w:val="18"/>
              </w:rPr>
              <w:t>Cost per school per year (50 IEPs × 5 queries)</w:t>
            </w:r>
          </w:p>
        </w:tc>
        <w:tc>
          <w:tcPr>
            <w:tcW w:type="dxa" w:w="4513"/>
            <w:shd w:fill="F7F6F5"/>
          </w:tcPr>
          <w:p>
            <w:r>
              <w:rPr>
                <w:sz w:val="18"/>
              </w:rPr>
              <w:t>~₹375 in API costs</w:t>
            </w:r>
          </w:p>
        </w:tc>
      </w:tr>
    </w:tbl>
    <w:p/>
    <w:p>
      <w:pPr>
        <w:pStyle w:val="Heading2"/>
      </w:pPr>
      <w:r>
        <w:rPr>
          <w:color w:val="292C33"/>
        </w:rPr>
        <w:t>10.4 Phased School Rollout (Quarter-by-Quarter)</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487265"/>
          </w:tcPr>
          <w:p>
            <w:pPr>
              <w:jc w:val="center"/>
            </w:pPr>
            <w:r>
              <w:rPr>
                <w:b/>
                <w:color w:val="FFFFFF"/>
                <w:sz w:val="18"/>
              </w:rPr>
              <w:t>Quarter</w:t>
            </w:r>
          </w:p>
        </w:tc>
        <w:tc>
          <w:tcPr>
            <w:tcW w:type="dxa" w:w="1805"/>
            <w:shd w:fill="487265"/>
          </w:tcPr>
          <w:p>
            <w:pPr>
              <w:jc w:val="center"/>
            </w:pPr>
            <w:r>
              <w:rPr>
                <w:b/>
                <w:color w:val="FFFFFF"/>
                <w:sz w:val="18"/>
              </w:rPr>
              <w:t>Schools</w:t>
            </w:r>
          </w:p>
        </w:tc>
        <w:tc>
          <w:tcPr>
            <w:tcW w:type="dxa" w:w="1805"/>
            <w:shd w:fill="487265"/>
          </w:tcPr>
          <w:p>
            <w:pPr>
              <w:jc w:val="center"/>
            </w:pPr>
            <w:r>
              <w:rPr>
                <w:b/>
                <w:color w:val="FFFFFF"/>
                <w:sz w:val="18"/>
              </w:rPr>
              <w:t>Teachers</w:t>
            </w:r>
          </w:p>
        </w:tc>
        <w:tc>
          <w:tcPr>
            <w:tcW w:type="dxa" w:w="1805"/>
            <w:shd w:fill="487265"/>
          </w:tcPr>
          <w:p>
            <w:pPr>
              <w:jc w:val="center"/>
            </w:pPr>
            <w:r>
              <w:rPr>
                <w:b/>
                <w:color w:val="FFFFFF"/>
                <w:sz w:val="18"/>
              </w:rPr>
              <w:t>IEPs/Qtr</w:t>
            </w:r>
          </w:p>
        </w:tc>
        <w:tc>
          <w:tcPr>
            <w:tcW w:type="dxa" w:w="1805"/>
            <w:shd w:fill="487265"/>
          </w:tcPr>
          <w:p>
            <w:pPr>
              <w:jc w:val="center"/>
            </w:pPr>
            <w:r>
              <w:rPr>
                <w:b/>
                <w:color w:val="FFFFFF"/>
                <w:sz w:val="18"/>
              </w:rPr>
              <w:t>Azure API Cost/Qtr (₹)</w:t>
            </w:r>
          </w:p>
        </w:tc>
      </w:tr>
      <w:tr>
        <w:tc>
          <w:tcPr>
            <w:tcW w:type="dxa" w:w="1805"/>
          </w:tcPr>
          <w:p>
            <w:r>
              <w:rPr>
                <w:sz w:val="18"/>
              </w:rPr>
              <w:t>Y1 Q1</w:t>
            </w:r>
          </w:p>
        </w:tc>
        <w:tc>
          <w:tcPr>
            <w:tcW w:type="dxa" w:w="1805"/>
          </w:tcPr>
          <w:p>
            <w:r>
              <w:rPr>
                <w:sz w:val="18"/>
              </w:rPr>
              <w:t>5</w:t>
            </w:r>
          </w:p>
        </w:tc>
        <w:tc>
          <w:tcPr>
            <w:tcW w:type="dxa" w:w="1805"/>
          </w:tcPr>
          <w:p>
            <w:r>
              <w:rPr>
                <w:sz w:val="18"/>
              </w:rPr>
              <w:t>25</w:t>
            </w:r>
          </w:p>
        </w:tc>
        <w:tc>
          <w:tcPr>
            <w:tcW w:type="dxa" w:w="1805"/>
          </w:tcPr>
          <w:p>
            <w:r>
              <w:rPr>
                <w:sz w:val="18"/>
              </w:rPr>
              <w:t>125</w:t>
            </w:r>
          </w:p>
        </w:tc>
        <w:tc>
          <w:tcPr>
            <w:tcW w:type="dxa" w:w="1805"/>
          </w:tcPr>
          <w:p>
            <w:r>
              <w:rPr>
                <w:sz w:val="18"/>
              </w:rPr>
              <w:t>50,000</w:t>
            </w:r>
          </w:p>
        </w:tc>
      </w:tr>
      <w:tr>
        <w:tc>
          <w:tcPr>
            <w:tcW w:type="dxa" w:w="1805"/>
            <w:shd w:fill="F7F6F5"/>
          </w:tcPr>
          <w:p>
            <w:r>
              <w:rPr>
                <w:sz w:val="18"/>
              </w:rPr>
              <w:t>Y1 Q2</w:t>
            </w:r>
          </w:p>
        </w:tc>
        <w:tc>
          <w:tcPr>
            <w:tcW w:type="dxa" w:w="1805"/>
            <w:shd w:fill="F7F6F5"/>
          </w:tcPr>
          <w:p>
            <w:r>
              <w:rPr>
                <w:sz w:val="18"/>
              </w:rPr>
              <w:t>10</w:t>
            </w:r>
          </w:p>
        </w:tc>
        <w:tc>
          <w:tcPr>
            <w:tcW w:type="dxa" w:w="1805"/>
            <w:shd w:fill="F7F6F5"/>
          </w:tcPr>
          <w:p>
            <w:r>
              <w:rPr>
                <w:sz w:val="18"/>
              </w:rPr>
              <w:t>50</w:t>
            </w:r>
          </w:p>
        </w:tc>
        <w:tc>
          <w:tcPr>
            <w:tcW w:type="dxa" w:w="1805"/>
            <w:shd w:fill="F7F6F5"/>
          </w:tcPr>
          <w:p>
            <w:r>
              <w:rPr>
                <w:sz w:val="18"/>
              </w:rPr>
              <w:t>250</w:t>
            </w:r>
          </w:p>
        </w:tc>
        <w:tc>
          <w:tcPr>
            <w:tcW w:type="dxa" w:w="1805"/>
            <w:shd w:fill="F7F6F5"/>
          </w:tcPr>
          <w:p>
            <w:r>
              <w:rPr>
                <w:sz w:val="18"/>
              </w:rPr>
              <w:t>75,000</w:t>
            </w:r>
          </w:p>
        </w:tc>
      </w:tr>
      <w:tr>
        <w:tc>
          <w:tcPr>
            <w:tcW w:type="dxa" w:w="1805"/>
          </w:tcPr>
          <w:p>
            <w:r>
              <w:rPr>
                <w:sz w:val="18"/>
              </w:rPr>
              <w:t>Y1 Q3</w:t>
            </w:r>
          </w:p>
        </w:tc>
        <w:tc>
          <w:tcPr>
            <w:tcW w:type="dxa" w:w="1805"/>
          </w:tcPr>
          <w:p>
            <w:r>
              <w:rPr>
                <w:sz w:val="18"/>
              </w:rPr>
              <w:t>15</w:t>
            </w:r>
          </w:p>
        </w:tc>
        <w:tc>
          <w:tcPr>
            <w:tcW w:type="dxa" w:w="1805"/>
          </w:tcPr>
          <w:p>
            <w:r>
              <w:rPr>
                <w:sz w:val="18"/>
              </w:rPr>
              <w:t>75</w:t>
            </w:r>
          </w:p>
        </w:tc>
        <w:tc>
          <w:tcPr>
            <w:tcW w:type="dxa" w:w="1805"/>
          </w:tcPr>
          <w:p>
            <w:r>
              <w:rPr>
                <w:sz w:val="18"/>
              </w:rPr>
              <w:t>375</w:t>
            </w:r>
          </w:p>
        </w:tc>
        <w:tc>
          <w:tcPr>
            <w:tcW w:type="dxa" w:w="1805"/>
          </w:tcPr>
          <w:p>
            <w:r>
              <w:rPr>
                <w:sz w:val="18"/>
              </w:rPr>
              <w:t>1,00,000</w:t>
            </w:r>
          </w:p>
        </w:tc>
      </w:tr>
      <w:tr>
        <w:tc>
          <w:tcPr>
            <w:tcW w:type="dxa" w:w="1805"/>
            <w:shd w:fill="F7F6F5"/>
          </w:tcPr>
          <w:p>
            <w:r>
              <w:rPr>
                <w:sz w:val="18"/>
              </w:rPr>
              <w:t>Y1 Q4</w:t>
            </w:r>
          </w:p>
        </w:tc>
        <w:tc>
          <w:tcPr>
            <w:tcW w:type="dxa" w:w="1805"/>
            <w:shd w:fill="F7F6F5"/>
          </w:tcPr>
          <w:p>
            <w:r>
              <w:rPr>
                <w:sz w:val="18"/>
              </w:rPr>
              <w:t>25</w:t>
            </w:r>
          </w:p>
        </w:tc>
        <w:tc>
          <w:tcPr>
            <w:tcW w:type="dxa" w:w="1805"/>
            <w:shd w:fill="F7F6F5"/>
          </w:tcPr>
          <w:p>
            <w:r>
              <w:rPr>
                <w:sz w:val="18"/>
              </w:rPr>
              <w:t>125</w:t>
            </w:r>
          </w:p>
        </w:tc>
        <w:tc>
          <w:tcPr>
            <w:tcW w:type="dxa" w:w="1805"/>
            <w:shd w:fill="F7F6F5"/>
          </w:tcPr>
          <w:p>
            <w:r>
              <w:rPr>
                <w:sz w:val="18"/>
              </w:rPr>
              <w:t>625</w:t>
            </w:r>
          </w:p>
        </w:tc>
        <w:tc>
          <w:tcPr>
            <w:tcW w:type="dxa" w:w="1805"/>
            <w:shd w:fill="F7F6F5"/>
          </w:tcPr>
          <w:p>
            <w:r>
              <w:rPr>
                <w:sz w:val="18"/>
              </w:rPr>
              <w:t>1,50,000</w:t>
            </w:r>
          </w:p>
        </w:tc>
      </w:tr>
      <w:tr>
        <w:tc>
          <w:tcPr>
            <w:tcW w:type="dxa" w:w="1805"/>
          </w:tcPr>
          <w:p>
            <w:r>
              <w:rPr>
                <w:sz w:val="18"/>
              </w:rPr>
              <w:t>Y2 Q1</w:t>
            </w:r>
          </w:p>
        </w:tc>
        <w:tc>
          <w:tcPr>
            <w:tcW w:type="dxa" w:w="1805"/>
          </w:tcPr>
          <w:p>
            <w:r>
              <w:rPr>
                <w:sz w:val="18"/>
              </w:rPr>
              <w:t>50</w:t>
            </w:r>
          </w:p>
        </w:tc>
        <w:tc>
          <w:tcPr>
            <w:tcW w:type="dxa" w:w="1805"/>
          </w:tcPr>
          <w:p>
            <w:r>
              <w:rPr>
                <w:sz w:val="18"/>
              </w:rPr>
              <w:t>250</w:t>
            </w:r>
          </w:p>
        </w:tc>
        <w:tc>
          <w:tcPr>
            <w:tcW w:type="dxa" w:w="1805"/>
          </w:tcPr>
          <w:p>
            <w:r>
              <w:rPr>
                <w:sz w:val="18"/>
              </w:rPr>
              <w:t>1,250</w:t>
            </w:r>
          </w:p>
        </w:tc>
        <w:tc>
          <w:tcPr>
            <w:tcW w:type="dxa" w:w="1805"/>
          </w:tcPr>
          <w:p>
            <w:r>
              <w:rPr>
                <w:sz w:val="18"/>
              </w:rPr>
              <w:t>2,50,000</w:t>
            </w:r>
          </w:p>
        </w:tc>
      </w:tr>
      <w:tr>
        <w:tc>
          <w:tcPr>
            <w:tcW w:type="dxa" w:w="1805"/>
            <w:shd w:fill="F7F6F5"/>
          </w:tcPr>
          <w:p>
            <w:r>
              <w:rPr>
                <w:sz w:val="18"/>
              </w:rPr>
              <w:t>Y2 Q2</w:t>
            </w:r>
          </w:p>
        </w:tc>
        <w:tc>
          <w:tcPr>
            <w:tcW w:type="dxa" w:w="1805"/>
            <w:shd w:fill="F7F6F5"/>
          </w:tcPr>
          <w:p>
            <w:r>
              <w:rPr>
                <w:sz w:val="18"/>
              </w:rPr>
              <w:t>80</w:t>
            </w:r>
          </w:p>
        </w:tc>
        <w:tc>
          <w:tcPr>
            <w:tcW w:type="dxa" w:w="1805"/>
            <w:shd w:fill="F7F6F5"/>
          </w:tcPr>
          <w:p>
            <w:r>
              <w:rPr>
                <w:sz w:val="18"/>
              </w:rPr>
              <w:t>400</w:t>
            </w:r>
          </w:p>
        </w:tc>
        <w:tc>
          <w:tcPr>
            <w:tcW w:type="dxa" w:w="1805"/>
            <w:shd w:fill="F7F6F5"/>
          </w:tcPr>
          <w:p>
            <w:r>
              <w:rPr>
                <w:sz w:val="18"/>
              </w:rPr>
              <w:t>2,000</w:t>
            </w:r>
          </w:p>
        </w:tc>
        <w:tc>
          <w:tcPr>
            <w:tcW w:type="dxa" w:w="1805"/>
            <w:shd w:fill="F7F6F5"/>
          </w:tcPr>
          <w:p>
            <w:r>
              <w:rPr>
                <w:sz w:val="18"/>
              </w:rPr>
              <w:t>3,50,000</w:t>
            </w:r>
          </w:p>
        </w:tc>
      </w:tr>
      <w:tr>
        <w:tc>
          <w:tcPr>
            <w:tcW w:type="dxa" w:w="1805"/>
          </w:tcPr>
          <w:p>
            <w:r>
              <w:rPr>
                <w:sz w:val="18"/>
              </w:rPr>
              <w:t>Y2 Q3</w:t>
            </w:r>
          </w:p>
        </w:tc>
        <w:tc>
          <w:tcPr>
            <w:tcW w:type="dxa" w:w="1805"/>
          </w:tcPr>
          <w:p>
            <w:r>
              <w:rPr>
                <w:sz w:val="18"/>
              </w:rPr>
              <w:t>120</w:t>
            </w:r>
          </w:p>
        </w:tc>
        <w:tc>
          <w:tcPr>
            <w:tcW w:type="dxa" w:w="1805"/>
          </w:tcPr>
          <w:p>
            <w:r>
              <w:rPr>
                <w:sz w:val="18"/>
              </w:rPr>
              <w:t>600</w:t>
            </w:r>
          </w:p>
        </w:tc>
        <w:tc>
          <w:tcPr>
            <w:tcW w:type="dxa" w:w="1805"/>
          </w:tcPr>
          <w:p>
            <w:r>
              <w:rPr>
                <w:sz w:val="18"/>
              </w:rPr>
              <w:t>3,000</w:t>
            </w:r>
          </w:p>
        </w:tc>
        <w:tc>
          <w:tcPr>
            <w:tcW w:type="dxa" w:w="1805"/>
          </w:tcPr>
          <w:p>
            <w:r>
              <w:rPr>
                <w:sz w:val="18"/>
              </w:rPr>
              <w:t>5,00,000</w:t>
            </w:r>
          </w:p>
        </w:tc>
      </w:tr>
      <w:tr>
        <w:tc>
          <w:tcPr>
            <w:tcW w:type="dxa" w:w="1805"/>
            <w:shd w:fill="F7F6F5"/>
          </w:tcPr>
          <w:p>
            <w:r>
              <w:rPr>
                <w:sz w:val="18"/>
              </w:rPr>
              <w:t>Y2 Q4</w:t>
            </w:r>
          </w:p>
        </w:tc>
        <w:tc>
          <w:tcPr>
            <w:tcW w:type="dxa" w:w="1805"/>
            <w:shd w:fill="F7F6F5"/>
          </w:tcPr>
          <w:p>
            <w:r>
              <w:rPr>
                <w:sz w:val="18"/>
              </w:rPr>
              <w:t>200</w:t>
            </w:r>
          </w:p>
        </w:tc>
        <w:tc>
          <w:tcPr>
            <w:tcW w:type="dxa" w:w="1805"/>
            <w:shd w:fill="F7F6F5"/>
          </w:tcPr>
          <w:p>
            <w:r>
              <w:rPr>
                <w:sz w:val="18"/>
              </w:rPr>
              <w:t>1,000</w:t>
            </w:r>
          </w:p>
        </w:tc>
        <w:tc>
          <w:tcPr>
            <w:tcW w:type="dxa" w:w="1805"/>
            <w:shd w:fill="F7F6F5"/>
          </w:tcPr>
          <w:p>
            <w:r>
              <w:rPr>
                <w:sz w:val="18"/>
              </w:rPr>
              <w:t>5,000</w:t>
            </w:r>
          </w:p>
        </w:tc>
        <w:tc>
          <w:tcPr>
            <w:tcW w:type="dxa" w:w="1805"/>
            <w:shd w:fill="F7F6F5"/>
          </w:tcPr>
          <w:p>
            <w:r>
              <w:rPr>
                <w:sz w:val="18"/>
              </w:rPr>
              <w:t>7,00,000</w:t>
            </w:r>
          </w:p>
        </w:tc>
      </w:tr>
      <w:tr>
        <w:tc>
          <w:tcPr>
            <w:tcW w:type="dxa" w:w="1805"/>
          </w:tcPr>
          <w:p>
            <w:r>
              <w:rPr>
                <w:sz w:val="18"/>
              </w:rPr>
              <w:t>Y3 Q1</w:t>
            </w:r>
          </w:p>
        </w:tc>
        <w:tc>
          <w:tcPr>
            <w:tcW w:type="dxa" w:w="1805"/>
          </w:tcPr>
          <w:p>
            <w:r>
              <w:rPr>
                <w:sz w:val="18"/>
              </w:rPr>
              <w:t>350</w:t>
            </w:r>
          </w:p>
        </w:tc>
        <w:tc>
          <w:tcPr>
            <w:tcW w:type="dxa" w:w="1805"/>
          </w:tcPr>
          <w:p>
            <w:r>
              <w:rPr>
                <w:sz w:val="18"/>
              </w:rPr>
              <w:t>1,750</w:t>
            </w:r>
          </w:p>
        </w:tc>
        <w:tc>
          <w:tcPr>
            <w:tcW w:type="dxa" w:w="1805"/>
          </w:tcPr>
          <w:p>
            <w:r>
              <w:rPr>
                <w:sz w:val="18"/>
              </w:rPr>
              <w:t>8,750</w:t>
            </w:r>
          </w:p>
        </w:tc>
        <w:tc>
          <w:tcPr>
            <w:tcW w:type="dxa" w:w="1805"/>
          </w:tcPr>
          <w:p>
            <w:r>
              <w:rPr>
                <w:sz w:val="18"/>
              </w:rPr>
              <w:t>10,00,000</w:t>
            </w:r>
          </w:p>
        </w:tc>
      </w:tr>
      <w:tr>
        <w:tc>
          <w:tcPr>
            <w:tcW w:type="dxa" w:w="1805"/>
            <w:shd w:fill="F7F6F5"/>
          </w:tcPr>
          <w:p>
            <w:r>
              <w:rPr>
                <w:sz w:val="18"/>
              </w:rPr>
              <w:t>Y3 Q2</w:t>
            </w:r>
          </w:p>
        </w:tc>
        <w:tc>
          <w:tcPr>
            <w:tcW w:type="dxa" w:w="1805"/>
            <w:shd w:fill="F7F6F5"/>
          </w:tcPr>
          <w:p>
            <w:r>
              <w:rPr>
                <w:sz w:val="18"/>
              </w:rPr>
              <w:t>500</w:t>
            </w:r>
          </w:p>
        </w:tc>
        <w:tc>
          <w:tcPr>
            <w:tcW w:type="dxa" w:w="1805"/>
            <w:shd w:fill="F7F6F5"/>
          </w:tcPr>
          <w:p>
            <w:r>
              <w:rPr>
                <w:sz w:val="18"/>
              </w:rPr>
              <w:t>2,500</w:t>
            </w:r>
          </w:p>
        </w:tc>
        <w:tc>
          <w:tcPr>
            <w:tcW w:type="dxa" w:w="1805"/>
            <w:shd w:fill="F7F6F5"/>
          </w:tcPr>
          <w:p>
            <w:r>
              <w:rPr>
                <w:sz w:val="18"/>
              </w:rPr>
              <w:t>12,500</w:t>
            </w:r>
          </w:p>
        </w:tc>
        <w:tc>
          <w:tcPr>
            <w:tcW w:type="dxa" w:w="1805"/>
            <w:shd w:fill="F7F6F5"/>
          </w:tcPr>
          <w:p>
            <w:r>
              <w:rPr>
                <w:sz w:val="18"/>
              </w:rPr>
              <w:t>12,00,000</w:t>
            </w:r>
          </w:p>
        </w:tc>
      </w:tr>
      <w:tr>
        <w:tc>
          <w:tcPr>
            <w:tcW w:type="dxa" w:w="1805"/>
          </w:tcPr>
          <w:p>
            <w:r>
              <w:rPr>
                <w:sz w:val="18"/>
              </w:rPr>
              <w:t>Y3 Q3</w:t>
            </w:r>
          </w:p>
        </w:tc>
        <w:tc>
          <w:tcPr>
            <w:tcW w:type="dxa" w:w="1805"/>
          </w:tcPr>
          <w:p>
            <w:r>
              <w:rPr>
                <w:sz w:val="18"/>
              </w:rPr>
              <w:t>750</w:t>
            </w:r>
          </w:p>
        </w:tc>
        <w:tc>
          <w:tcPr>
            <w:tcW w:type="dxa" w:w="1805"/>
          </w:tcPr>
          <w:p>
            <w:r>
              <w:rPr>
                <w:sz w:val="18"/>
              </w:rPr>
              <w:t>3,750</w:t>
            </w:r>
          </w:p>
        </w:tc>
        <w:tc>
          <w:tcPr>
            <w:tcW w:type="dxa" w:w="1805"/>
          </w:tcPr>
          <w:p>
            <w:r>
              <w:rPr>
                <w:sz w:val="18"/>
              </w:rPr>
              <w:t>18,750</w:t>
            </w:r>
          </w:p>
        </w:tc>
        <w:tc>
          <w:tcPr>
            <w:tcW w:type="dxa" w:w="1805"/>
          </w:tcPr>
          <w:p>
            <w:r>
              <w:rPr>
                <w:sz w:val="18"/>
              </w:rPr>
              <w:t>15,00,000</w:t>
            </w:r>
          </w:p>
        </w:tc>
      </w:tr>
      <w:tr>
        <w:tc>
          <w:tcPr>
            <w:tcW w:type="dxa" w:w="1805"/>
            <w:shd w:fill="F7F6F5"/>
          </w:tcPr>
          <w:p>
            <w:r>
              <w:rPr>
                <w:sz w:val="18"/>
              </w:rPr>
              <w:t>Y3 Q4</w:t>
            </w:r>
          </w:p>
        </w:tc>
        <w:tc>
          <w:tcPr>
            <w:tcW w:type="dxa" w:w="1805"/>
            <w:shd w:fill="F7F6F5"/>
          </w:tcPr>
          <w:p>
            <w:r>
              <w:rPr>
                <w:sz w:val="18"/>
              </w:rPr>
              <w:t>1,000</w:t>
            </w:r>
          </w:p>
        </w:tc>
        <w:tc>
          <w:tcPr>
            <w:tcW w:type="dxa" w:w="1805"/>
            <w:shd w:fill="F7F6F5"/>
          </w:tcPr>
          <w:p>
            <w:r>
              <w:rPr>
                <w:sz w:val="18"/>
              </w:rPr>
              <w:t>5,000</w:t>
            </w:r>
          </w:p>
        </w:tc>
        <w:tc>
          <w:tcPr>
            <w:tcW w:type="dxa" w:w="1805"/>
            <w:shd w:fill="F7F6F5"/>
          </w:tcPr>
          <w:p>
            <w:r>
              <w:rPr>
                <w:sz w:val="18"/>
              </w:rPr>
              <w:t>25,000</w:t>
            </w:r>
          </w:p>
        </w:tc>
        <w:tc>
          <w:tcPr>
            <w:tcW w:type="dxa" w:w="1805"/>
            <w:shd w:fill="F7F6F5"/>
          </w:tcPr>
          <w:p>
            <w:r>
              <w:rPr>
                <w:sz w:val="18"/>
              </w:rPr>
              <w:t>18,00,000</w:t>
            </w:r>
          </w:p>
        </w:tc>
      </w:tr>
    </w:tbl>
    <w:p/>
    <w:p>
      <w:pPr>
        <w:pStyle w:val="Heading2"/>
      </w:pPr>
      <w:r>
        <w:rPr>
          <w:color w:val="292C33"/>
        </w:rPr>
        <w:t>10.5 Savings Calculation (Consistent ₹300/hr Rate)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Component</w:t>
            </w:r>
          </w:p>
        </w:tc>
        <w:tc>
          <w:tcPr>
            <w:tcW w:type="dxa" w:w="2256"/>
            <w:shd w:fill="487265"/>
          </w:tcPr>
          <w:p>
            <w:pPr>
              <w:jc w:val="center"/>
            </w:pPr>
            <w:r>
              <w:rPr>
                <w:b/>
                <w:color w:val="FFFFFF"/>
                <w:sz w:val="18"/>
              </w:rPr>
              <w:t>Manual Cost/IEP</w:t>
            </w:r>
          </w:p>
        </w:tc>
        <w:tc>
          <w:tcPr>
            <w:tcW w:type="dxa" w:w="2256"/>
            <w:shd w:fill="487265"/>
          </w:tcPr>
          <w:p>
            <w:pPr>
              <w:jc w:val="center"/>
            </w:pPr>
            <w:r>
              <w:rPr>
                <w:b/>
                <w:color w:val="FFFFFF"/>
                <w:sz w:val="18"/>
              </w:rPr>
              <w:t>AI-Assisted Cost/IEP</w:t>
            </w:r>
          </w:p>
        </w:tc>
        <w:tc>
          <w:tcPr>
            <w:tcW w:type="dxa" w:w="2256"/>
            <w:shd w:fill="487265"/>
          </w:tcPr>
          <w:p>
            <w:pPr>
              <w:jc w:val="center"/>
            </w:pPr>
            <w:r>
              <w:rPr>
                <w:b/>
                <w:color w:val="FFFFFF"/>
                <w:sz w:val="18"/>
              </w:rPr>
              <w:t>Savings/IEP</w:t>
            </w:r>
          </w:p>
        </w:tc>
      </w:tr>
      <w:tr>
        <w:tc>
          <w:tcPr>
            <w:tcW w:type="dxa" w:w="2256"/>
          </w:tcPr>
          <w:p>
            <w:r>
              <w:rPr>
                <w:sz w:val="18"/>
              </w:rPr>
              <w:t>Teacher time</w:t>
            </w:r>
          </w:p>
        </w:tc>
        <w:tc>
          <w:tcPr>
            <w:tcW w:type="dxa" w:w="2256"/>
          </w:tcPr>
          <w:p>
            <w:r>
              <w:rPr>
                <w:sz w:val="18"/>
              </w:rPr>
              <w:t>8h × ₹300 = ₹2,400</w:t>
            </w:r>
          </w:p>
        </w:tc>
        <w:tc>
          <w:tcPr>
            <w:tcW w:type="dxa" w:w="2256"/>
          </w:tcPr>
          <w:p>
            <w:r>
              <w:rPr>
                <w:sz w:val="18"/>
              </w:rPr>
              <w:t>1.3h × ₹300 = ₹390</w:t>
            </w:r>
          </w:p>
        </w:tc>
        <w:tc>
          <w:tcPr>
            <w:tcW w:type="dxa" w:w="2256"/>
          </w:tcPr>
          <w:p>
            <w:r>
              <w:rPr>
                <w:sz w:val="18"/>
              </w:rPr>
              <w:t>₹2,010</w:t>
            </w:r>
          </w:p>
        </w:tc>
      </w:tr>
      <w:tr>
        <w:tc>
          <w:tcPr>
            <w:tcW w:type="dxa" w:w="2256"/>
            <w:shd w:fill="F7F6F5"/>
          </w:tcPr>
          <w:p>
            <w:r>
              <w:rPr>
                <w:sz w:val="18"/>
              </w:rPr>
              <w:t>Legal review</w:t>
            </w:r>
          </w:p>
        </w:tc>
        <w:tc>
          <w:tcPr>
            <w:tcW w:type="dxa" w:w="2256"/>
            <w:shd w:fill="F7F6F5"/>
          </w:tcPr>
          <w:p>
            <w:r>
              <w:rPr>
                <w:sz w:val="18"/>
              </w:rPr>
              <w:t>₹1,000</w:t>
            </w:r>
          </w:p>
        </w:tc>
        <w:tc>
          <w:tcPr>
            <w:tcW w:type="dxa" w:w="2256"/>
            <w:shd w:fill="F7F6F5"/>
          </w:tcPr>
          <w:p>
            <w:r>
              <w:rPr>
                <w:sz w:val="18"/>
              </w:rPr>
              <w:t>₹0 (built-in)</w:t>
            </w:r>
          </w:p>
        </w:tc>
        <w:tc>
          <w:tcPr>
            <w:tcW w:type="dxa" w:w="2256"/>
            <w:shd w:fill="F7F6F5"/>
          </w:tcPr>
          <w:p>
            <w:r>
              <w:rPr>
                <w:sz w:val="18"/>
              </w:rPr>
              <w:t>₹1,000</w:t>
            </w:r>
          </w:p>
        </w:tc>
      </w:tr>
      <w:tr>
        <w:tc>
          <w:tcPr>
            <w:tcW w:type="dxa" w:w="2256"/>
          </w:tcPr>
          <w:p>
            <w:r>
              <w:rPr>
                <w:sz w:val="18"/>
              </w:rPr>
              <w:t>Admin overhead</w:t>
            </w:r>
          </w:p>
        </w:tc>
        <w:tc>
          <w:tcPr>
            <w:tcW w:type="dxa" w:w="2256"/>
          </w:tcPr>
          <w:p>
            <w:r>
              <w:rPr>
                <w:sz w:val="18"/>
              </w:rPr>
              <w:t>₹400</w:t>
            </w:r>
          </w:p>
        </w:tc>
        <w:tc>
          <w:tcPr>
            <w:tcW w:type="dxa" w:w="2256"/>
          </w:tcPr>
          <w:p>
            <w:r>
              <w:rPr>
                <w:sz w:val="18"/>
              </w:rPr>
              <w:t>₹100</w:t>
            </w:r>
          </w:p>
        </w:tc>
        <w:tc>
          <w:tcPr>
            <w:tcW w:type="dxa" w:w="2256"/>
          </w:tcPr>
          <w:p>
            <w:r>
              <w:rPr>
                <w:sz w:val="18"/>
              </w:rPr>
              <w:t>₹300</w:t>
            </w:r>
          </w:p>
        </w:tc>
      </w:tr>
      <w:tr>
        <w:tc>
          <w:tcPr>
            <w:tcW w:type="dxa" w:w="2256"/>
            <w:shd w:fill="F7F6F5"/>
          </w:tcPr>
          <w:p>
            <w:r>
              <w:rPr>
                <w:sz w:val="18"/>
              </w:rPr>
              <w:t>Total per IEP</w:t>
            </w:r>
          </w:p>
        </w:tc>
        <w:tc>
          <w:tcPr>
            <w:tcW w:type="dxa" w:w="2256"/>
            <w:shd w:fill="F7F6F5"/>
          </w:tcPr>
          <w:p>
            <w:r>
              <w:rPr>
                <w:sz w:val="18"/>
              </w:rPr>
              <w:t>₹3,800</w:t>
            </w:r>
          </w:p>
        </w:tc>
        <w:tc>
          <w:tcPr>
            <w:tcW w:type="dxa" w:w="2256"/>
            <w:shd w:fill="F7F6F5"/>
          </w:tcPr>
          <w:p>
            <w:r>
              <w:rPr>
                <w:sz w:val="18"/>
              </w:rPr>
              <w:t>₹490</w:t>
            </w:r>
          </w:p>
        </w:tc>
        <w:tc>
          <w:tcPr>
            <w:tcW w:type="dxa" w:w="2256"/>
            <w:shd w:fill="F7F6F5"/>
          </w:tcPr>
          <w:p>
            <w:r>
              <w:rPr>
                <w:sz w:val="18"/>
              </w:rPr>
              <w:t>₹3,310</w:t>
            </w:r>
          </w:p>
        </w:tc>
      </w:tr>
    </w:tbl>
    <w:p/>
    <w:p>
      <w:pPr>
        <w:pStyle w:val="BodyText"/>
      </w:pPr>
      <w:r>
        <w:t>Per school (50 IEPs/year): ₹3,310 × 50 = ₹1,65,500 savings/year</w:t>
      </w:r>
    </w:p>
    <w:p>
      <w:pPr>
        <w:pStyle w:val="Heading2"/>
      </w:pPr>
      <w:r>
        <w:rPr>
          <w:color w:val="292C33"/>
        </w:rPr>
        <w:t>10.6 Revised ROI Calculation</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487265"/>
          </w:tcPr>
          <w:p>
            <w:pPr>
              <w:jc w:val="center"/>
            </w:pPr>
            <w:r>
              <w:rPr>
                <w:b/>
                <w:color w:val="FFFFFF"/>
                <w:sz w:val="18"/>
              </w:rPr>
              <w:t>Year</w:t>
            </w:r>
          </w:p>
        </w:tc>
        <w:tc>
          <w:tcPr>
            <w:tcW w:type="dxa" w:w="1504"/>
            <w:shd w:fill="487265"/>
          </w:tcPr>
          <w:p>
            <w:pPr>
              <w:jc w:val="center"/>
            </w:pPr>
            <w:r>
              <w:rPr>
                <w:b/>
                <w:color w:val="FFFFFF"/>
                <w:sz w:val="18"/>
              </w:rPr>
              <w:t>Investment (₹ Cr)</w:t>
            </w:r>
          </w:p>
        </w:tc>
        <w:tc>
          <w:tcPr>
            <w:tcW w:type="dxa" w:w="1504"/>
            <w:shd w:fill="487265"/>
          </w:tcPr>
          <w:p>
            <w:pPr>
              <w:jc w:val="center"/>
            </w:pPr>
            <w:r>
              <w:rPr>
                <w:b/>
                <w:color w:val="FFFFFF"/>
                <w:sz w:val="18"/>
              </w:rPr>
              <w:t>Schools</w:t>
            </w:r>
          </w:p>
        </w:tc>
        <w:tc>
          <w:tcPr>
            <w:tcW w:type="dxa" w:w="1504"/>
            <w:shd w:fill="487265"/>
          </w:tcPr>
          <w:p>
            <w:pPr>
              <w:jc w:val="center"/>
            </w:pPr>
            <w:r>
              <w:rPr>
                <w:b/>
                <w:color w:val="FFFFFF"/>
                <w:sz w:val="18"/>
              </w:rPr>
              <w:t>Savings (₹ Cr)</w:t>
            </w:r>
          </w:p>
        </w:tc>
        <w:tc>
          <w:tcPr>
            <w:tcW w:type="dxa" w:w="1504"/>
            <w:shd w:fill="487265"/>
          </w:tcPr>
          <w:p>
            <w:pPr>
              <w:jc w:val="center"/>
            </w:pPr>
            <w:r>
              <w:rPr>
                <w:b/>
                <w:color w:val="FFFFFF"/>
                <w:sz w:val="18"/>
              </w:rPr>
              <w:t>Net (₹ Cr)</w:t>
            </w:r>
          </w:p>
        </w:tc>
        <w:tc>
          <w:tcPr>
            <w:tcW w:type="dxa" w:w="1504"/>
            <w:shd w:fill="487265"/>
          </w:tcPr>
          <w:p>
            <w:pPr>
              <w:jc w:val="center"/>
            </w:pPr>
            <w:r>
              <w:rPr>
                <w:b/>
                <w:color w:val="FFFFFF"/>
                <w:sz w:val="18"/>
              </w:rPr>
              <w:t>Cumulative (₹ Cr)</w:t>
            </w:r>
          </w:p>
        </w:tc>
      </w:tr>
      <w:tr>
        <w:tc>
          <w:tcPr>
            <w:tcW w:type="dxa" w:w="1504"/>
          </w:tcPr>
          <w:p>
            <w:r>
              <w:rPr>
                <w:sz w:val="18"/>
              </w:rPr>
              <w:t>1</w:t>
            </w:r>
          </w:p>
        </w:tc>
        <w:tc>
          <w:tcPr>
            <w:tcW w:type="dxa" w:w="1504"/>
          </w:tcPr>
          <w:p>
            <w:r>
              <w:rPr>
                <w:sz w:val="18"/>
              </w:rPr>
              <w:t>0.37</w:t>
            </w:r>
          </w:p>
        </w:tc>
        <w:tc>
          <w:tcPr>
            <w:tcW w:type="dxa" w:w="1504"/>
          </w:tcPr>
          <w:p>
            <w:r>
              <w:rPr>
                <w:sz w:val="18"/>
              </w:rPr>
              <w:t>25</w:t>
            </w:r>
          </w:p>
        </w:tc>
        <w:tc>
          <w:tcPr>
            <w:tcW w:type="dxa" w:w="1504"/>
          </w:tcPr>
          <w:p>
            <w:r>
              <w:rPr>
                <w:sz w:val="18"/>
              </w:rPr>
              <w:t>0.41</w:t>
            </w:r>
          </w:p>
        </w:tc>
        <w:tc>
          <w:tcPr>
            <w:tcW w:type="dxa" w:w="1504"/>
          </w:tcPr>
          <w:p>
            <w:r>
              <w:rPr>
                <w:sz w:val="18"/>
              </w:rPr>
              <w:t>+0.04</w:t>
            </w:r>
          </w:p>
        </w:tc>
        <w:tc>
          <w:tcPr>
            <w:tcW w:type="dxa" w:w="1504"/>
          </w:tcPr>
          <w:p>
            <w:r>
              <w:rPr>
                <w:sz w:val="18"/>
              </w:rPr>
              <w:t>+0.04</w:t>
            </w:r>
          </w:p>
        </w:tc>
      </w:tr>
      <w:tr>
        <w:tc>
          <w:tcPr>
            <w:tcW w:type="dxa" w:w="1504"/>
            <w:shd w:fill="F7F6F5"/>
          </w:tcPr>
          <w:p>
            <w:r>
              <w:rPr>
                <w:sz w:val="18"/>
              </w:rPr>
              <w:t>2</w:t>
            </w:r>
          </w:p>
        </w:tc>
        <w:tc>
          <w:tcPr>
            <w:tcW w:type="dxa" w:w="1504"/>
            <w:shd w:fill="F7F6F5"/>
          </w:tcPr>
          <w:p>
            <w:r>
              <w:rPr>
                <w:sz w:val="18"/>
              </w:rPr>
              <w:t>0.85</w:t>
            </w:r>
          </w:p>
        </w:tc>
        <w:tc>
          <w:tcPr>
            <w:tcW w:type="dxa" w:w="1504"/>
            <w:shd w:fill="F7F6F5"/>
          </w:tcPr>
          <w:p>
            <w:r>
              <w:rPr>
                <w:sz w:val="18"/>
              </w:rPr>
              <w:t>200</w:t>
            </w:r>
          </w:p>
        </w:tc>
        <w:tc>
          <w:tcPr>
            <w:tcW w:type="dxa" w:w="1504"/>
            <w:shd w:fill="F7F6F5"/>
          </w:tcPr>
          <w:p>
            <w:r>
              <w:rPr>
                <w:sz w:val="18"/>
              </w:rPr>
              <w:t>3.31</w:t>
            </w:r>
          </w:p>
        </w:tc>
        <w:tc>
          <w:tcPr>
            <w:tcW w:type="dxa" w:w="1504"/>
            <w:shd w:fill="F7F6F5"/>
          </w:tcPr>
          <w:p>
            <w:r>
              <w:rPr>
                <w:sz w:val="18"/>
              </w:rPr>
              <w:t>+2.46</w:t>
            </w:r>
          </w:p>
        </w:tc>
        <w:tc>
          <w:tcPr>
            <w:tcW w:type="dxa" w:w="1504"/>
            <w:shd w:fill="F7F6F5"/>
          </w:tcPr>
          <w:p>
            <w:r>
              <w:rPr>
                <w:sz w:val="18"/>
              </w:rPr>
              <w:t>+2.50</w:t>
            </w:r>
          </w:p>
        </w:tc>
      </w:tr>
      <w:tr>
        <w:tc>
          <w:tcPr>
            <w:tcW w:type="dxa" w:w="1504"/>
          </w:tcPr>
          <w:p>
            <w:r>
              <w:rPr>
                <w:sz w:val="18"/>
              </w:rPr>
              <w:t>3</w:t>
            </w:r>
          </w:p>
        </w:tc>
        <w:tc>
          <w:tcPr>
            <w:tcW w:type="dxa" w:w="1504"/>
          </w:tcPr>
          <w:p>
            <w:r>
              <w:rPr>
                <w:sz w:val="18"/>
              </w:rPr>
              <w:t>1.75</w:t>
            </w:r>
          </w:p>
        </w:tc>
        <w:tc>
          <w:tcPr>
            <w:tcW w:type="dxa" w:w="1504"/>
          </w:tcPr>
          <w:p>
            <w:r>
              <w:rPr>
                <w:sz w:val="18"/>
              </w:rPr>
              <w:t>1,000</w:t>
            </w:r>
          </w:p>
        </w:tc>
        <w:tc>
          <w:tcPr>
            <w:tcW w:type="dxa" w:w="1504"/>
          </w:tcPr>
          <w:p>
            <w:r>
              <w:rPr>
                <w:sz w:val="18"/>
              </w:rPr>
              <w:t>16.55</w:t>
            </w:r>
          </w:p>
        </w:tc>
        <w:tc>
          <w:tcPr>
            <w:tcW w:type="dxa" w:w="1504"/>
          </w:tcPr>
          <w:p>
            <w:r>
              <w:rPr>
                <w:sz w:val="18"/>
              </w:rPr>
              <w:t>+14.80</w:t>
            </w:r>
          </w:p>
        </w:tc>
        <w:tc>
          <w:tcPr>
            <w:tcW w:type="dxa" w:w="1504"/>
          </w:tcPr>
          <w:p>
            <w:r>
              <w:rPr>
                <w:sz w:val="18"/>
              </w:rPr>
              <w:t>+17.30</w:t>
            </w:r>
          </w:p>
        </w:tc>
      </w:tr>
      <w:tr>
        <w:tc>
          <w:tcPr>
            <w:tcW w:type="dxa" w:w="1504"/>
            <w:shd w:fill="F7F6F5"/>
          </w:tcPr>
          <w:p>
            <w:r>
              <w:rPr>
                <w:sz w:val="18"/>
              </w:rPr>
              <w:t>Total</w:t>
            </w:r>
          </w:p>
        </w:tc>
        <w:tc>
          <w:tcPr>
            <w:tcW w:type="dxa" w:w="1504"/>
            <w:shd w:fill="F7F6F5"/>
          </w:tcPr>
          <w:p>
            <w:r>
              <w:rPr>
                <w:sz w:val="18"/>
              </w:rPr>
              <w:t>2.97</w:t>
            </w:r>
          </w:p>
        </w:tc>
        <w:tc>
          <w:tcPr>
            <w:tcW w:type="dxa" w:w="1504"/>
            <w:shd w:fill="F7F6F5"/>
          </w:tcPr>
          <w:p>
            <w:r>
              <w:rPr>
                <w:sz w:val="18"/>
              </w:rPr>
            </w:r>
          </w:p>
        </w:tc>
        <w:tc>
          <w:tcPr>
            <w:tcW w:type="dxa" w:w="1504"/>
            <w:shd w:fill="F7F6F5"/>
          </w:tcPr>
          <w:p>
            <w:r>
              <w:rPr>
                <w:sz w:val="18"/>
              </w:rPr>
              <w:t>20.27</w:t>
            </w:r>
          </w:p>
        </w:tc>
        <w:tc>
          <w:tcPr>
            <w:tcW w:type="dxa" w:w="1504"/>
            <w:shd w:fill="F7F6F5"/>
          </w:tcPr>
          <w:p>
            <w:r>
              <w:rPr>
                <w:sz w:val="18"/>
              </w:rPr>
            </w:r>
          </w:p>
        </w:tc>
        <w:tc>
          <w:tcPr>
            <w:tcW w:type="dxa" w:w="1504"/>
            <w:shd w:fill="F7F6F5"/>
          </w:tcPr>
          <w:p>
            <w:r>
              <w:rPr>
                <w:sz w:val="18"/>
              </w:rPr>
              <w:t>+17.30</w:t>
            </w:r>
          </w:p>
        </w:tc>
      </w:tr>
    </w:tbl>
    <w:p/>
    <w:p>
      <w:pPr>
        <w:pStyle w:val="BodyText"/>
      </w:pPr>
      <w:r>
        <w:t>ROI: (20.27 - 2.97) / 2.97 × 100 = 582%</w:t>
      </w:r>
    </w:p>
    <w:p>
      <w:pPr>
        <w:pStyle w:val="BodyText"/>
      </w:pPr>
      <w:r>
        <w:t>Payback Period: ~11 months (breakeven in Y1 Q4)</w:t>
      </w:r>
    </w:p>
    <w:p>
      <w:pPr>
        <w:pStyle w:val="BodyText"/>
      </w:pPr>
      <w:r>
        <w:t>NPV @ 10%: ₹14.2 Crores</w:t>
      </w:r>
    </w:p>
    <w:p>
      <w:pPr>
        <w:pStyle w:val="Heading2"/>
      </w:pPr>
      <w:r>
        <w:rPr>
          <w:color w:val="292C33"/>
        </w:rPr>
        <w:t>10.7 The Cost of Inaction</w:t>
      </w:r>
    </w:p>
    <w:p>
      <w:pPr>
        <w:pStyle w:val="BodyText"/>
      </w:pPr>
      <w:r>
        <w:t>Over 3 years, 1,000 schools spending ₹2,70,000/year on manual IEP creation = ₹81 Crores in manual IEP costs. The investment of ₹2.97 Crores saves ₹20+ Crores. The cost of NOT building this is ₹81 Crores over 3 years.</w:t>
      </w:r>
    </w:p>
    <w:p>
      <w:pPr>
        <w:pStyle w:val="BodyText"/>
      </w:pPr>
      <w:r>
        <w:t>Cost per student impacted: Total 3-year investment (₹2.97 Cr) ÷ students impacted (50,000 by Y3) = ₹594 per student — a compelling metric for CSR and government pitches.</w:t>
      </w:r>
    </w:p>
    <w:p>
      <w:pPr>
        <w:pStyle w:val="Heading2"/>
      </w:pPr>
      <w:r>
        <w:rPr>
          <w:color w:val="292C33"/>
        </w:rPr>
        <w:t>10.8 Sensitivity Analysis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487265"/>
          </w:tcPr>
          <w:p>
            <w:pPr>
              <w:jc w:val="center"/>
            </w:pPr>
            <w:r>
              <w:rPr>
                <w:b/>
                <w:color w:val="FFFFFF"/>
                <w:sz w:val="18"/>
              </w:rPr>
              <w:t>Scenario</w:t>
            </w:r>
          </w:p>
        </w:tc>
        <w:tc>
          <w:tcPr>
            <w:tcW w:type="dxa" w:w="1805"/>
            <w:shd w:fill="487265"/>
          </w:tcPr>
          <w:p>
            <w:pPr>
              <w:jc w:val="center"/>
            </w:pPr>
            <w:r>
              <w:rPr>
                <w:b/>
                <w:color w:val="FFFFFF"/>
                <w:sz w:val="18"/>
              </w:rPr>
              <w:t>Schools (Y3)</w:t>
            </w:r>
          </w:p>
        </w:tc>
        <w:tc>
          <w:tcPr>
            <w:tcW w:type="dxa" w:w="1805"/>
            <w:shd w:fill="487265"/>
          </w:tcPr>
          <w:p>
            <w:pPr>
              <w:jc w:val="center"/>
            </w:pPr>
            <w:r>
              <w:rPr>
                <w:b/>
                <w:color w:val="FFFFFF"/>
                <w:sz w:val="18"/>
              </w:rPr>
              <w:t>Time Savings</w:t>
            </w:r>
          </w:p>
        </w:tc>
        <w:tc>
          <w:tcPr>
            <w:tcW w:type="dxa" w:w="1805"/>
            <w:shd w:fill="487265"/>
          </w:tcPr>
          <w:p>
            <w:pPr>
              <w:jc w:val="center"/>
            </w:pPr>
            <w:r>
              <w:rPr>
                <w:b/>
                <w:color w:val="FFFFFF"/>
                <w:sz w:val="18"/>
              </w:rPr>
              <w:t>ROI</w:t>
            </w:r>
          </w:p>
        </w:tc>
        <w:tc>
          <w:tcPr>
            <w:tcW w:type="dxa" w:w="1805"/>
            <w:shd w:fill="487265"/>
          </w:tcPr>
          <w:p>
            <w:pPr>
              <w:jc w:val="center"/>
            </w:pPr>
            <w:r>
              <w:rPr>
                <w:b/>
                <w:color w:val="FFFFFF"/>
                <w:sz w:val="18"/>
              </w:rPr>
              <w:t>Payback</w:t>
            </w:r>
          </w:p>
        </w:tc>
      </w:tr>
      <w:tr>
        <w:tc>
          <w:tcPr>
            <w:tcW w:type="dxa" w:w="1805"/>
          </w:tcPr>
          <w:p>
            <w:r>
              <w:rPr>
                <w:sz w:val="18"/>
              </w:rPr>
              <w:t>Pessimistic</w:t>
            </w:r>
          </w:p>
        </w:tc>
        <w:tc>
          <w:tcPr>
            <w:tcW w:type="dxa" w:w="1805"/>
          </w:tcPr>
          <w:p>
            <w:r>
              <w:rPr>
                <w:sz w:val="18"/>
              </w:rPr>
              <w:t>300</w:t>
            </w:r>
          </w:p>
        </w:tc>
        <w:tc>
          <w:tcPr>
            <w:tcW w:type="dxa" w:w="1805"/>
          </w:tcPr>
          <w:p>
            <w:r>
              <w:rPr>
                <w:sz w:val="18"/>
              </w:rPr>
              <w:t>50% (8h→4h)</w:t>
            </w:r>
          </w:p>
        </w:tc>
        <w:tc>
          <w:tcPr>
            <w:tcW w:type="dxa" w:w="1805"/>
          </w:tcPr>
          <w:p>
            <w:r>
              <w:rPr>
                <w:sz w:val="18"/>
              </w:rPr>
              <w:t>180%</w:t>
            </w:r>
          </w:p>
        </w:tc>
        <w:tc>
          <w:tcPr>
            <w:tcW w:type="dxa" w:w="1805"/>
          </w:tcPr>
          <w:p>
            <w:r>
              <w:rPr>
                <w:sz w:val="18"/>
              </w:rPr>
              <w:t>20 months</w:t>
            </w:r>
          </w:p>
        </w:tc>
      </w:tr>
      <w:tr>
        <w:tc>
          <w:tcPr>
            <w:tcW w:type="dxa" w:w="1805"/>
            <w:shd w:fill="F7F6F5"/>
          </w:tcPr>
          <w:p>
            <w:r>
              <w:rPr>
                <w:sz w:val="18"/>
              </w:rPr>
              <w:t>Conservative</w:t>
            </w:r>
          </w:p>
        </w:tc>
        <w:tc>
          <w:tcPr>
            <w:tcW w:type="dxa" w:w="1805"/>
            <w:shd w:fill="F7F6F5"/>
          </w:tcPr>
          <w:p>
            <w:r>
              <w:rPr>
                <w:sz w:val="18"/>
              </w:rPr>
              <w:t>500</w:t>
            </w:r>
          </w:p>
        </w:tc>
        <w:tc>
          <w:tcPr>
            <w:tcW w:type="dxa" w:w="1805"/>
            <w:shd w:fill="F7F6F5"/>
          </w:tcPr>
          <w:p>
            <w:r>
              <w:rPr>
                <w:sz w:val="18"/>
              </w:rPr>
              <w:t>70% (8h→2.4h)</w:t>
            </w:r>
          </w:p>
        </w:tc>
        <w:tc>
          <w:tcPr>
            <w:tcW w:type="dxa" w:w="1805"/>
            <w:shd w:fill="F7F6F5"/>
          </w:tcPr>
          <w:p>
            <w:r>
              <w:rPr>
                <w:sz w:val="18"/>
              </w:rPr>
              <w:t>380%</w:t>
            </w:r>
          </w:p>
        </w:tc>
        <w:tc>
          <w:tcPr>
            <w:tcW w:type="dxa" w:w="1805"/>
            <w:shd w:fill="F7F6F5"/>
          </w:tcPr>
          <w:p>
            <w:r>
              <w:rPr>
                <w:sz w:val="18"/>
              </w:rPr>
              <w:t>15 months</w:t>
            </w:r>
          </w:p>
        </w:tc>
      </w:tr>
      <w:tr>
        <w:tc>
          <w:tcPr>
            <w:tcW w:type="dxa" w:w="1805"/>
          </w:tcPr>
          <w:p>
            <w:r>
              <w:rPr>
                <w:sz w:val="18"/>
              </w:rPr>
              <w:t>Base Case</w:t>
            </w:r>
          </w:p>
        </w:tc>
        <w:tc>
          <w:tcPr>
            <w:tcW w:type="dxa" w:w="1805"/>
          </w:tcPr>
          <w:p>
            <w:r>
              <w:rPr>
                <w:sz w:val="18"/>
              </w:rPr>
              <w:t>1,000</w:t>
            </w:r>
          </w:p>
        </w:tc>
        <w:tc>
          <w:tcPr>
            <w:tcW w:type="dxa" w:w="1805"/>
          </w:tcPr>
          <w:p>
            <w:r>
              <w:rPr>
                <w:sz w:val="18"/>
              </w:rPr>
              <w:t>84% (8h→1.3h)</w:t>
            </w:r>
          </w:p>
        </w:tc>
        <w:tc>
          <w:tcPr>
            <w:tcW w:type="dxa" w:w="1805"/>
          </w:tcPr>
          <w:p>
            <w:r>
              <w:rPr>
                <w:sz w:val="18"/>
              </w:rPr>
              <w:t>582%</w:t>
            </w:r>
          </w:p>
        </w:tc>
        <w:tc>
          <w:tcPr>
            <w:tcW w:type="dxa" w:w="1805"/>
          </w:tcPr>
          <w:p>
            <w:r>
              <w:rPr>
                <w:sz w:val="18"/>
              </w:rPr>
              <w:t>11 months</w:t>
            </w:r>
          </w:p>
        </w:tc>
      </w:tr>
      <w:tr>
        <w:tc>
          <w:tcPr>
            <w:tcW w:type="dxa" w:w="1805"/>
            <w:shd w:fill="F7F6F5"/>
          </w:tcPr>
          <w:p>
            <w:r>
              <w:rPr>
                <w:sz w:val="18"/>
              </w:rPr>
              <w:t>Optimistic</w:t>
            </w:r>
          </w:p>
        </w:tc>
        <w:tc>
          <w:tcPr>
            <w:tcW w:type="dxa" w:w="1805"/>
            <w:shd w:fill="F7F6F5"/>
          </w:tcPr>
          <w:p>
            <w:r>
              <w:rPr>
                <w:sz w:val="18"/>
              </w:rPr>
              <w:t>1,500</w:t>
            </w:r>
          </w:p>
        </w:tc>
        <w:tc>
          <w:tcPr>
            <w:tcW w:type="dxa" w:w="1805"/>
            <w:shd w:fill="F7F6F5"/>
          </w:tcPr>
          <w:p>
            <w:r>
              <w:rPr>
                <w:sz w:val="18"/>
              </w:rPr>
              <w:t>90% (8h→0.8h)</w:t>
            </w:r>
          </w:p>
        </w:tc>
        <w:tc>
          <w:tcPr>
            <w:tcW w:type="dxa" w:w="1805"/>
            <w:shd w:fill="F7F6F5"/>
          </w:tcPr>
          <w:p>
            <w:r>
              <w:rPr>
                <w:sz w:val="18"/>
              </w:rPr>
              <w:t>920%</w:t>
            </w:r>
          </w:p>
        </w:tc>
        <w:tc>
          <w:tcPr>
            <w:tcW w:type="dxa" w:w="1805"/>
            <w:shd w:fill="F7F6F5"/>
          </w:tcPr>
          <w:p>
            <w:r>
              <w:rPr>
                <w:sz w:val="18"/>
              </w:rPr>
              <w:t>8 months</w:t>
            </w:r>
          </w:p>
        </w:tc>
      </w:tr>
    </w:tbl>
    <w:p/>
    <w:p>
      <w:pPr>
        <w:pStyle w:val="BodyText"/>
      </w:pPr>
      <w:r>
        <w:t>The project maintains positive ROI even in the pessimistic scenario (300 schools, 50% time savings), indicating robust financial viability.</w:t>
      </w:r>
    </w:p>
    <w:p>
      <w:r>
        <w:br w:type="page"/>
      </w:r>
    </w:p>
    <w:p>
      <w:pPr>
        <w:pStyle w:val="Heading1"/>
      </w:pPr>
      <w:r>
        <w:rPr>
          <w:color w:val="487265"/>
        </w:rPr>
        <w:t>11. Results and Discussion</w:t>
      </w:r>
    </w:p>
    <w:p>
      <w:pPr>
        <w:pStyle w:val="Heading2"/>
      </w:pPr>
      <w:r>
        <w:rPr>
          <w:color w:val="292C33"/>
        </w:rPr>
        <w:t>11.1 Key Findings</w:t>
      </w:r>
    </w:p>
    <w:p>
      <w:pPr>
        <w:pStyle w:val="BodyText"/>
      </w:pPr>
      <w:r>
        <w:t>The development and pilot testing yielded significant findings across three dimensions:</w:t>
      </w:r>
    </w:p>
    <w:p>
      <w:pPr>
        <w:pStyle w:val="Heading3"/>
      </w:pPr>
      <w:r>
        <w:rPr>
          <w:color w:val="292C33"/>
        </w:rPr>
        <w:t>Technical Performance</w:t>
      </w:r>
    </w:p>
    <w:p>
      <w:pPr>
        <w:pStyle w:val="ListBullet"/>
      </w:pPr>
      <w:r>
        <w:rPr>
          <w:b/>
          <w:sz w:val="22"/>
        </w:rPr>
        <w:t>Retrieval:</w:t>
      </w:r>
      <w:r>
        <w:t xml:space="preserve"> Hybrid retrieval achieved 87% precision@5, exceeding 80% target</w:t>
      </w:r>
    </w:p>
    <w:p>
      <w:pPr>
        <w:pStyle w:val="ListBullet"/>
      </w:pPr>
      <w:r>
        <w:rPr>
          <w:b/>
          <w:sz w:val="22"/>
        </w:rPr>
        <w:t>Groundedness:</w:t>
      </w:r>
      <w:r>
        <w:t xml:space="preserve"> 3.1% hallucination rate (13/420 claims), within &lt;5% threshold</w:t>
      </w:r>
    </w:p>
    <w:p>
      <w:pPr>
        <w:pStyle w:val="ListBullet"/>
      </w:pPr>
      <w:r>
        <w:rPr>
          <w:b/>
          <w:sz w:val="22"/>
        </w:rPr>
        <w:t>Compliance:</w:t>
      </w:r>
      <w:r>
        <w:t xml:space="preserve"> 98% of IEPs included all mandatory RPwD Act components</w:t>
      </w:r>
    </w:p>
    <w:p>
      <w:pPr>
        <w:pStyle w:val="ListBullet"/>
      </w:pPr>
      <w:r>
        <w:rPr>
          <w:b/>
          <w:sz w:val="22"/>
        </w:rPr>
        <w:t>Performance:</w:t>
      </w:r>
      <w:r>
        <w:t xml:space="preserve"> 1.3s median, 1.8s p95, 99.2% uptime during 6-month pilot</w:t>
      </w:r>
    </w:p>
    <w:p>
      <w:pPr>
        <w:pStyle w:val="Heading3"/>
      </w:pPr>
      <w:r>
        <w:rPr>
          <w:color w:val="292C33"/>
        </w:rPr>
        <w:t>Educational Impact</w:t>
      </w:r>
    </w:p>
    <w:p>
      <w:pPr>
        <w:pStyle w:val="ListBullet"/>
      </w:pPr>
      <w:r>
        <w:rPr>
          <w:b/>
          <w:sz w:val="22"/>
        </w:rPr>
        <w:t>Time savings:</w:t>
      </w:r>
      <w:r>
        <w:t xml:space="preserve"> 84% reduction (8.2h → 1.3h), exceeding 70% target</w:t>
      </w:r>
    </w:p>
    <w:p>
      <w:pPr>
        <w:pStyle w:val="ListBullet"/>
      </w:pPr>
      <w:r>
        <w:rPr>
          <w:b/>
          <w:sz w:val="22"/>
        </w:rPr>
        <w:t>Quality:</w:t>
      </w:r>
      <w:r>
        <w:t xml:space="preserve"> Expert ratings: 4.3/5.0 (AI-assisted) vs 3.8/5.0 (manual)</w:t>
      </w:r>
    </w:p>
    <w:p>
      <w:pPr>
        <w:pStyle w:val="ListBullet"/>
      </w:pPr>
      <w:r>
        <w:rPr>
          <w:b/>
          <w:sz w:val="22"/>
        </w:rPr>
        <w:t>Adoption:</w:t>
      </w:r>
      <w:r>
        <w:t xml:space="preserve"> 92% continued use post-training; 4.1/5.0 satisfaction</w:t>
      </w:r>
    </w:p>
    <w:p>
      <w:pPr>
        <w:pStyle w:val="Heading2"/>
      </w:pPr>
      <w:r>
        <w:rPr>
          <w:color w:val="292C33"/>
        </w:rPr>
        <w:t>11.2 Challenges and Solutions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Challenge</w:t>
            </w:r>
          </w:p>
        </w:tc>
        <w:tc>
          <w:tcPr>
            <w:tcW w:type="dxa" w:w="2256"/>
            <w:shd w:fill="487265"/>
          </w:tcPr>
          <w:p>
            <w:pPr>
              <w:jc w:val="center"/>
            </w:pPr>
            <w:r>
              <w:rPr>
                <w:b/>
                <w:color w:val="FFFFFF"/>
                <w:sz w:val="18"/>
              </w:rPr>
              <w:t>Root Cause</w:t>
            </w:r>
          </w:p>
        </w:tc>
        <w:tc>
          <w:tcPr>
            <w:tcW w:type="dxa" w:w="2256"/>
            <w:shd w:fill="487265"/>
          </w:tcPr>
          <w:p>
            <w:pPr>
              <w:jc w:val="center"/>
            </w:pPr>
            <w:r>
              <w:rPr>
                <w:b/>
                <w:color w:val="FFFFFF"/>
                <w:sz w:val="18"/>
              </w:rPr>
              <w:t>Solution</w:t>
            </w:r>
          </w:p>
        </w:tc>
        <w:tc>
          <w:tcPr>
            <w:tcW w:type="dxa" w:w="2256"/>
            <w:shd w:fill="487265"/>
          </w:tcPr>
          <w:p>
            <w:pPr>
              <w:jc w:val="center"/>
            </w:pPr>
            <w:r>
              <w:rPr>
                <w:b/>
                <w:color w:val="FFFFFF"/>
                <w:sz w:val="18"/>
              </w:rPr>
              <w:t>Result</w:t>
            </w:r>
          </w:p>
        </w:tc>
      </w:tr>
      <w:tr>
        <w:tc>
          <w:tcPr>
            <w:tcW w:type="dxa" w:w="2256"/>
          </w:tcPr>
          <w:p>
            <w:r>
              <w:rPr>
                <w:sz w:val="18"/>
              </w:rPr>
              <w:t>12% hallucination rate</w:t>
            </w:r>
          </w:p>
        </w:tc>
        <w:tc>
          <w:tcPr>
            <w:tcW w:type="dxa" w:w="2256"/>
          </w:tcPr>
          <w:p>
            <w:r>
              <w:rPr>
                <w:sz w:val="18"/>
              </w:rPr>
              <w:t>Model defaulting to training data</w:t>
            </w:r>
          </w:p>
        </w:tc>
        <w:tc>
          <w:tcPr>
            <w:tcW w:type="dxa" w:w="2256"/>
          </w:tcPr>
          <w:p>
            <w:r>
              <w:rPr>
                <w:sz w:val="18"/>
              </w:rPr>
              <w:t>Temp 0.7→0.3, explicit grounding prompt</w:t>
            </w:r>
          </w:p>
        </w:tc>
        <w:tc>
          <w:tcPr>
            <w:tcW w:type="dxa" w:w="2256"/>
          </w:tcPr>
          <w:p>
            <w:r>
              <w:rPr>
                <w:sz w:val="18"/>
              </w:rPr>
              <w:t>3.1% hallucination</w:t>
            </w:r>
          </w:p>
        </w:tc>
      </w:tr>
      <w:tr>
        <w:tc>
          <w:tcPr>
            <w:tcW w:type="dxa" w:w="2256"/>
            <w:shd w:fill="F7F6F5"/>
          </w:tcPr>
          <w:p>
            <w:r>
              <w:rPr>
                <w:sz w:val="18"/>
              </w:rPr>
              <w:t>Terminology mismatch</w:t>
            </w:r>
          </w:p>
        </w:tc>
        <w:tc>
          <w:tcPr>
            <w:tcW w:type="dxa" w:w="2256"/>
            <w:shd w:fill="F7F6F5"/>
          </w:tcPr>
          <w:p>
            <w:r>
              <w:rPr>
                <w:sz w:val="18"/>
              </w:rPr>
              <w:t>Teachers use informal language</w:t>
            </w:r>
          </w:p>
        </w:tc>
        <w:tc>
          <w:tcPr>
            <w:tcW w:type="dxa" w:w="2256"/>
            <w:shd w:fill="F7F6F5"/>
          </w:tcPr>
          <w:p>
            <w:r>
              <w:rPr>
                <w:sz w:val="18"/>
              </w:rPr>
              <w:t>Query expansion (2 variants)</w:t>
            </w:r>
          </w:p>
        </w:tc>
        <w:tc>
          <w:tcPr>
            <w:tcW w:type="dxa" w:w="2256"/>
            <w:shd w:fill="F7F6F5"/>
          </w:tcPr>
          <w:p>
            <w:r>
              <w:rPr>
                <w:sz w:val="18"/>
              </w:rPr>
              <w:t>Recall 71%→88%</w:t>
            </w:r>
          </w:p>
        </w:tc>
      </w:tr>
      <w:tr>
        <w:tc>
          <w:tcPr>
            <w:tcW w:type="dxa" w:w="2256"/>
          </w:tcPr>
          <w:p>
            <w:r>
              <w:rPr>
                <w:sz w:val="18"/>
              </w:rPr>
              <w:t>Teacher tech anxiety</w:t>
            </w:r>
          </w:p>
        </w:tc>
        <w:tc>
          <w:tcPr>
            <w:tcW w:type="dxa" w:w="2256"/>
          </w:tcPr>
          <w:p>
            <w:r>
              <w:rPr>
                <w:sz w:val="18"/>
              </w:rPr>
              <w:t>34% uncomfortable with AI</w:t>
            </w:r>
          </w:p>
        </w:tc>
        <w:tc>
          <w:tcPr>
            <w:tcW w:type="dxa" w:w="2256"/>
          </w:tcPr>
          <w:p>
            <w:r>
              <w:rPr>
                <w:sz w:val="18"/>
              </w:rPr>
              <w:t>Reframed as 'AI assistant', 2hr training</w:t>
            </w:r>
          </w:p>
        </w:tc>
        <w:tc>
          <w:tcPr>
            <w:tcW w:type="dxa" w:w="2256"/>
          </w:tcPr>
          <w:p>
            <w:r>
              <w:rPr>
                <w:sz w:val="18"/>
              </w:rPr>
              <w:t>Anxiety dropped to 12%</w:t>
            </w:r>
          </w:p>
        </w:tc>
      </w:tr>
      <w:tr>
        <w:tc>
          <w:tcPr>
            <w:tcW w:type="dxa" w:w="2256"/>
            <w:shd w:fill="F7F6F5"/>
          </w:tcPr>
          <w:p>
            <w:r>
              <w:rPr>
                <w:sz w:val="18"/>
              </w:rPr>
              <w:t>Resource mismatch</w:t>
            </w:r>
          </w:p>
        </w:tc>
        <w:tc>
          <w:tcPr>
            <w:tcW w:type="dxa" w:w="2256"/>
            <w:shd w:fill="F7F6F5"/>
          </w:tcPr>
          <w:p>
            <w:r>
              <w:rPr>
                <w:sz w:val="18"/>
              </w:rPr>
              <w:t>42% of recommendations unavailable</w:t>
            </w:r>
          </w:p>
        </w:tc>
        <w:tc>
          <w:tcPr>
            <w:tcW w:type="dxa" w:w="2256"/>
            <w:shd w:fill="F7F6F5"/>
          </w:tcPr>
          <w:p>
            <w:r>
              <w:rPr>
                <w:sz w:val="18"/>
              </w:rPr>
              <w:t>Added resource_requirements metadata + filter</w:t>
            </w:r>
          </w:p>
        </w:tc>
        <w:tc>
          <w:tcPr>
            <w:tcW w:type="dxa" w:w="2256"/>
            <w:shd w:fill="F7F6F5"/>
          </w:tcPr>
          <w:p>
            <w:r>
              <w:rPr>
                <w:sz w:val="18"/>
              </w:rPr>
              <w:t>Appropriateness 2.8→4.1/5.0</w:t>
            </w:r>
          </w:p>
        </w:tc>
      </w:tr>
    </w:tbl>
    <w:p/>
    <w:p>
      <w:pPr>
        <w:pStyle w:val="Heading2"/>
      </w:pPr>
      <w:r>
        <w:rPr>
          <w:color w:val="292C33"/>
        </w:rPr>
        <w:t>11.3 Limitations</w:t>
      </w:r>
    </w:p>
    <w:p>
      <w:pPr>
        <w:pStyle w:val="ListBullet"/>
      </w:pPr>
      <w:r>
        <w:rPr>
          <w:b/>
          <w:sz w:val="22"/>
        </w:rPr>
        <w:t>Knowledge base coverage:</w:t>
      </w:r>
      <w:r>
        <w:t xml:space="preserve"> 84 chunks covering 4 of 21 RPwD disability categories. Year 1-2 expansion planned.</w:t>
      </w:r>
    </w:p>
    <w:p>
      <w:pPr>
        <w:pStyle w:val="ListBullet"/>
      </w:pPr>
      <w:r>
        <w:rPr>
          <w:b/>
          <w:sz w:val="22"/>
        </w:rPr>
        <w:t>Generalizability:</w:t>
      </w:r>
      <w:r>
        <w:t xml:space="preserve"> Pilot schools had above-average resources and connectivity. Rural validation needed.</w:t>
      </w:r>
    </w:p>
    <w:p>
      <w:pPr>
        <w:pStyle w:val="ListBullet"/>
      </w:pPr>
      <w:r>
        <w:rPr>
          <w:b/>
          <w:sz w:val="22"/>
        </w:rPr>
        <w:t>Long-term efficacy:</w:t>
      </w:r>
      <w:r>
        <w:t xml:space="preserve"> 6-month pilot demonstrates short-term benefits. Longitudinal study planned.</w:t>
      </w:r>
    </w:p>
    <w:p>
      <w:pPr>
        <w:pStyle w:val="ListBullet"/>
      </w:pPr>
      <w:r>
        <w:rPr>
          <w:b/>
          <w:sz w:val="22"/>
        </w:rPr>
        <w:t>Vendor dependency:</w:t>
      </w:r>
      <w:r>
        <w:t xml:space="preserve"> Azure OpenAI pricing, model updates, and geopolitical factors. Open-source fallback planned for Year 3.</w:t>
      </w:r>
    </w:p>
    <w:p>
      <w:r>
        <w:br w:type="page"/>
      </w:r>
    </w:p>
    <w:p>
      <w:pPr>
        <w:pStyle w:val="Heading1"/>
      </w:pPr>
      <w:r>
        <w:rPr>
          <w:color w:val="487265"/>
        </w:rPr>
        <w:t>12. Implications</w:t>
      </w:r>
    </w:p>
    <w:p>
      <w:pPr>
        <w:pStyle w:val="Heading2"/>
      </w:pPr>
      <w:r>
        <w:rPr>
          <w:color w:val="292C33"/>
        </w:rPr>
        <w:t>12.1 For Education Policy</w:t>
      </w:r>
    </w:p>
    <w:p>
      <w:pPr>
        <w:pStyle w:val="ListBullet"/>
      </w:pPr>
      <w:r>
        <w:rPr>
          <w:b/>
          <w:sz w:val="22"/>
        </w:rPr>
        <w:t>Digital Compliance Enforcement:</w:t>
      </w:r>
      <w:r>
        <w:t xml:space="preserve"> Built-in RPwD Act validation could increase national compliance from 60% to 95%+</w:t>
      </w:r>
    </w:p>
    <w:p>
      <w:pPr>
        <w:pStyle w:val="ListBullet"/>
      </w:pPr>
      <w:r>
        <w:rPr>
          <w:b/>
          <w:sz w:val="22"/>
        </w:rPr>
        <w:t>Policy Data Infrastructure:</w:t>
      </w:r>
      <w:r>
        <w:t xml:space="preserve"> Aggregated IEP data provides policymakers visibility into disability prevalence and service gaps</w:t>
      </w:r>
    </w:p>
    <w:p>
      <w:pPr>
        <w:pStyle w:val="ListBullet"/>
      </w:pPr>
      <w:r>
        <w:rPr>
          <w:b/>
          <w:sz w:val="22"/>
        </w:rPr>
        <w:t>Equity Advancement:</w:t>
      </w:r>
      <w:r>
        <w:t xml:space="preserve"> Democratizes access to special education expertise, reducing disparities between private and government schools</w:t>
      </w:r>
    </w:p>
    <w:p>
      <w:pPr>
        <w:pStyle w:val="Heading2"/>
      </w:pPr>
      <w:r>
        <w:rPr>
          <w:color w:val="292C33"/>
        </w:rPr>
        <w:t>12.2 For Special Education Practice</w:t>
      </w:r>
    </w:p>
    <w:p>
      <w:pPr>
        <w:pStyle w:val="BodyText"/>
      </w:pPr>
      <w:r>
        <w:t>Teachers transition from starting with a blank page to curating AI-generated recommendations. This reduces cognitive load, expands their strategy repertoire, and frees time for the most critical aspect: tailoring plans to the individual child. The risk of over-reliance on AI should be mitigated through 'AI-Assisted Pedagogy' modules in teacher training.</w:t>
      </w:r>
    </w:p>
    <w:p>
      <w:r>
        <w:br w:type="page"/>
      </w:r>
    </w:p>
    <w:p>
      <w:pPr>
        <w:pStyle w:val="Heading1"/>
      </w:pPr>
      <w:r>
        <w:rPr>
          <w:color w:val="487265"/>
        </w:rPr>
        <w:t>13. Conclusion</w:t>
      </w:r>
    </w:p>
    <w:p>
      <w:pPr>
        <w:pStyle w:val="Heading2"/>
      </w:pPr>
      <w:r>
        <w:rPr>
          <w:color w:val="292C33"/>
        </w:rPr>
        <w:t>13.1 Summary of Achievements</w:t>
      </w:r>
    </w:p>
    <w:p>
      <w:pPr>
        <w:pStyle w:val="BodyText"/>
      </w:pPr>
      <w:r>
        <w:t>This research successfully developed, piloted, and validated the IEP Architect. Key achievements:</w:t>
      </w:r>
    </w:p>
    <w:p>
      <w:pPr>
        <w:pStyle w:val="ListBullet"/>
      </w:pPr>
      <w:r>
        <w:rPr>
          <w:b/>
          <w:sz w:val="22"/>
        </w:rPr>
        <w:t>Technical:</w:t>
      </w:r>
      <w:r>
        <w:t xml:space="preserve"> 87% retrieval precision, 3.1% hallucination rate, 98% legal compliance, &lt;2s response time</w:t>
      </w:r>
    </w:p>
    <w:p>
      <w:pPr>
        <w:pStyle w:val="ListBullet"/>
      </w:pPr>
      <w:r>
        <w:rPr>
          <w:b/>
          <w:sz w:val="22"/>
        </w:rPr>
        <w:t>Educational:</w:t>
      </w:r>
      <w:r>
        <w:t xml:space="preserve"> 84% time reduction while improving quality (4.3/5.0 vs 3.8/5.0), 92% adoption</w:t>
      </w:r>
    </w:p>
    <w:p>
      <w:pPr>
        <w:pStyle w:val="ListBullet"/>
      </w:pPr>
      <w:r>
        <w:rPr>
          <w:b/>
          <w:sz w:val="22"/>
        </w:rPr>
        <w:t>Financial:</w:t>
      </w:r>
      <w:r>
        <w:t xml:space="preserve"> 582% ROI over 3 years, 11-month payback, ₹594 per student impacted</w:t>
      </w:r>
    </w:p>
    <w:p>
      <w:pPr>
        <w:pStyle w:val="ListBullet"/>
      </w:pPr>
      <w:r>
        <w:rPr>
          <w:b/>
          <w:sz w:val="22"/>
        </w:rPr>
        <w:t>Social Impact:</w:t>
      </w:r>
      <w:r>
        <w:t xml:space="preserve"> Positioned to serve 50,000 teachers and 250,000 students by Year 3</w:t>
      </w:r>
    </w:p>
    <w:p>
      <w:pPr>
        <w:pStyle w:val="Heading2"/>
      </w:pPr>
      <w:r>
        <w:rPr>
          <w:color w:val="292C33"/>
        </w:rPr>
        <w:t>13.2 Answering the Research Questions</w:t>
      </w:r>
    </w:p>
    <w:p>
      <w:pPr>
        <w:pStyle w:val="BodyText"/>
      </w:pPr>
      <w:r>
        <w:t>RQ1: Yes. Pilot demonstrated 84% time reduction with improved quality and 98% compliance. RQ2: Four-stage pipeline with section-based chunking, hybrid retrieval, and few-shot prompting at temperature 0.3 optimizes performance. RQ3: Yes. 582% ROI, 11-month payback, positive NPV across all discount rates tested.</w:t>
      </w:r>
    </w:p>
    <w:p>
      <w:pPr>
        <w:pStyle w:val="Heading2"/>
      </w:pPr>
      <w:r>
        <w:rPr>
          <w:color w:val="292C33"/>
        </w:rPr>
        <w:t>13.3 Novel Contributions and Uniqueness</w:t>
      </w:r>
    </w:p>
    <w:p>
      <w:pPr>
        <w:pStyle w:val="Heading3"/>
      </w:pPr>
      <w:r>
        <w:rPr>
          <w:color w:val="292C33"/>
        </w:rPr>
        <w:t>Novel Contributions</w:t>
      </w:r>
    </w:p>
    <w:p>
      <w:pPr>
        <w:pStyle w:val="ListNumber"/>
      </w:pPr>
      <w:r>
        <w:rPr>
          <w:b/>
          <w:sz w:val="22"/>
        </w:rPr>
        <w:t>First RAG system for Indian special education IEPs:</w:t>
      </w:r>
      <w:r>
        <w:t xml:space="preserve"> No prior published work applies LLM-based RAG to IEP creation in any national context (verified via literature search of AIED, Computers &amp; Education, IJAIED databases).</w:t>
      </w:r>
    </w:p>
    <w:p>
      <w:pPr>
        <w:pStyle w:val="ListNumber"/>
      </w:pPr>
      <w:r>
        <w:rPr>
          <w:b/>
          <w:sz w:val="22"/>
        </w:rPr>
        <w:t>Section-based legal chunking methodology:</w:t>
      </w:r>
      <w:r>
        <w:t xml:space="preserve"> Domain-specific chunking strategy for legislative documents achieves 22% higher precision than fixed-size approaches, applicable to any legal-domain RAG system.</w:t>
      </w:r>
    </w:p>
    <w:p>
      <w:pPr>
        <w:pStyle w:val="ListNumber"/>
      </w:pPr>
      <w:r>
        <w:rPr>
          <w:b/>
          <w:sz w:val="22"/>
        </w:rPr>
        <w:t>AI-as-meta-demonstration:</w:t>
      </w:r>
      <w:r>
        <w:t xml:space="preserve"> The system is itself built using Gen AI tools (Claude Code, GitHub Copilot), demonstrating the productivity multiplier thesis at both the application and development layers.</w:t>
      </w:r>
    </w:p>
    <w:p>
      <w:pPr>
        <w:pStyle w:val="Heading3"/>
      </w:pPr>
      <w:r>
        <w:rPr>
          <w:color w:val="292C33"/>
        </w:rPr>
        <w:t>Patent Potential</w:t>
      </w:r>
    </w:p>
    <w:p>
      <w:pPr>
        <w:pStyle w:val="BodyText"/>
      </w:pPr>
      <w:r>
        <w:t>The hybrid retrieval algorithm with domain-specific weighting and section-based legal chunking is being evaluated for provisional patent filing (₹1,600 fee in India). The specific method of 'structured eligibility determination using a curated knowledge base with hybrid natural-language query routing' is the strongest candidate, though enforceability would be narrow given prior art in generic RAG architectures.</w:t>
      </w:r>
    </w:p>
    <w:p>
      <w:pPr>
        <w:pStyle w:val="Heading3"/>
      </w:pPr>
      <w:r>
        <w:rPr>
          <w:color w:val="292C33"/>
        </w:rPr>
        <w:t>Publication Potential</w:t>
      </w:r>
    </w:p>
    <w:p>
      <w:pPr>
        <w:pStyle w:val="BodyText"/>
      </w:pPr>
      <w:r>
        <w:t>The pilot study methodology and results are being prepared for submission to:</w:t>
      </w:r>
    </w:p>
    <w:p>
      <w:pPr>
        <w:pStyle w:val="ListBullet"/>
      </w:pPr>
      <w:r>
        <w:t>AIED 2027 (International Conference on AI in Education)</w:t>
      </w:r>
    </w:p>
    <w:p>
      <w:pPr>
        <w:pStyle w:val="ListBullet"/>
      </w:pPr>
      <w:r>
        <w:t>Computers &amp; Education (Elsevier, IF 12.0)</w:t>
      </w:r>
    </w:p>
    <w:p>
      <w:pPr>
        <w:pStyle w:val="ListBullet"/>
      </w:pPr>
      <w:r>
        <w:t>ICTD (Information and Communication Technologies and Development)</w:t>
      </w:r>
    </w:p>
    <w:p>
      <w:pPr>
        <w:pStyle w:val="BodyText"/>
      </w:pPr>
      <w:r>
        <w:t>Key publishable contributions: (1) benchmark dataset of IEP queries with ground-truth answers, (2) evaluation of hybrid retrieval for multi-constraint educational planning, (3) ablation study of RAG components.</w:t>
      </w:r>
    </w:p>
    <w:p>
      <w:pPr>
        <w:pStyle w:val="Heading3"/>
      </w:pPr>
      <w:r>
        <w:rPr>
          <w:color w:val="292C33"/>
        </w:rPr>
        <w:t>VC / Impact Investor Presentability</w:t>
      </w:r>
    </w:p>
    <w:p>
      <w:pPr>
        <w:pStyle w:val="BodyText"/>
      </w:pPr>
      <w:r>
        <w:t>SamarthSchool falls across three high-interest impact investing themes: disability inclusion, GovTech/civic tech, and EdTech. Relevant investors: AssisTech Foundation, Aavishkaar Capital, Omidyar Network India, Villgro. The social enterprise model with 582% ROI and cross-subsidization mechanism is designed for impact investor presentation.</w:t>
      </w:r>
    </w:p>
    <w:p>
      <w:pPr>
        <w:pStyle w:val="Heading3"/>
      </w:pPr>
      <w:r>
        <w:rPr>
          <w:color w:val="292C33"/>
        </w:rPr>
        <w:t>Competitive Moat</w:t>
      </w:r>
    </w:p>
    <w:p>
      <w:pPr>
        <w:pStyle w:val="ListBullet"/>
      </w:pPr>
      <w:r>
        <w:t>Domain expertise in Indian disability law (RPwD Act, RTE Act, CBSE guidelines)</w:t>
      </w:r>
    </w:p>
    <w:p>
      <w:pPr>
        <w:pStyle w:val="ListBullet"/>
      </w:pPr>
      <w:r>
        <w:t>Curated knowledge base of 84 chunks from 12 authoritative Indian sources</w:t>
      </w:r>
    </w:p>
    <w:p>
      <w:pPr>
        <w:pStyle w:val="ListBullet"/>
      </w:pPr>
      <w:r>
        <w:t>First-mover advantage in a niche with no direct competitors</w:t>
      </w:r>
    </w:p>
    <w:p>
      <w:pPr>
        <w:pStyle w:val="ListBullet"/>
      </w:pPr>
      <w:r>
        <w:t>Government relationship pipeline via pilot schools</w:t>
      </w:r>
    </w:p>
    <w:p>
      <w:pPr>
        <w:pStyle w:val="Heading2"/>
      </w:pPr>
      <w:r>
        <w:rPr>
          <w:color w:val="292C33"/>
        </w:rPr>
        <w:t>13.4 Future Work</w:t>
      </w:r>
    </w:p>
    <w:p>
      <w:pPr>
        <w:pStyle w:val="ListNumber"/>
      </w:pPr>
      <w:r>
        <w:rPr>
          <w:b/>
          <w:sz w:val="22"/>
        </w:rPr>
        <w:t>Year 1:</w:t>
      </w:r>
      <w:r>
        <w:t xml:space="preserve"> Azure production deployment, expand to 500 chunks, Hindi localization, fine-tune on 2,000 real IEPs</w:t>
      </w:r>
    </w:p>
    <w:p>
      <w:pPr>
        <w:pStyle w:val="ListNumber"/>
      </w:pPr>
      <w:r>
        <w:rPr>
          <w:b/>
          <w:sz w:val="22"/>
        </w:rPr>
        <w:t>Years 2-3:</w:t>
      </w:r>
      <w:r>
        <w:t xml:space="preserve"> 22-language support, RAFT, predictive analytics, UDISE+ integration, longitudinal study</w:t>
      </w:r>
    </w:p>
    <w:p>
      <w:pPr>
        <w:pStyle w:val="ListNumber"/>
      </w:pPr>
      <w:r>
        <w:rPr>
          <w:b/>
          <w:sz w:val="22"/>
        </w:rPr>
        <w:t>Research:</w:t>
      </w:r>
      <w:r>
        <w:t xml:space="preserve"> Multimodal AI, personalized teacher coaching, cross-national adaptation (Bangladesh, Nepal, Kenya), open-source dataset</w:t>
      </w:r>
    </w:p>
    <w:p>
      <w:r>
        <w:br w:type="page"/>
      </w:r>
    </w:p>
    <w:p>
      <w:pPr>
        <w:pStyle w:val="Heading1"/>
      </w:pPr>
      <w:r>
        <w:rPr>
          <w:color w:val="487265"/>
        </w:rPr>
        <w:t>References</w:t>
      </w:r>
    </w:p>
    <w:p>
      <w:pPr>
        <w:pStyle w:val="BodyText"/>
      </w:pPr>
      <w:r>
        <w:rPr>
          <w:sz w:val="20"/>
        </w:rPr>
        <w:t>1. Census of India 2011 — Data on Disability. Ministry of Home Affairs, Government of India.</w:t>
      </w:r>
    </w:p>
    <w:p>
      <w:pPr>
        <w:pStyle w:val="BodyText"/>
      </w:pPr>
      <w:r>
        <w:rPr>
          <w:sz w:val="20"/>
        </w:rPr>
        <w:t>2. Gao, Y. et al. (2024). Retrieval-Augmented Generation for AI-Generated Content: A Survey.</w:t>
      </w:r>
    </w:p>
    <w:p>
      <w:pPr>
        <w:pStyle w:val="BodyText"/>
      </w:pPr>
      <w:r>
        <w:rPr>
          <w:sz w:val="20"/>
        </w:rPr>
        <w:t>3. Holmes, W. et al. (2019). Artificial Intelligence in Education: Promise and Implications for Teaching and Learning. UNESCO.</w:t>
      </w:r>
    </w:p>
    <w:p>
      <w:pPr>
        <w:pStyle w:val="BodyText"/>
      </w:pPr>
      <w:r>
        <w:rPr>
          <w:sz w:val="20"/>
        </w:rPr>
        <w:t>4. Karpukhin, V. et al. (2020). Dense Passage Retrieval for Open-Domain Question Answering. EMNLP.</w:t>
      </w:r>
    </w:p>
    <w:p>
      <w:pPr>
        <w:pStyle w:val="BodyText"/>
      </w:pPr>
      <w:r>
        <w:rPr>
          <w:sz w:val="20"/>
        </w:rPr>
        <w:t>5. Lewis, P. et al. (2020). Retrieval-Augmented Generation for Knowledge-Intensive NLP Tasks. NeurIPS.</w:t>
      </w:r>
    </w:p>
    <w:p>
      <w:pPr>
        <w:pStyle w:val="BodyText"/>
      </w:pPr>
      <w:r>
        <w:rPr>
          <w:sz w:val="20"/>
        </w:rPr>
        <w:t>6. Luckin, R. et al. (2016). Intelligence Unleashed: An Argument for AI in Education. Pearson.</w:t>
      </w:r>
    </w:p>
    <w:p>
      <w:pPr>
        <w:pStyle w:val="BodyText"/>
      </w:pPr>
      <w:r>
        <w:rPr>
          <w:sz w:val="20"/>
        </w:rPr>
        <w:t>7. Ministry of Social Justice and Empowerment (2016). Rights of Persons with Disabilities Act, 2016. The Gazette of India.</w:t>
      </w:r>
    </w:p>
    <w:p>
      <w:pPr>
        <w:pStyle w:val="BodyText"/>
      </w:pPr>
      <w:r>
        <w:rPr>
          <w:sz w:val="20"/>
        </w:rPr>
        <w:t>8. Ministry of Statistics and Programme Implementation (2018). NSS 76th Round: Persons with Disabilities in India.</w:t>
      </w:r>
    </w:p>
    <w:p>
      <w:pPr>
        <w:pStyle w:val="BodyText"/>
      </w:pPr>
      <w:r>
        <w:rPr>
          <w:sz w:val="20"/>
        </w:rPr>
        <w:t>9. NCERT (2018). Education of Children with Special Needs: A Study of Schools in India.</w:t>
      </w:r>
    </w:p>
    <w:p>
      <w:pPr>
        <w:pStyle w:val="BodyText"/>
      </w:pPr>
      <w:r>
        <w:rPr>
          <w:sz w:val="20"/>
        </w:rPr>
        <w:t>10. Pardos, Z. &amp; Jiang, W. (2020). Designing for Serendipity in Education. ACM L@S.</w:t>
      </w:r>
    </w:p>
    <w:p>
      <w:pPr>
        <w:pStyle w:val="BodyText"/>
      </w:pPr>
      <w:r>
        <w:rPr>
          <w:sz w:val="20"/>
        </w:rPr>
        <w:t>11. Ruble, L. et al. (2010). SMART Goals Improve IEP Quality. Exceptional Children, 76(1), 47-63.</w:t>
      </w:r>
    </w:p>
    <w:p>
      <w:pPr>
        <w:pStyle w:val="BodyText"/>
      </w:pPr>
      <w:r>
        <w:rPr>
          <w:sz w:val="20"/>
        </w:rPr>
        <w:t>12. Samagra Shiksha Abhiyan — Framework for Implementation. Ministry of Education.</w:t>
      </w:r>
    </w:p>
    <w:p>
      <w:pPr>
        <w:pStyle w:val="BodyText"/>
      </w:pPr>
      <w:r>
        <w:rPr>
          <w:sz w:val="20"/>
        </w:rPr>
        <w:t>13. Savelka, J. et al. (2023). Can GPT-4 Support Analysis of Textual Data? arXiv:2307.09361.</w:t>
      </w:r>
    </w:p>
    <w:p>
      <w:pPr>
        <w:pStyle w:val="BodyText"/>
      </w:pPr>
      <w:r>
        <w:rPr>
          <w:sz w:val="20"/>
        </w:rPr>
        <w:t>14. Singal, N. &amp; Muthukrishna, N. (2014). Education, Childhood, and Disability in Countries of the South. Childhood, 21(3).</w:t>
      </w:r>
    </w:p>
    <w:p>
      <w:pPr>
        <w:pStyle w:val="BodyText"/>
      </w:pPr>
      <w:r>
        <w:rPr>
          <w:sz w:val="20"/>
        </w:rPr>
        <w:t>15. Turnbull, H.R. et al. (2020). Free Appropriate Public Education: The Law and Children with Disabilities. Love Publishing.</w:t>
      </w:r>
    </w:p>
    <w:p>
      <w:pPr>
        <w:pStyle w:val="BodyText"/>
      </w:pPr>
      <w:r>
        <w:rPr>
          <w:sz w:val="20"/>
        </w:rPr>
        <w:t>16. UDISE+ FY2022 — Flash Statistics on CWSN Enrollment. Ministry of Education.</w:t>
      </w:r>
    </w:p>
    <w:p>
      <w:pPr>
        <w:pStyle w:val="BodyText"/>
      </w:pPr>
      <w:r>
        <w:rPr>
          <w:sz w:val="20"/>
        </w:rPr>
        <w:t>17. UNESCO (2019). State of Education Report for India: Children with Disabilities.</w:t>
      </w:r>
    </w:p>
    <w:p>
      <w:pPr>
        <w:pStyle w:val="BodyText"/>
      </w:pPr>
      <w:r>
        <w:rPr>
          <w:sz w:val="20"/>
        </w:rPr>
        <w:t>18. Whitehill, J. et al. (2017). Automated Detection of Student Engagement Using Computer Vision. Educational Technology Research and Development.</w:t>
      </w:r>
    </w:p>
    <w:p>
      <w:pPr>
        <w:pStyle w:val="BodyText"/>
      </w:pPr>
      <w:r>
        <w:rPr>
          <w:sz w:val="20"/>
        </w:rPr>
        <w:t>19. World Bank (2020). The Cost of Not Educating Girls. World Bank Group.</w:t>
      </w:r>
    </w:p>
    <w:p>
      <w:pPr>
        <w:pStyle w:val="BodyText"/>
      </w:pPr>
      <w:r>
        <w:rPr>
          <w:sz w:val="20"/>
        </w:rPr>
        <w:t>20. Zakka, A. et al. (2023). Almanac: Retrieval-Augmented Clinical Decision Support. AAAI.</w:t>
      </w:r>
    </w:p>
    <w:p>
      <w:pPr>
        <w:pStyle w:val="BodyText"/>
      </w:pPr>
      <w:r>
        <w:rPr>
          <w:sz w:val="20"/>
        </w:rPr>
        <w:t>21. Digital Personal Data Protection Act, 2023 — Section 9. Government of India.</w:t>
      </w:r>
    </w:p>
    <w:p>
      <w:pPr>
        <w:pStyle w:val="BodyText"/>
      </w:pPr>
      <w:r>
        <w:rPr>
          <w:sz w:val="20"/>
        </w:rPr>
        <w:t>22. India Impact Investors Council — Annual Report 2024.</w:t>
      </w:r>
    </w:p>
    <w:p>
      <w:pPr>
        <w:pStyle w:val="BodyText"/>
      </w:pPr>
      <w:r>
        <w:rPr>
          <w:sz w:val="20"/>
        </w:rPr>
        <w:t>23. CSR Spending in India FY 2023-24 — Sector-Wise Allocation. Protean eGov Technologies.</w:t>
      </w:r>
    </w:p>
    <w:p>
      <w:pPr>
        <w:pStyle w:val="BodyText"/>
      </w:pPr>
      <w:r>
        <w:rPr>
          <w:sz w:val="20"/>
        </w:rPr>
        <w:t>24. AssisTech Foundation — Assistive Technology Ecosystem Report, 2025.</w:t>
      </w:r>
    </w:p>
    <w:p>
      <w:pPr>
        <w:pStyle w:val="BodyText"/>
      </w:pPr>
      <w:r>
        <w:rPr>
          <w:sz w:val="20"/>
        </w:rPr>
        <w:t>25. RAGAS (Retrieval Augmented Generation Assessment) — Documentation. Explodinggradients, 2024.</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2C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92C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2C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